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CC9E4" w14:textId="77777777" w:rsidR="006A576B" w:rsidRPr="00FB76A9" w:rsidRDefault="006A576B" w:rsidP="00FD5CD5">
      <w:pPr>
        <w:spacing w:after="0" w:line="240" w:lineRule="auto"/>
        <w:rPr>
          <w:rFonts w:ascii="Times New Roman" w:eastAsia="Times New Roman" w:hAnsi="Times New Roman" w:cs="Times New Roman"/>
          <w:sz w:val="24"/>
          <w:szCs w:val="24"/>
          <w:lang w:eastAsia="pl-PL"/>
        </w:rPr>
      </w:pPr>
    </w:p>
    <w:p w14:paraId="319A0519" w14:textId="77777777" w:rsidR="006A576B" w:rsidRPr="00FB76A9" w:rsidRDefault="006A576B"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TABELA ZGODNOŚCI</w:t>
      </w:r>
    </w:p>
    <w:p w14:paraId="7CC25EAE" w14:textId="77777777" w:rsidR="006A576B" w:rsidRPr="00FB76A9" w:rsidRDefault="006A576B" w:rsidP="00FD5CD5">
      <w:pPr>
        <w:spacing w:after="0" w:line="240" w:lineRule="auto"/>
        <w:rPr>
          <w:rFonts w:ascii="Times New Roman" w:eastAsia="Times New Roman" w:hAnsi="Times New Roman" w:cs="Times New Roman"/>
          <w:sz w:val="24"/>
          <w:szCs w:val="24"/>
          <w:lang w:eastAsia="pl-PL"/>
        </w:rPr>
      </w:pPr>
    </w:p>
    <w:tbl>
      <w:tblPr>
        <w:tblpPr w:leftFromText="141" w:rightFromText="141" w:vertAnchor="text" w:tblpY="1"/>
        <w:tblOverlap w:val="neve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4525"/>
        <w:gridCol w:w="861"/>
        <w:gridCol w:w="851"/>
        <w:gridCol w:w="992"/>
        <w:gridCol w:w="5103"/>
        <w:gridCol w:w="1675"/>
      </w:tblGrid>
      <w:tr w:rsidR="006A576B" w:rsidRPr="00FB76A9" w14:paraId="1786AECC" w14:textId="77777777" w:rsidTr="00FE615C">
        <w:trPr>
          <w:cantSplit/>
          <w:trHeight w:val="576"/>
        </w:trPr>
        <w:tc>
          <w:tcPr>
            <w:tcW w:w="5513" w:type="dxa"/>
            <w:gridSpan w:val="2"/>
            <w:tcBorders>
              <w:bottom w:val="single" w:sz="4" w:space="0" w:color="auto"/>
            </w:tcBorders>
            <w:shd w:val="clear" w:color="auto" w:fill="E0E0E0"/>
          </w:tcPr>
          <w:p w14:paraId="47B727CE" w14:textId="77777777" w:rsidR="006A576B" w:rsidRPr="00FB76A9" w:rsidRDefault="006A576B" w:rsidP="00FD5CD5">
            <w:pPr>
              <w:keepNext/>
              <w:spacing w:after="0" w:line="240" w:lineRule="auto"/>
              <w:outlineLvl w:val="0"/>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TYTUŁ PROJEKTU:</w:t>
            </w:r>
          </w:p>
        </w:tc>
        <w:tc>
          <w:tcPr>
            <w:tcW w:w="9482" w:type="dxa"/>
            <w:gridSpan w:val="5"/>
            <w:tcBorders>
              <w:bottom w:val="single" w:sz="4" w:space="0" w:color="auto"/>
            </w:tcBorders>
          </w:tcPr>
          <w:p w14:paraId="587EE792" w14:textId="77777777" w:rsidR="00D4547D" w:rsidRPr="00FB76A9" w:rsidRDefault="006A576B"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Projekt </w:t>
            </w:r>
            <w:r w:rsidR="00B90467" w:rsidRPr="00FB76A9">
              <w:rPr>
                <w:rFonts w:ascii="Times New Roman" w:eastAsia="Times New Roman" w:hAnsi="Times New Roman" w:cs="Times New Roman"/>
                <w:sz w:val="24"/>
                <w:szCs w:val="24"/>
                <w:lang w:eastAsia="pl-PL"/>
              </w:rPr>
              <w:t xml:space="preserve">ustawy o zmianie ustawy o systemach homologacji pojazdów oraz ich wyposażenia oraz niektórych innych ustaw </w:t>
            </w:r>
            <w:r w:rsidR="00993707" w:rsidRPr="00FB76A9">
              <w:rPr>
                <w:rFonts w:ascii="Times New Roman" w:eastAsia="Times New Roman" w:hAnsi="Times New Roman" w:cs="Times New Roman"/>
                <w:sz w:val="24"/>
                <w:szCs w:val="24"/>
                <w:lang w:eastAsia="pl-PL"/>
              </w:rPr>
              <w:t>(UC</w:t>
            </w:r>
            <w:r w:rsidR="00B90467" w:rsidRPr="00FB76A9">
              <w:rPr>
                <w:rFonts w:ascii="Times New Roman" w:eastAsia="Times New Roman" w:hAnsi="Times New Roman" w:cs="Times New Roman"/>
                <w:sz w:val="24"/>
                <w:szCs w:val="24"/>
                <w:lang w:eastAsia="pl-PL"/>
              </w:rPr>
              <w:t>95</w:t>
            </w:r>
            <w:r w:rsidRPr="00FB76A9">
              <w:rPr>
                <w:rFonts w:ascii="Times New Roman" w:eastAsia="Times New Roman" w:hAnsi="Times New Roman" w:cs="Times New Roman"/>
                <w:sz w:val="24"/>
                <w:szCs w:val="24"/>
                <w:lang w:eastAsia="pl-PL"/>
              </w:rPr>
              <w:t>)</w:t>
            </w:r>
          </w:p>
        </w:tc>
      </w:tr>
      <w:tr w:rsidR="006A576B" w:rsidRPr="00FB76A9" w14:paraId="07B26164" w14:textId="77777777" w:rsidTr="00FE615C">
        <w:trPr>
          <w:cantSplit/>
          <w:trHeight w:val="576"/>
        </w:trPr>
        <w:tc>
          <w:tcPr>
            <w:tcW w:w="5513" w:type="dxa"/>
            <w:gridSpan w:val="2"/>
            <w:tcBorders>
              <w:bottom w:val="single" w:sz="4" w:space="0" w:color="auto"/>
            </w:tcBorders>
            <w:shd w:val="clear" w:color="auto" w:fill="E0E0E0"/>
          </w:tcPr>
          <w:p w14:paraId="24EC8B06" w14:textId="77777777" w:rsidR="006A576B" w:rsidRPr="00FB76A9" w:rsidRDefault="006A576B"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TYTUŁ </w:t>
            </w:r>
            <w:r w:rsidR="0063096F" w:rsidRPr="00FB76A9">
              <w:rPr>
                <w:rFonts w:ascii="Times New Roman" w:eastAsia="Times New Roman" w:hAnsi="Times New Roman" w:cs="Times New Roman"/>
                <w:b/>
                <w:bCs/>
                <w:sz w:val="24"/>
                <w:szCs w:val="24"/>
                <w:lang w:eastAsia="pl-PL"/>
              </w:rPr>
              <w:t xml:space="preserve">WDRAŻANEGO </w:t>
            </w:r>
            <w:r w:rsidRPr="00FB76A9">
              <w:rPr>
                <w:rFonts w:ascii="Times New Roman" w:eastAsia="Times New Roman" w:hAnsi="Times New Roman" w:cs="Times New Roman"/>
                <w:b/>
                <w:bCs/>
                <w:sz w:val="24"/>
                <w:szCs w:val="24"/>
                <w:lang w:eastAsia="pl-PL"/>
              </w:rPr>
              <w:t>AKTU PRAWNEGO</w:t>
            </w:r>
          </w:p>
        </w:tc>
        <w:tc>
          <w:tcPr>
            <w:tcW w:w="9482" w:type="dxa"/>
            <w:gridSpan w:val="5"/>
            <w:tcBorders>
              <w:bottom w:val="single" w:sz="4" w:space="0" w:color="auto"/>
            </w:tcBorders>
          </w:tcPr>
          <w:p w14:paraId="219E2086" w14:textId="77777777" w:rsidR="00B90467" w:rsidRPr="00FB76A9" w:rsidRDefault="00B90467" w:rsidP="00FD5CD5">
            <w:pPr>
              <w:pStyle w:val="ODNONIKtreodnonika"/>
              <w:jc w:val="left"/>
              <w:rPr>
                <w:rFonts w:eastAsia="Times New Roman" w:cs="Times New Roman"/>
                <w:sz w:val="24"/>
                <w:szCs w:val="24"/>
              </w:rPr>
            </w:pPr>
            <w:bookmarkStart w:id="0" w:name="_Hlk207890714"/>
            <w:r w:rsidRPr="00FB76A9">
              <w:rPr>
                <w:rFonts w:eastAsia="Times New Roman" w:cs="Times New Roman"/>
                <w:sz w:val="24"/>
                <w:szCs w:val="24"/>
              </w:rPr>
              <w:t xml:space="preserve">Rozporządzenie Parlamentu Europejskiego i Rady (UE) </w:t>
            </w:r>
            <w:r w:rsidRPr="00FB76A9">
              <w:rPr>
                <w:rFonts w:eastAsia="Times New Roman" w:cs="Times New Roman"/>
                <w:b/>
                <w:sz w:val="24"/>
                <w:szCs w:val="24"/>
              </w:rPr>
              <w:t>2018/858</w:t>
            </w:r>
            <w:r w:rsidRPr="00FB76A9">
              <w:rPr>
                <w:rFonts w:eastAsia="Times New Roman" w:cs="Times New Roman"/>
                <w:sz w:val="24"/>
                <w:szCs w:val="24"/>
              </w:rPr>
              <w:t xml:space="preserve"> z dnia 30 maja 2018 r. w</w:t>
            </w:r>
          </w:p>
          <w:p w14:paraId="4A528920" w14:textId="77777777" w:rsidR="00B90467" w:rsidRPr="00FB76A9" w:rsidRDefault="00B90467" w:rsidP="00FD5CD5">
            <w:pPr>
              <w:pStyle w:val="ODNONIKtreodnonika"/>
              <w:jc w:val="left"/>
              <w:rPr>
                <w:rFonts w:eastAsia="Times New Roman" w:cs="Times New Roman"/>
                <w:sz w:val="24"/>
                <w:szCs w:val="24"/>
              </w:rPr>
            </w:pPr>
            <w:r w:rsidRPr="00FB76A9">
              <w:rPr>
                <w:rFonts w:eastAsia="Times New Roman" w:cs="Times New Roman"/>
                <w:sz w:val="24"/>
                <w:szCs w:val="24"/>
              </w:rPr>
              <w:t>sprawie homologacji i nadzoru rynku pojazdów silnikowych i ich przyczep oraz układów,</w:t>
            </w:r>
          </w:p>
          <w:p w14:paraId="5B635F4C" w14:textId="77777777" w:rsidR="00B90467" w:rsidRPr="00FB76A9" w:rsidRDefault="00B90467" w:rsidP="00FD5CD5">
            <w:pPr>
              <w:pStyle w:val="ODNONIKtreodnonika"/>
              <w:jc w:val="left"/>
              <w:rPr>
                <w:rFonts w:eastAsia="Times New Roman" w:cs="Times New Roman"/>
                <w:sz w:val="24"/>
                <w:szCs w:val="24"/>
              </w:rPr>
            </w:pPr>
            <w:r w:rsidRPr="00FB76A9">
              <w:rPr>
                <w:rFonts w:eastAsia="Times New Roman" w:cs="Times New Roman"/>
                <w:sz w:val="24"/>
                <w:szCs w:val="24"/>
              </w:rPr>
              <w:t>komponentów i oddzielnych zespołów technicznych przeznaczonych do tych pojazdów,</w:t>
            </w:r>
          </w:p>
          <w:p w14:paraId="0E4BDC2D" w14:textId="77777777" w:rsidR="00B90467" w:rsidRPr="00FB76A9" w:rsidRDefault="00B90467" w:rsidP="00FD5CD5">
            <w:pPr>
              <w:pStyle w:val="ODNONIKtreodnonika"/>
              <w:jc w:val="left"/>
              <w:rPr>
                <w:rFonts w:eastAsia="Times New Roman" w:cs="Times New Roman"/>
                <w:sz w:val="24"/>
                <w:szCs w:val="24"/>
              </w:rPr>
            </w:pPr>
            <w:r w:rsidRPr="00FB76A9">
              <w:rPr>
                <w:rFonts w:eastAsia="Times New Roman" w:cs="Times New Roman"/>
                <w:sz w:val="24"/>
                <w:szCs w:val="24"/>
              </w:rPr>
              <w:t>zmieniające rozporządzenie (WE) nr 715/2007 i (WE) nr 595/2009 oraz uchylające</w:t>
            </w:r>
          </w:p>
          <w:p w14:paraId="0F4A5D9A" w14:textId="77777777" w:rsidR="00B90467" w:rsidRPr="00FB76A9" w:rsidRDefault="00B90467" w:rsidP="00FD5CD5">
            <w:pPr>
              <w:pStyle w:val="ODNONIKtreodnonika"/>
              <w:ind w:left="0" w:firstLine="0"/>
              <w:jc w:val="left"/>
              <w:rPr>
                <w:rFonts w:eastAsia="Times New Roman" w:cs="Times New Roman"/>
                <w:sz w:val="24"/>
                <w:szCs w:val="24"/>
              </w:rPr>
            </w:pPr>
            <w:r w:rsidRPr="00FB76A9">
              <w:rPr>
                <w:rFonts w:eastAsia="Times New Roman" w:cs="Times New Roman"/>
                <w:sz w:val="24"/>
                <w:szCs w:val="24"/>
              </w:rPr>
              <w:t>dyrektywę 2007/46/WE (Dz. Urz. UE L 151 z 14.06.2018, str. 1</w:t>
            </w:r>
            <w:bookmarkEnd w:id="0"/>
            <w:r w:rsidRPr="00FB76A9">
              <w:rPr>
                <w:rFonts w:eastAsia="Times New Roman" w:cs="Times New Roman"/>
                <w:sz w:val="24"/>
                <w:szCs w:val="24"/>
              </w:rPr>
              <w:t xml:space="preserve">, </w:t>
            </w:r>
            <w:bookmarkStart w:id="1" w:name="_Hlk207890736"/>
            <w:r w:rsidRPr="00FB76A9">
              <w:rPr>
                <w:rFonts w:eastAsia="Times New Roman" w:cs="Times New Roman"/>
                <w:sz w:val="24"/>
                <w:szCs w:val="24"/>
              </w:rPr>
              <w:t>Dz. Urz. UE L 325 z</w:t>
            </w:r>
          </w:p>
          <w:p w14:paraId="32F599B7" w14:textId="77777777" w:rsidR="00B90467" w:rsidRPr="00FB76A9" w:rsidRDefault="00B90467" w:rsidP="00FD5CD5">
            <w:pPr>
              <w:pStyle w:val="ODNONIKtreodnonika"/>
              <w:jc w:val="left"/>
              <w:rPr>
                <w:rFonts w:eastAsia="Times New Roman" w:cs="Times New Roman"/>
                <w:sz w:val="24"/>
                <w:szCs w:val="24"/>
              </w:rPr>
            </w:pPr>
            <w:r w:rsidRPr="00FB76A9">
              <w:rPr>
                <w:rFonts w:eastAsia="Times New Roman" w:cs="Times New Roman"/>
                <w:sz w:val="24"/>
                <w:szCs w:val="24"/>
              </w:rPr>
              <w:t>16.12.2019, str. 1, Dz. Urz. UE L 19 z 21.01.2021, str. 2, Dz. Urz. UE L 272 z 30.07.2021, str.</w:t>
            </w:r>
          </w:p>
          <w:p w14:paraId="1316C0DF" w14:textId="77777777" w:rsidR="00B90467" w:rsidRPr="00FB76A9" w:rsidRDefault="00B90467" w:rsidP="00FD5CD5">
            <w:pPr>
              <w:pStyle w:val="ODNONIKtreodnonika"/>
              <w:jc w:val="left"/>
              <w:rPr>
                <w:rFonts w:eastAsia="Times New Roman" w:cs="Times New Roman"/>
                <w:sz w:val="24"/>
                <w:szCs w:val="24"/>
              </w:rPr>
            </w:pPr>
            <w:r w:rsidRPr="00FB76A9">
              <w:rPr>
                <w:rFonts w:eastAsia="Times New Roman" w:cs="Times New Roman"/>
                <w:sz w:val="24"/>
                <w:szCs w:val="24"/>
              </w:rPr>
              <w:t>16, Dz. Urz. UE L 313 z 06.09.2021, str. 4, Dz. Urz. UE L 398 z 11.11.2021, str. 29, Dz. Urz.</w:t>
            </w:r>
          </w:p>
          <w:p w14:paraId="6AF1F81C" w14:textId="77777777" w:rsidR="00B90467" w:rsidRPr="00FB76A9" w:rsidRDefault="00B90467" w:rsidP="00FD5CD5">
            <w:pPr>
              <w:pStyle w:val="ODNONIKtreodnonika"/>
              <w:jc w:val="left"/>
              <w:rPr>
                <w:rFonts w:eastAsia="Times New Roman" w:cs="Times New Roman"/>
                <w:sz w:val="24"/>
                <w:szCs w:val="24"/>
              </w:rPr>
            </w:pPr>
            <w:r w:rsidRPr="00FB76A9">
              <w:rPr>
                <w:rFonts w:eastAsia="Times New Roman" w:cs="Times New Roman"/>
                <w:sz w:val="24"/>
                <w:szCs w:val="24"/>
              </w:rPr>
              <w:t>UE L 296 z 16.11.2022, str. 1, Dz. Urz. UE L 304 z 24.11.2022, str. 103, Dz. Urz. UE L 92 z</w:t>
            </w:r>
          </w:p>
          <w:p w14:paraId="5FC846DA" w14:textId="77777777" w:rsidR="00B90467" w:rsidRPr="00FB76A9" w:rsidRDefault="00B90467" w:rsidP="00FD5CD5">
            <w:pPr>
              <w:pStyle w:val="ODNONIKtreodnonika"/>
              <w:jc w:val="left"/>
              <w:rPr>
                <w:rFonts w:eastAsia="Times New Roman" w:cs="Times New Roman"/>
                <w:sz w:val="24"/>
                <w:szCs w:val="24"/>
              </w:rPr>
            </w:pPr>
            <w:r w:rsidRPr="00FB76A9">
              <w:rPr>
                <w:rFonts w:eastAsia="Times New Roman" w:cs="Times New Roman"/>
                <w:sz w:val="24"/>
                <w:szCs w:val="24"/>
              </w:rPr>
              <w:t>30.03.2023, str. 30, Dz. Urz. UE 2024/1257 z 08.05.2024 oraz Dz. Urz. UE L 2024/1610 z</w:t>
            </w:r>
          </w:p>
          <w:p w14:paraId="2152FCA1" w14:textId="77777777" w:rsidR="006A576B" w:rsidRPr="00FB76A9" w:rsidRDefault="00B90467" w:rsidP="00FD5CD5">
            <w:pPr>
              <w:pStyle w:val="ODNONIKtreodnonika"/>
              <w:jc w:val="left"/>
              <w:rPr>
                <w:rFonts w:eastAsia="Times New Roman" w:cs="Times New Roman"/>
                <w:sz w:val="24"/>
                <w:szCs w:val="24"/>
              </w:rPr>
            </w:pPr>
            <w:r w:rsidRPr="00FB76A9">
              <w:rPr>
                <w:rFonts w:eastAsia="Times New Roman" w:cs="Times New Roman"/>
                <w:sz w:val="24"/>
                <w:szCs w:val="24"/>
              </w:rPr>
              <w:t xml:space="preserve">06.06.2024). </w:t>
            </w:r>
            <w:bookmarkEnd w:id="1"/>
          </w:p>
        </w:tc>
      </w:tr>
      <w:tr w:rsidR="00CF6560" w:rsidRPr="00FB76A9" w14:paraId="42E10747" w14:textId="77777777" w:rsidTr="00FE615C">
        <w:trPr>
          <w:cantSplit/>
          <w:trHeight w:val="576"/>
        </w:trPr>
        <w:tc>
          <w:tcPr>
            <w:tcW w:w="5513" w:type="dxa"/>
            <w:gridSpan w:val="2"/>
            <w:tcBorders>
              <w:bottom w:val="single" w:sz="4" w:space="0" w:color="auto"/>
            </w:tcBorders>
            <w:shd w:val="clear" w:color="auto" w:fill="E0E0E0"/>
          </w:tcPr>
          <w:p w14:paraId="614EF5F2" w14:textId="77777777" w:rsidR="00CF6560" w:rsidRPr="00FB76A9" w:rsidRDefault="00CF6560"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hAnsi="Times New Roman" w:cs="Times New Roman"/>
                <w:b/>
                <w:bCs/>
                <w:sz w:val="24"/>
                <w:szCs w:val="24"/>
              </w:rPr>
              <w:t>WYJAŚNIENIE TERMINU WEJŚCIA W ŻYCIE PROJEKTU / PROJEKTÓW</w:t>
            </w:r>
          </w:p>
        </w:tc>
        <w:tc>
          <w:tcPr>
            <w:tcW w:w="9482" w:type="dxa"/>
            <w:gridSpan w:val="5"/>
            <w:tcBorders>
              <w:bottom w:val="single" w:sz="4" w:space="0" w:color="auto"/>
            </w:tcBorders>
          </w:tcPr>
          <w:p w14:paraId="2D3E1CBB" w14:textId="77777777" w:rsidR="00CF6560" w:rsidRPr="00FB76A9" w:rsidRDefault="009C7D74" w:rsidP="00FD5CD5">
            <w:pPr>
              <w:pStyle w:val="ODNONIKtreodnonika"/>
              <w:ind w:left="80" w:firstLine="0"/>
              <w:jc w:val="left"/>
              <w:rPr>
                <w:rFonts w:eastAsia="Times New Roman" w:cs="Times New Roman"/>
                <w:sz w:val="24"/>
                <w:szCs w:val="24"/>
              </w:rPr>
            </w:pPr>
            <w:r w:rsidRPr="00FB76A9">
              <w:rPr>
                <w:rFonts w:eastAsia="Times New Roman" w:cs="Times New Roman"/>
                <w:sz w:val="24"/>
                <w:szCs w:val="24"/>
              </w:rPr>
              <w:t>Co do zasady przewiduje się, iż zgodnie z art. 1</w:t>
            </w:r>
            <w:r w:rsidR="00B923FC">
              <w:rPr>
                <w:rFonts w:eastAsia="Times New Roman" w:cs="Times New Roman"/>
                <w:sz w:val="24"/>
                <w:szCs w:val="24"/>
              </w:rPr>
              <w:t>9</w:t>
            </w:r>
            <w:r w:rsidRPr="00FB76A9">
              <w:rPr>
                <w:rFonts w:eastAsia="Times New Roman" w:cs="Times New Roman"/>
                <w:sz w:val="24"/>
                <w:szCs w:val="24"/>
              </w:rPr>
              <w:t xml:space="preserve"> projektu, </w:t>
            </w:r>
            <w:r w:rsidR="00EE148D" w:rsidRPr="00FB76A9">
              <w:rPr>
                <w:rFonts w:cs="Times New Roman"/>
                <w:sz w:val="24"/>
                <w:szCs w:val="24"/>
              </w:rPr>
              <w:t>u</w:t>
            </w:r>
            <w:r w:rsidRPr="00FB76A9">
              <w:rPr>
                <w:rFonts w:eastAsia="Times New Roman" w:cs="Times New Roman"/>
                <w:sz w:val="24"/>
                <w:szCs w:val="24"/>
              </w:rPr>
              <w:t>stawa wejdzie w życie po upływie 14 dni od dnia ogłoszenia, z wyjątkami wskazanymi w</w:t>
            </w:r>
            <w:r w:rsidR="007830F3">
              <w:rPr>
                <w:rFonts w:eastAsia="Times New Roman" w:cs="Times New Roman"/>
                <w:sz w:val="24"/>
                <w:szCs w:val="24"/>
              </w:rPr>
              <w:t xml:space="preserve"> art. 18 </w:t>
            </w:r>
            <w:r w:rsidRPr="00FB76A9">
              <w:rPr>
                <w:rFonts w:eastAsia="Times New Roman" w:cs="Times New Roman"/>
                <w:sz w:val="24"/>
                <w:szCs w:val="24"/>
              </w:rPr>
              <w:t>pkt 1-6.</w:t>
            </w:r>
          </w:p>
        </w:tc>
      </w:tr>
      <w:tr w:rsidR="006A576B" w:rsidRPr="00FB76A9" w14:paraId="4C7127E5" w14:textId="77777777" w:rsidTr="00FE615C">
        <w:trPr>
          <w:cantSplit/>
          <w:trHeight w:val="151"/>
        </w:trPr>
        <w:tc>
          <w:tcPr>
            <w:tcW w:w="14995" w:type="dxa"/>
            <w:gridSpan w:val="7"/>
            <w:shd w:val="clear" w:color="auto" w:fill="A0A0A0"/>
          </w:tcPr>
          <w:p w14:paraId="4DE1045C" w14:textId="77777777" w:rsidR="006A576B" w:rsidRPr="00FB76A9" w:rsidRDefault="007830F3" w:rsidP="00FD5CD5">
            <w:pPr>
              <w:spacing w:after="0" w:line="240" w:lineRule="auto"/>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AAA</w:t>
            </w:r>
          </w:p>
        </w:tc>
      </w:tr>
      <w:tr w:rsidR="006A576B" w:rsidRPr="00FB76A9" w14:paraId="23D91B35" w14:textId="77777777" w:rsidTr="00FE615C">
        <w:trPr>
          <w:trHeight w:val="576"/>
        </w:trPr>
        <w:tc>
          <w:tcPr>
            <w:tcW w:w="14995" w:type="dxa"/>
            <w:gridSpan w:val="7"/>
            <w:tcBorders>
              <w:bottom w:val="single" w:sz="4" w:space="0" w:color="auto"/>
            </w:tcBorders>
            <w:shd w:val="clear" w:color="auto" w:fill="D9D9D9"/>
          </w:tcPr>
          <w:p w14:paraId="2C145A4E" w14:textId="77777777" w:rsidR="006A576B" w:rsidRPr="00FB76A9" w:rsidRDefault="006A576B" w:rsidP="00FD5CD5">
            <w:pPr>
              <w:keepNext/>
              <w:spacing w:after="0" w:line="240" w:lineRule="auto"/>
              <w:outlineLvl w:val="1"/>
              <w:rPr>
                <w:rFonts w:ascii="Times New Roman" w:eastAsia="Times New Roman" w:hAnsi="Times New Roman" w:cs="Times New Roman"/>
                <w:bCs/>
                <w:sz w:val="24"/>
                <w:szCs w:val="24"/>
                <w:vertAlign w:val="superscript"/>
                <w:lang w:eastAsia="pl-PL"/>
              </w:rPr>
            </w:pPr>
          </w:p>
        </w:tc>
      </w:tr>
      <w:tr w:rsidR="006A576B" w:rsidRPr="00FB76A9" w14:paraId="4D9F05CB" w14:textId="77777777" w:rsidTr="004F1DD9">
        <w:trPr>
          <w:trHeight w:val="151"/>
        </w:trPr>
        <w:tc>
          <w:tcPr>
            <w:tcW w:w="988" w:type="dxa"/>
            <w:shd w:val="clear" w:color="auto" w:fill="D9D9D9"/>
          </w:tcPr>
          <w:p w14:paraId="5AF594EC" w14:textId="77777777" w:rsidR="006A576B" w:rsidRPr="00FB76A9" w:rsidRDefault="006A576B"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Jedn. red. </w:t>
            </w:r>
          </w:p>
        </w:tc>
        <w:tc>
          <w:tcPr>
            <w:tcW w:w="5386" w:type="dxa"/>
            <w:gridSpan w:val="2"/>
            <w:shd w:val="clear" w:color="auto" w:fill="D9D9D9"/>
          </w:tcPr>
          <w:p w14:paraId="1A5F0551" w14:textId="77777777" w:rsidR="006A576B" w:rsidRPr="00FB76A9" w:rsidRDefault="006A576B"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Treść przepisu UE </w:t>
            </w:r>
          </w:p>
        </w:tc>
        <w:tc>
          <w:tcPr>
            <w:tcW w:w="851" w:type="dxa"/>
            <w:shd w:val="clear" w:color="auto" w:fill="D9D9D9"/>
          </w:tcPr>
          <w:p w14:paraId="4A5BB743" w14:textId="77777777" w:rsidR="006A576B" w:rsidRPr="00FB76A9" w:rsidRDefault="006A576B"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Konieczność</w:t>
            </w:r>
          </w:p>
          <w:p w14:paraId="3B926014" w14:textId="77777777" w:rsidR="006A576B" w:rsidRPr="00FB76A9" w:rsidRDefault="006A576B"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wdrożenia</w:t>
            </w:r>
          </w:p>
          <w:p w14:paraId="797CB7D4" w14:textId="77777777" w:rsidR="006A576B" w:rsidRPr="00FB76A9" w:rsidRDefault="006A576B" w:rsidP="00FD5CD5">
            <w:pPr>
              <w:spacing w:after="0" w:line="240" w:lineRule="auto"/>
              <w:rPr>
                <w:rFonts w:ascii="Times New Roman" w:eastAsia="Times New Roman" w:hAnsi="Times New Roman" w:cs="Times New Roman"/>
                <w:b/>
                <w:sz w:val="24"/>
                <w:szCs w:val="24"/>
                <w:lang w:eastAsia="pl-PL"/>
              </w:rPr>
            </w:pPr>
          </w:p>
          <w:p w14:paraId="40A534AE" w14:textId="77777777" w:rsidR="006A576B" w:rsidRPr="00FB76A9" w:rsidRDefault="006A576B"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sz w:val="24"/>
                <w:szCs w:val="24"/>
                <w:lang w:eastAsia="pl-PL"/>
              </w:rPr>
              <w:t xml:space="preserve"> T / N</w:t>
            </w:r>
          </w:p>
        </w:tc>
        <w:tc>
          <w:tcPr>
            <w:tcW w:w="992" w:type="dxa"/>
            <w:shd w:val="clear" w:color="auto" w:fill="D9D9D9"/>
          </w:tcPr>
          <w:p w14:paraId="1CE2CA02" w14:textId="77777777" w:rsidR="006A576B" w:rsidRPr="00FB76A9" w:rsidRDefault="006A576B"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Jedn. red. (*) </w:t>
            </w:r>
          </w:p>
        </w:tc>
        <w:tc>
          <w:tcPr>
            <w:tcW w:w="5103" w:type="dxa"/>
            <w:shd w:val="clear" w:color="auto" w:fill="D9D9D9"/>
          </w:tcPr>
          <w:p w14:paraId="436C7D8D" w14:textId="77777777" w:rsidR="006A576B" w:rsidRPr="00FB76A9" w:rsidRDefault="006A576B"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Treść przepisu/ów projektu (*)</w:t>
            </w:r>
          </w:p>
        </w:tc>
        <w:tc>
          <w:tcPr>
            <w:tcW w:w="1675" w:type="dxa"/>
            <w:shd w:val="clear" w:color="auto" w:fill="D9D9D9"/>
          </w:tcPr>
          <w:p w14:paraId="3419675C" w14:textId="77777777" w:rsidR="006A576B" w:rsidRPr="00FB76A9" w:rsidRDefault="006A576B"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Uzasadnienie uwzględnienia w projekcie przepisów wykraczających poza minimalne wymogi  prawa UE (**)</w:t>
            </w:r>
          </w:p>
        </w:tc>
      </w:tr>
      <w:tr w:rsidR="00301DA0" w:rsidRPr="00FB76A9" w14:paraId="7DCD4D95" w14:textId="77777777" w:rsidTr="004F1DD9">
        <w:trPr>
          <w:trHeight w:val="340"/>
        </w:trPr>
        <w:tc>
          <w:tcPr>
            <w:tcW w:w="988" w:type="dxa"/>
            <w:tcBorders>
              <w:top w:val="single" w:sz="4" w:space="0" w:color="auto"/>
              <w:left w:val="single" w:sz="4" w:space="0" w:color="auto"/>
              <w:bottom w:val="single" w:sz="4" w:space="0" w:color="auto"/>
              <w:right w:val="single" w:sz="4" w:space="0" w:color="auto"/>
            </w:tcBorders>
          </w:tcPr>
          <w:p w14:paraId="68AE20A0" w14:textId="77777777" w:rsidR="00301DA0" w:rsidRPr="00FB76A9" w:rsidRDefault="00301DA0"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Art. 2 ust. 3 i 4</w:t>
            </w:r>
          </w:p>
        </w:tc>
        <w:tc>
          <w:tcPr>
            <w:tcW w:w="5386" w:type="dxa"/>
            <w:gridSpan w:val="2"/>
            <w:tcBorders>
              <w:top w:val="single" w:sz="4" w:space="0" w:color="auto"/>
              <w:left w:val="single" w:sz="4" w:space="0" w:color="auto"/>
              <w:bottom w:val="single" w:sz="4" w:space="0" w:color="auto"/>
              <w:right w:val="single" w:sz="4" w:space="0" w:color="auto"/>
            </w:tcBorders>
          </w:tcPr>
          <w:p w14:paraId="7B2678D5" w14:textId="77777777" w:rsidR="00301DA0" w:rsidRPr="00FB76A9" w:rsidRDefault="0006044B" w:rsidP="00FD5CD5">
            <w:pPr>
              <w:autoSpaceDE w:val="0"/>
              <w:autoSpaceDN w:val="0"/>
              <w:adjustRightInd w:val="0"/>
              <w:spacing w:before="60" w:after="6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w:t>
            </w:r>
            <w:r w:rsidR="00301DA0" w:rsidRPr="00FB76A9">
              <w:rPr>
                <w:rFonts w:ascii="Times New Roman" w:eastAsia="Times New Roman" w:hAnsi="Times New Roman" w:cs="Times New Roman"/>
                <w:sz w:val="24"/>
                <w:szCs w:val="24"/>
                <w:lang w:eastAsia="pl-PL"/>
              </w:rPr>
              <w:t xml:space="preserve">3. W przypadku następujących pojazdów producent może wystąpić o homologację typu lub </w:t>
            </w:r>
            <w:r w:rsidR="00301DA0" w:rsidRPr="00FB76A9">
              <w:rPr>
                <w:rFonts w:ascii="Times New Roman" w:eastAsia="Times New Roman" w:hAnsi="Times New Roman" w:cs="Times New Roman"/>
                <w:sz w:val="24"/>
                <w:szCs w:val="24"/>
                <w:u w:val="single"/>
                <w:lang w:eastAsia="pl-PL"/>
              </w:rPr>
              <w:t xml:space="preserve">indywidualne dopuszczenie pojazdu </w:t>
            </w:r>
            <w:r w:rsidR="00301DA0" w:rsidRPr="00FB76A9">
              <w:rPr>
                <w:rFonts w:ascii="Times New Roman" w:eastAsia="Times New Roman" w:hAnsi="Times New Roman" w:cs="Times New Roman"/>
                <w:sz w:val="24"/>
                <w:szCs w:val="24"/>
                <w:lang w:eastAsia="pl-PL"/>
              </w:rPr>
              <w:t xml:space="preserve">na podstawie niniejszego </w:t>
            </w:r>
            <w:r w:rsidR="00301DA0" w:rsidRPr="00FB76A9">
              <w:rPr>
                <w:rFonts w:ascii="Times New Roman" w:eastAsia="Times New Roman" w:hAnsi="Times New Roman" w:cs="Times New Roman"/>
                <w:sz w:val="24"/>
                <w:szCs w:val="24"/>
                <w:lang w:eastAsia="pl-PL"/>
              </w:rPr>
              <w:lastRenderedPageBreak/>
              <w:t xml:space="preserve">rozporządzenia, pod warunkiem że pojazdy te spełniają wymogi niniejszego rozporządzenia: </w:t>
            </w:r>
          </w:p>
          <w:p w14:paraId="0DF67400" w14:textId="77777777" w:rsidR="00301DA0" w:rsidRPr="00FB76A9" w:rsidRDefault="00301DA0" w:rsidP="00FD5CD5">
            <w:pPr>
              <w:autoSpaceDE w:val="0"/>
              <w:autoSpaceDN w:val="0"/>
              <w:adjustRightInd w:val="0"/>
              <w:spacing w:before="60" w:after="6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 pojazdy zaprojektowane i zbudowane do użytku przede wszystkim na placach budowy lub w kamieniołomach, w obiektach portowych lub w portach lotniczych; </w:t>
            </w:r>
          </w:p>
          <w:p w14:paraId="42CCD7C7" w14:textId="77777777" w:rsidR="00301DA0" w:rsidRPr="00FB76A9" w:rsidRDefault="00301DA0" w:rsidP="00FD5CD5">
            <w:pPr>
              <w:autoSpaceDE w:val="0"/>
              <w:autoSpaceDN w:val="0"/>
              <w:adjustRightInd w:val="0"/>
              <w:spacing w:before="60" w:after="6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b) pojazdy zaprojektowane i zbudowane lub dostosowane do użytku przez służby ochrony ludności, straż pożarną oraz służby odpowiedzialne za utrzymanie porządku publicznego; </w:t>
            </w:r>
          </w:p>
          <w:p w14:paraId="477EB47A" w14:textId="77777777" w:rsidR="00301DA0" w:rsidRPr="00FB76A9" w:rsidRDefault="00301DA0" w:rsidP="00FD5CD5">
            <w:pPr>
              <w:autoSpaceDE w:val="0"/>
              <w:autoSpaceDN w:val="0"/>
              <w:adjustRightInd w:val="0"/>
              <w:spacing w:before="60" w:after="6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c) każdy pojazd z własnym napędem, który został zaprojektowany i zbudowany specjalnie do wykonywania prac i który ze względu na swoje cechy konstrukcyjne nie jest przeznaczony do przewozu pasażerów ani towarów i który nie jest maszyną zamocowaną na podwoziu pojazdu silnikowego. </w:t>
            </w:r>
          </w:p>
          <w:p w14:paraId="62DE7539" w14:textId="77777777" w:rsidR="00301DA0" w:rsidRPr="00FB76A9" w:rsidRDefault="00301DA0" w:rsidP="00FD5CD5">
            <w:pPr>
              <w:autoSpaceDE w:val="0"/>
              <w:autoSpaceDN w:val="0"/>
              <w:adjustRightInd w:val="0"/>
              <w:spacing w:before="60" w:after="6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Tego rodzaju dopuszczenia pozostają bez uszczerbku dla stosowania dyrektywy 2006/42/WE Parlamentu Europejskiego i Rady ( 2 ). </w:t>
            </w:r>
          </w:p>
          <w:p w14:paraId="0B4401CC" w14:textId="77777777" w:rsidR="00301DA0" w:rsidRPr="00FB76A9" w:rsidRDefault="00301DA0" w:rsidP="00FD5CD5">
            <w:pPr>
              <w:autoSpaceDE w:val="0"/>
              <w:autoSpaceDN w:val="0"/>
              <w:adjustRightInd w:val="0"/>
              <w:spacing w:before="60" w:after="6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4. Producent może wystąpić o indywidualne dopuszczenie pojazdu na podstawie niniejszego rozporządzenia w przypadku następujących pojazdów: </w:t>
            </w:r>
          </w:p>
          <w:p w14:paraId="4B05ACC6" w14:textId="77777777" w:rsidR="00301DA0" w:rsidRPr="00FB76A9" w:rsidRDefault="00301DA0" w:rsidP="00FD5CD5">
            <w:pPr>
              <w:autoSpaceDE w:val="0"/>
              <w:autoSpaceDN w:val="0"/>
              <w:adjustRightInd w:val="0"/>
              <w:spacing w:before="60" w:after="6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 pojazdów przeznaczonych wyłącznie do wyścigów drogowych; </w:t>
            </w:r>
          </w:p>
          <w:p w14:paraId="33C21494" w14:textId="77777777" w:rsidR="00301DA0" w:rsidRPr="00FB76A9" w:rsidRDefault="00301DA0"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b) prototypów pojazdów używanych na drodze na odpowiedzialność producenta w celu przeprowadzenia konkretnego programu badań, pod warunkiem że zostały one specjalnie zaprojektowane i zbudowane do tego celu.</w:t>
            </w:r>
            <w:r w:rsidR="0006044B" w:rsidRPr="00FB76A9">
              <w:rPr>
                <w:rFonts w:ascii="Times New Roman" w:eastAsia="Times New Roman" w:hAnsi="Times New Roman" w:cs="Times New Roman"/>
                <w:sz w:val="24"/>
                <w:szCs w:val="24"/>
                <w:lang w:eastAsia="pl-PL"/>
              </w:rPr>
              <w:t>”</w:t>
            </w:r>
          </w:p>
        </w:tc>
        <w:tc>
          <w:tcPr>
            <w:tcW w:w="851" w:type="dxa"/>
            <w:tcBorders>
              <w:top w:val="single" w:sz="4" w:space="0" w:color="auto"/>
              <w:left w:val="single" w:sz="4" w:space="0" w:color="auto"/>
              <w:bottom w:val="single" w:sz="4" w:space="0" w:color="auto"/>
              <w:right w:val="single" w:sz="4" w:space="0" w:color="auto"/>
            </w:tcBorders>
          </w:tcPr>
          <w:p w14:paraId="379C33C7" w14:textId="77777777" w:rsidR="00301DA0" w:rsidRPr="00FB76A9" w:rsidRDefault="00301DA0"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lastRenderedPageBreak/>
              <w:t>T</w:t>
            </w:r>
          </w:p>
        </w:tc>
        <w:tc>
          <w:tcPr>
            <w:tcW w:w="992" w:type="dxa"/>
            <w:tcBorders>
              <w:top w:val="single" w:sz="4" w:space="0" w:color="auto"/>
              <w:left w:val="single" w:sz="4" w:space="0" w:color="auto"/>
              <w:bottom w:val="single" w:sz="4" w:space="0" w:color="auto"/>
              <w:right w:val="single" w:sz="4" w:space="0" w:color="auto"/>
            </w:tcBorders>
          </w:tcPr>
          <w:p w14:paraId="7E7B341A" w14:textId="77777777" w:rsidR="00301DA0" w:rsidRPr="00FB76A9" w:rsidRDefault="00301DA0"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 xml:space="preserve">Art. 1 </w:t>
            </w:r>
            <w:r w:rsidR="00EF061D">
              <w:rPr>
                <w:rFonts w:ascii="Times New Roman" w:eastAsia="Times New Roman" w:hAnsi="Times New Roman" w:cs="Times New Roman"/>
                <w:sz w:val="24"/>
                <w:szCs w:val="24"/>
                <w:lang w:val="en-GB" w:eastAsia="pl-PL"/>
              </w:rPr>
              <w:t xml:space="preserve">pkt 6 lit. </w:t>
            </w:r>
            <w:r w:rsidR="00EF061D">
              <w:rPr>
                <w:rFonts w:ascii="Times New Roman" w:eastAsia="Times New Roman" w:hAnsi="Times New Roman" w:cs="Times New Roman"/>
                <w:sz w:val="24"/>
                <w:szCs w:val="24"/>
                <w:lang w:val="en-GB" w:eastAsia="pl-PL"/>
              </w:rPr>
              <w:lastRenderedPageBreak/>
              <w:t xml:space="preserve">b i </w:t>
            </w:r>
            <w:r w:rsidRPr="00FB76A9">
              <w:rPr>
                <w:rFonts w:ascii="Times New Roman" w:eastAsia="Times New Roman" w:hAnsi="Times New Roman" w:cs="Times New Roman"/>
                <w:sz w:val="24"/>
                <w:szCs w:val="24"/>
                <w:lang w:val="en-GB" w:eastAsia="pl-PL"/>
              </w:rPr>
              <w:t xml:space="preserve">pkt </w:t>
            </w:r>
            <w:r w:rsidR="003C2855" w:rsidRPr="00FB76A9">
              <w:rPr>
                <w:rFonts w:ascii="Times New Roman" w:eastAsia="Times New Roman" w:hAnsi="Times New Roman" w:cs="Times New Roman"/>
                <w:sz w:val="24"/>
                <w:szCs w:val="24"/>
                <w:lang w:val="en-GB" w:eastAsia="pl-PL"/>
              </w:rPr>
              <w:t>21</w:t>
            </w:r>
            <w:r w:rsidRPr="00FB76A9">
              <w:rPr>
                <w:rFonts w:ascii="Times New Roman" w:eastAsia="Times New Roman" w:hAnsi="Times New Roman" w:cs="Times New Roman"/>
                <w:sz w:val="24"/>
                <w:szCs w:val="24"/>
                <w:lang w:val="en-GB" w:eastAsia="pl-PL"/>
              </w:rPr>
              <w:t xml:space="preserve"> </w:t>
            </w:r>
          </w:p>
        </w:tc>
        <w:tc>
          <w:tcPr>
            <w:tcW w:w="5103" w:type="dxa"/>
            <w:tcBorders>
              <w:top w:val="single" w:sz="4" w:space="0" w:color="auto"/>
              <w:left w:val="single" w:sz="4" w:space="0" w:color="auto"/>
              <w:bottom w:val="single" w:sz="4" w:space="0" w:color="auto"/>
              <w:right w:val="single" w:sz="4" w:space="0" w:color="auto"/>
            </w:tcBorders>
          </w:tcPr>
          <w:p w14:paraId="578ACF57" w14:textId="77777777" w:rsidR="007830F3" w:rsidRPr="007830F3" w:rsidRDefault="007830F3" w:rsidP="00FD5CD5">
            <w:pPr>
              <w:pStyle w:val="ZARTzmartartykuempunktem"/>
              <w:keepNext/>
              <w:spacing w:line="240" w:lineRule="auto"/>
              <w:ind w:left="0" w:firstLine="0"/>
              <w:jc w:val="left"/>
              <w:rPr>
                <w:rFonts w:ascii="Times New Roman" w:hAnsi="Times New Roman" w:cs="Times New Roman"/>
                <w:szCs w:val="24"/>
              </w:rPr>
            </w:pPr>
            <w:r w:rsidRPr="007830F3">
              <w:rPr>
                <w:rFonts w:ascii="Times New Roman" w:hAnsi="Times New Roman" w:cs="Times New Roman"/>
                <w:szCs w:val="24"/>
              </w:rPr>
              <w:lastRenderedPageBreak/>
              <w:t>„</w:t>
            </w:r>
            <w:r>
              <w:rPr>
                <w:rFonts w:ascii="Times New Roman" w:hAnsi="Times New Roman" w:cs="Times New Roman"/>
                <w:szCs w:val="24"/>
              </w:rPr>
              <w:t xml:space="preserve">Art. 13. </w:t>
            </w:r>
            <w:r w:rsidRPr="007830F3">
              <w:rPr>
                <w:rFonts w:ascii="Times New Roman" w:hAnsi="Times New Roman" w:cs="Times New Roman"/>
                <w:szCs w:val="24"/>
              </w:rPr>
              <w:t xml:space="preserve">4. Pojazdy, o których mowa </w:t>
            </w:r>
            <w:r w:rsidRPr="00EF061D">
              <w:rPr>
                <w:rFonts w:ascii="Times New Roman" w:hAnsi="Times New Roman" w:cs="Times New Roman"/>
                <w:szCs w:val="24"/>
              </w:rPr>
              <w:t xml:space="preserve">w </w:t>
            </w:r>
            <w:hyperlink w:history="1">
              <w:r w:rsidRPr="00EF061D">
                <w:rPr>
                  <w:rStyle w:val="Hipercze"/>
                  <w:rFonts w:ascii="Times New Roman" w:hAnsi="Times New Roman" w:cs="Times New Roman"/>
                  <w:color w:val="auto"/>
                  <w:szCs w:val="24"/>
                  <w:u w:val="none"/>
                </w:rPr>
                <w:t>art. 2 ust. 3</w:t>
              </w:r>
            </w:hyperlink>
            <w:r w:rsidRPr="00EF061D">
              <w:rPr>
                <w:rFonts w:ascii="Times New Roman" w:hAnsi="Times New Roman" w:cs="Times New Roman"/>
                <w:szCs w:val="24"/>
              </w:rPr>
              <w:t xml:space="preserve"> oraz ust. 4 lit. a rozporządzenia </w:t>
            </w:r>
            <w:hyperlink w:history="1">
              <w:r w:rsidRPr="00EF061D">
                <w:rPr>
                  <w:rStyle w:val="Hipercze"/>
                  <w:rFonts w:ascii="Times New Roman" w:hAnsi="Times New Roman" w:cs="Times New Roman"/>
                  <w:color w:val="auto"/>
                  <w:szCs w:val="24"/>
                  <w:u w:val="none"/>
                </w:rPr>
                <w:t>2018/858</w:t>
              </w:r>
            </w:hyperlink>
            <w:r w:rsidRPr="00EF061D">
              <w:rPr>
                <w:rFonts w:ascii="Times New Roman" w:hAnsi="Times New Roman" w:cs="Times New Roman"/>
                <w:szCs w:val="24"/>
              </w:rPr>
              <w:t xml:space="preserve">, nie podlegają obowiązkowi uzyskania świadectwa </w:t>
            </w:r>
            <w:r w:rsidRPr="007830F3">
              <w:rPr>
                <w:rFonts w:ascii="Times New Roman" w:hAnsi="Times New Roman" w:cs="Times New Roman"/>
                <w:szCs w:val="24"/>
              </w:rPr>
              <w:lastRenderedPageBreak/>
              <w:t xml:space="preserve">homologacji. Producent takiego pojazdu może wystąpić o wydanie świadectwa homologacji typu UE pojazdu albo świadectwa krajowej homologacji typu pojazdów produkowanych w małych seriach, jeżeli pojazd spełnia odpowiednie warunki lub wymagania techniczne określone w przepisach rozporządzenia 2018/858 albo przepisach wydanych na </w:t>
            </w:r>
            <w:r w:rsidRPr="00EF061D">
              <w:rPr>
                <w:rFonts w:ascii="Times New Roman" w:hAnsi="Times New Roman" w:cs="Times New Roman"/>
                <w:szCs w:val="24"/>
              </w:rPr>
              <w:t xml:space="preserve">podstawie </w:t>
            </w:r>
            <w:hyperlink w:history="1">
              <w:r w:rsidRPr="00EF061D">
                <w:rPr>
                  <w:rStyle w:val="Hipercze"/>
                  <w:rFonts w:ascii="Times New Roman" w:hAnsi="Times New Roman" w:cs="Times New Roman"/>
                  <w:color w:val="auto"/>
                  <w:szCs w:val="24"/>
                  <w:u w:val="none"/>
                </w:rPr>
                <w:t>art. 54 ust. 1</w:t>
              </w:r>
            </w:hyperlink>
            <w:r w:rsidRPr="00EF061D">
              <w:rPr>
                <w:rFonts w:ascii="Times New Roman" w:hAnsi="Times New Roman" w:cs="Times New Roman"/>
                <w:szCs w:val="24"/>
              </w:rPr>
              <w:t>.”</w:t>
            </w:r>
          </w:p>
          <w:p w14:paraId="03412D3A" w14:textId="77777777" w:rsidR="007830F3" w:rsidRDefault="007830F3" w:rsidP="00FD5CD5">
            <w:pPr>
              <w:pStyle w:val="ZARTzmartartykuempunktem"/>
              <w:keepNext/>
              <w:spacing w:line="240" w:lineRule="auto"/>
              <w:ind w:left="0" w:firstLine="0"/>
              <w:jc w:val="left"/>
              <w:rPr>
                <w:rFonts w:ascii="Times New Roman" w:hAnsi="Times New Roman" w:cs="Times New Roman"/>
                <w:szCs w:val="24"/>
              </w:rPr>
            </w:pPr>
          </w:p>
          <w:p w14:paraId="7670BDC5" w14:textId="77777777" w:rsidR="00301DA0" w:rsidRDefault="00301DA0"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w:t>
            </w:r>
            <w:r w:rsidR="00CF6560" w:rsidRPr="00FB76A9">
              <w:rPr>
                <w:rFonts w:ascii="Times New Roman" w:hAnsi="Times New Roman" w:cs="Times New Roman"/>
                <w:szCs w:val="24"/>
              </w:rPr>
              <w:t>Art. 68b. Producent pojazdu, o którym mowa w art. 2 ust. 3 i 4 rozporządzenia 2018/858, może wystąpić o wydanie krajowego indywidualnego dopuszczenia nowego pojazdu, jeżeli pojazd spełnia odpowiednie warunki lub wymagania techniczne, określone w przepisach wydanych na podstawie art. 68r ust. 1.</w:t>
            </w:r>
            <w:r w:rsidR="0006044B" w:rsidRPr="00FB76A9">
              <w:rPr>
                <w:rFonts w:ascii="Times New Roman" w:hAnsi="Times New Roman" w:cs="Times New Roman"/>
                <w:szCs w:val="24"/>
              </w:rPr>
              <w:t>”</w:t>
            </w:r>
          </w:p>
          <w:p w14:paraId="5E2D1525" w14:textId="77777777" w:rsidR="007830F3" w:rsidRDefault="007830F3" w:rsidP="00FD5CD5">
            <w:pPr>
              <w:pStyle w:val="ZARTzmartartykuempunktem"/>
              <w:keepNext/>
              <w:spacing w:line="240" w:lineRule="auto"/>
              <w:ind w:left="0" w:firstLine="0"/>
              <w:jc w:val="left"/>
              <w:rPr>
                <w:rFonts w:ascii="Times New Roman" w:hAnsi="Times New Roman" w:cs="Times New Roman"/>
                <w:szCs w:val="24"/>
              </w:rPr>
            </w:pPr>
          </w:p>
          <w:p w14:paraId="0291107A" w14:textId="77777777" w:rsidR="007830F3" w:rsidRPr="00FB76A9" w:rsidRDefault="007830F3" w:rsidP="00FD5CD5">
            <w:pPr>
              <w:pStyle w:val="ZARTzmartartykuempunktem"/>
              <w:keepNext/>
              <w:spacing w:line="240" w:lineRule="auto"/>
              <w:ind w:left="0" w:firstLine="0"/>
              <w:jc w:val="left"/>
              <w:rPr>
                <w:rFonts w:ascii="Times New Roman" w:hAnsi="Times New Roman" w:cs="Times New Roman"/>
                <w:szCs w:val="24"/>
              </w:rPr>
            </w:pPr>
          </w:p>
          <w:p w14:paraId="1231B83E" w14:textId="77777777" w:rsidR="00301DA0" w:rsidRPr="00FB76A9" w:rsidRDefault="00301DA0" w:rsidP="00FD5CD5">
            <w:pPr>
              <w:spacing w:after="0" w:line="240" w:lineRule="auto"/>
              <w:rPr>
                <w:rFonts w:ascii="Times New Roman" w:eastAsia="Times New Roman" w:hAnsi="Times New Roman" w:cs="Times New Roman"/>
                <w:sz w:val="24"/>
                <w:szCs w:val="24"/>
                <w:lang w:eastAsia="pl-PL"/>
              </w:rPr>
            </w:pPr>
          </w:p>
        </w:tc>
        <w:tc>
          <w:tcPr>
            <w:tcW w:w="1675" w:type="dxa"/>
          </w:tcPr>
          <w:p w14:paraId="1875E48A" w14:textId="77777777" w:rsidR="00301DA0" w:rsidRPr="00FB76A9" w:rsidRDefault="00301DA0" w:rsidP="00FD5CD5">
            <w:pPr>
              <w:spacing w:after="0" w:line="240" w:lineRule="auto"/>
              <w:rPr>
                <w:rFonts w:ascii="Times New Roman" w:eastAsia="Times New Roman" w:hAnsi="Times New Roman" w:cs="Times New Roman"/>
                <w:sz w:val="24"/>
                <w:szCs w:val="24"/>
                <w:lang w:eastAsia="pl-PL"/>
              </w:rPr>
            </w:pPr>
          </w:p>
        </w:tc>
      </w:tr>
      <w:tr w:rsidR="006A576B" w:rsidRPr="00FB76A9" w14:paraId="635C27B5" w14:textId="77777777" w:rsidTr="004F1DD9">
        <w:trPr>
          <w:trHeight w:val="340"/>
        </w:trPr>
        <w:tc>
          <w:tcPr>
            <w:tcW w:w="988" w:type="dxa"/>
            <w:tcBorders>
              <w:top w:val="single" w:sz="4" w:space="0" w:color="auto"/>
              <w:left w:val="single" w:sz="4" w:space="0" w:color="auto"/>
              <w:bottom w:val="single" w:sz="4" w:space="0" w:color="auto"/>
              <w:right w:val="single" w:sz="4" w:space="0" w:color="auto"/>
            </w:tcBorders>
          </w:tcPr>
          <w:p w14:paraId="482649F6" w14:textId="77777777" w:rsidR="006A576B" w:rsidRPr="00FB76A9" w:rsidRDefault="00E137BB"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lastRenderedPageBreak/>
              <w:t>Art. 3 pkt 34</w:t>
            </w:r>
            <w:r w:rsidR="00283AAE" w:rsidRPr="00FB76A9">
              <w:rPr>
                <w:rFonts w:ascii="Times New Roman" w:eastAsia="Times New Roman" w:hAnsi="Times New Roman" w:cs="Times New Roman"/>
                <w:b/>
                <w:sz w:val="24"/>
                <w:szCs w:val="24"/>
                <w:lang w:eastAsia="pl-PL"/>
              </w:rPr>
              <w:t xml:space="preserve"> </w:t>
            </w:r>
          </w:p>
        </w:tc>
        <w:tc>
          <w:tcPr>
            <w:tcW w:w="5386" w:type="dxa"/>
            <w:gridSpan w:val="2"/>
            <w:tcBorders>
              <w:top w:val="single" w:sz="4" w:space="0" w:color="auto"/>
              <w:left w:val="single" w:sz="4" w:space="0" w:color="auto"/>
              <w:bottom w:val="single" w:sz="4" w:space="0" w:color="auto"/>
              <w:right w:val="single" w:sz="4" w:space="0" w:color="auto"/>
            </w:tcBorders>
          </w:tcPr>
          <w:p w14:paraId="7FF02D84" w14:textId="77777777" w:rsidR="006A576B" w:rsidRPr="00FB76A9" w:rsidRDefault="00151C04"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„34) „nadzór rynku” oznacza działania i środki podejmowane przez organy nadzoru rynku w celu zapewnienia, aby pojazdy, układy, komponenty i oddzielne zespoły techniczne oraz części i wyposażenie udostępniane na rynku spełniały wymogi określone w odpowiednim unijnym prawodawstwie harmonizacyjnym oraz aby nie zagrażały one zdrowiu, bezpieczeństwu, środowisku ani żadnemu innemu aspektowi ochrony interesu publicznego;”</w:t>
            </w:r>
          </w:p>
        </w:tc>
        <w:tc>
          <w:tcPr>
            <w:tcW w:w="851" w:type="dxa"/>
            <w:tcBorders>
              <w:top w:val="single" w:sz="4" w:space="0" w:color="auto"/>
              <w:left w:val="single" w:sz="4" w:space="0" w:color="auto"/>
              <w:bottom w:val="single" w:sz="4" w:space="0" w:color="auto"/>
              <w:right w:val="single" w:sz="4" w:space="0" w:color="auto"/>
            </w:tcBorders>
          </w:tcPr>
          <w:p w14:paraId="3C0F2846" w14:textId="77777777" w:rsidR="006A576B" w:rsidRPr="00FB76A9" w:rsidRDefault="006A576B" w:rsidP="00FD5CD5">
            <w:pPr>
              <w:spacing w:after="0" w:line="240" w:lineRule="auto"/>
              <w:rPr>
                <w:rFonts w:ascii="Times New Roman" w:eastAsia="Times New Roman" w:hAnsi="Times New Roman" w:cs="Times New Roman"/>
                <w:sz w:val="24"/>
                <w:szCs w:val="24"/>
                <w:lang w:eastAsia="pl-PL"/>
              </w:rPr>
            </w:pPr>
          </w:p>
          <w:p w14:paraId="2C88E112" w14:textId="77777777" w:rsidR="006A576B" w:rsidRPr="00FB76A9" w:rsidRDefault="00083A2A"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992" w:type="dxa"/>
            <w:tcBorders>
              <w:top w:val="single" w:sz="4" w:space="0" w:color="auto"/>
              <w:left w:val="single" w:sz="4" w:space="0" w:color="auto"/>
              <w:bottom w:val="single" w:sz="4" w:space="0" w:color="auto"/>
              <w:right w:val="single" w:sz="4" w:space="0" w:color="auto"/>
            </w:tcBorders>
          </w:tcPr>
          <w:p w14:paraId="1A2F28A3" w14:textId="77777777" w:rsidR="006A576B" w:rsidRPr="00FB76A9" w:rsidRDefault="00E137BB"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 xml:space="preserve">Art. 1 pkt 3 lit. </w:t>
            </w:r>
            <w:r w:rsidR="009640A5" w:rsidRPr="00FB76A9">
              <w:rPr>
                <w:rFonts w:ascii="Times New Roman" w:eastAsia="Times New Roman" w:hAnsi="Times New Roman" w:cs="Times New Roman"/>
                <w:sz w:val="24"/>
                <w:szCs w:val="24"/>
                <w:lang w:val="en-GB" w:eastAsia="pl-PL"/>
              </w:rPr>
              <w:t>f</w:t>
            </w:r>
          </w:p>
          <w:p w14:paraId="1E36B86E" w14:textId="77777777" w:rsidR="00283AAE" w:rsidRPr="00FB76A9" w:rsidRDefault="00283AAE" w:rsidP="00FD5CD5">
            <w:pPr>
              <w:spacing w:after="0" w:line="240" w:lineRule="auto"/>
              <w:rPr>
                <w:rFonts w:ascii="Times New Roman" w:eastAsia="Times New Roman" w:hAnsi="Times New Roman" w:cs="Times New Roman"/>
                <w:sz w:val="24"/>
                <w:szCs w:val="24"/>
                <w:lang w:val="en-GB" w:eastAsia="pl-PL"/>
              </w:rPr>
            </w:pPr>
          </w:p>
          <w:p w14:paraId="344E04D1" w14:textId="77777777" w:rsidR="00283AAE" w:rsidRPr="00FB76A9" w:rsidRDefault="00283AAE" w:rsidP="00FD5CD5">
            <w:pPr>
              <w:spacing w:after="0" w:line="240" w:lineRule="auto"/>
              <w:rPr>
                <w:rFonts w:ascii="Times New Roman" w:eastAsia="Times New Roman" w:hAnsi="Times New Roman" w:cs="Times New Roman"/>
                <w:sz w:val="24"/>
                <w:szCs w:val="24"/>
                <w:lang w:val="en-GB" w:eastAsia="pl-PL"/>
              </w:rPr>
            </w:pPr>
          </w:p>
          <w:p w14:paraId="301B89E3" w14:textId="77777777" w:rsidR="00283AAE" w:rsidRPr="00FB76A9" w:rsidRDefault="00283AAE" w:rsidP="00FD5CD5">
            <w:pPr>
              <w:spacing w:after="0" w:line="240" w:lineRule="auto"/>
              <w:rPr>
                <w:rFonts w:ascii="Times New Roman" w:eastAsia="Times New Roman" w:hAnsi="Times New Roman" w:cs="Times New Roman"/>
                <w:sz w:val="24"/>
                <w:szCs w:val="24"/>
                <w:lang w:val="en-GB" w:eastAsia="pl-PL"/>
              </w:rPr>
            </w:pPr>
          </w:p>
          <w:p w14:paraId="2B8599A4" w14:textId="77777777" w:rsidR="00A1268A" w:rsidRPr="00FB76A9" w:rsidRDefault="00A1268A" w:rsidP="00FD5CD5">
            <w:pPr>
              <w:spacing w:after="0" w:line="240" w:lineRule="auto"/>
              <w:rPr>
                <w:rFonts w:ascii="Times New Roman" w:eastAsia="Times New Roman" w:hAnsi="Times New Roman" w:cs="Times New Roman"/>
                <w:sz w:val="24"/>
                <w:szCs w:val="24"/>
                <w:lang w:val="en-GB" w:eastAsia="pl-PL"/>
              </w:rPr>
            </w:pPr>
          </w:p>
          <w:p w14:paraId="3F63E9B1" w14:textId="77777777" w:rsidR="00283AAE" w:rsidRPr="00FB76A9" w:rsidRDefault="00283AAE"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 xml:space="preserve">Art. 1 pkt 4 lit. </w:t>
            </w:r>
            <w:r w:rsidR="009640A5" w:rsidRPr="00FB76A9">
              <w:rPr>
                <w:rFonts w:ascii="Times New Roman" w:eastAsia="Times New Roman" w:hAnsi="Times New Roman" w:cs="Times New Roman"/>
                <w:sz w:val="24"/>
                <w:szCs w:val="24"/>
                <w:lang w:val="en-GB" w:eastAsia="pl-PL"/>
              </w:rPr>
              <w:t>d</w:t>
            </w:r>
          </w:p>
        </w:tc>
        <w:tc>
          <w:tcPr>
            <w:tcW w:w="5103" w:type="dxa"/>
            <w:tcBorders>
              <w:top w:val="single" w:sz="4" w:space="0" w:color="auto"/>
              <w:left w:val="single" w:sz="4" w:space="0" w:color="auto"/>
              <w:bottom w:val="single" w:sz="4" w:space="0" w:color="auto"/>
              <w:right w:val="single" w:sz="4" w:space="0" w:color="auto"/>
            </w:tcBorders>
          </w:tcPr>
          <w:p w14:paraId="7708FF38" w14:textId="77777777" w:rsidR="006A576B" w:rsidRPr="00FB76A9" w:rsidRDefault="00E137BB"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w:t>
            </w:r>
            <w:r w:rsidR="009640A5" w:rsidRPr="00FB76A9">
              <w:rPr>
                <w:rFonts w:ascii="Times New Roman" w:eastAsia="Times New Roman" w:hAnsi="Times New Roman" w:cs="Times New Roman"/>
                <w:sz w:val="24"/>
                <w:szCs w:val="24"/>
                <w:lang w:eastAsia="pl-PL"/>
              </w:rPr>
              <w:t>35) nadzorze rynku – rozumie się przez to nadzór rynku, o którym mowa odpowiednio w art. 3 pkt 44 rozporządzenia 167/2013, art. 3 pkt 58 rozporządzenia 168/2013, art. 3 pkt 34 rozporządzenia 2018/858 albo art. 3 pkt 3 rozporządzenia 2019/1020</w:t>
            </w:r>
            <w:r w:rsidRPr="00FB76A9">
              <w:rPr>
                <w:rFonts w:ascii="Times New Roman" w:eastAsia="Times New Roman" w:hAnsi="Times New Roman" w:cs="Times New Roman"/>
                <w:sz w:val="24"/>
                <w:szCs w:val="24"/>
                <w:lang w:eastAsia="pl-PL"/>
              </w:rPr>
              <w:t>;”</w:t>
            </w:r>
          </w:p>
          <w:p w14:paraId="2F33F1F8" w14:textId="77777777" w:rsidR="00283AAE" w:rsidRPr="00FB76A9" w:rsidRDefault="00283AAE" w:rsidP="00FD5CD5">
            <w:pPr>
              <w:spacing w:after="0" w:line="240" w:lineRule="auto"/>
              <w:rPr>
                <w:rFonts w:ascii="Times New Roman" w:eastAsia="Times New Roman" w:hAnsi="Times New Roman" w:cs="Times New Roman"/>
                <w:sz w:val="24"/>
                <w:szCs w:val="24"/>
                <w:lang w:eastAsia="pl-PL"/>
              </w:rPr>
            </w:pPr>
          </w:p>
          <w:p w14:paraId="76D67CD9" w14:textId="77777777" w:rsidR="00283AAE" w:rsidRPr="00EF061D" w:rsidRDefault="00283AAE" w:rsidP="00FD5CD5">
            <w:pPr>
              <w:pStyle w:val="LITlitera"/>
              <w:keepNext/>
              <w:spacing w:line="240" w:lineRule="auto"/>
              <w:ind w:left="0" w:firstLine="0"/>
              <w:jc w:val="left"/>
              <w:rPr>
                <w:rFonts w:ascii="Times New Roman" w:hAnsi="Times New Roman" w:cs="Times New Roman"/>
                <w:szCs w:val="24"/>
              </w:rPr>
            </w:pPr>
            <w:r w:rsidRPr="00EF061D">
              <w:rPr>
                <w:rFonts w:ascii="Times New Roman" w:hAnsi="Times New Roman" w:cs="Times New Roman"/>
                <w:szCs w:val="24"/>
              </w:rPr>
              <w:t>Art. 3 ust. 3:</w:t>
            </w:r>
          </w:p>
          <w:p w14:paraId="1D809528" w14:textId="77777777" w:rsidR="00283AAE" w:rsidRPr="00FB76A9" w:rsidRDefault="00CF37BF" w:rsidP="00FD5CD5">
            <w:pPr>
              <w:spacing w:after="0" w:line="240" w:lineRule="auto"/>
              <w:rPr>
                <w:rFonts w:ascii="Times New Roman" w:eastAsia="Times New Roman" w:hAnsi="Times New Roman" w:cs="Times New Roman"/>
                <w:sz w:val="24"/>
                <w:szCs w:val="24"/>
                <w:lang w:eastAsia="pl-PL"/>
              </w:rPr>
            </w:pPr>
            <w:r w:rsidRPr="00EF061D">
              <w:rPr>
                <w:rFonts w:ascii="Times New Roman" w:hAnsi="Times New Roman" w:cs="Times New Roman"/>
                <w:sz w:val="24"/>
                <w:szCs w:val="24"/>
              </w:rPr>
              <w:t xml:space="preserve">„3.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w:t>
            </w:r>
            <w:bookmarkStart w:id="2" w:name="_Hlk219304415"/>
            <w:r w:rsidRPr="00EF061D">
              <w:rPr>
                <w:rFonts w:ascii="Times New Roman" w:hAnsi="Times New Roman" w:cs="Times New Roman"/>
                <w:sz w:val="24"/>
                <w:szCs w:val="24"/>
              </w:rPr>
              <w:t>rowery, wózki rowerowe, hulajnogi elektryczne oraz urządzenia transportu osobistego</w:t>
            </w:r>
            <w:bookmarkEnd w:id="2"/>
            <w:r w:rsidRPr="00EF061D">
              <w:rPr>
                <w:rFonts w:ascii="Times New Roman" w:hAnsi="Times New Roman" w:cs="Times New Roman"/>
                <w:sz w:val="24"/>
                <w:szCs w:val="24"/>
              </w:rPr>
              <w:t xml:space="preserve"> warunków technicznych, o których mowa w art. 66 ust. 1 ustawy z dnia 20 czerwca 1997 r. – Prawo o ruchu drogowym oraz określonych w przepisach wydanych na podstawie art. 66 ust. 5 tej ustawy, zgodnie z zasadami i procedurami określonymi w rozporządzeniu 2019/1020, które stanowi ramy dla kontroli produktów.”</w:t>
            </w:r>
          </w:p>
        </w:tc>
        <w:tc>
          <w:tcPr>
            <w:tcW w:w="1675" w:type="dxa"/>
          </w:tcPr>
          <w:p w14:paraId="68E6F0FA" w14:textId="77777777" w:rsidR="006A576B" w:rsidRPr="00FB76A9" w:rsidRDefault="006A576B" w:rsidP="00FD5CD5">
            <w:pPr>
              <w:spacing w:after="0" w:line="240" w:lineRule="auto"/>
              <w:rPr>
                <w:rFonts w:ascii="Times New Roman" w:eastAsia="Times New Roman" w:hAnsi="Times New Roman" w:cs="Times New Roman"/>
                <w:sz w:val="24"/>
                <w:szCs w:val="24"/>
                <w:lang w:eastAsia="pl-PL"/>
              </w:rPr>
            </w:pPr>
          </w:p>
          <w:p w14:paraId="7EB791AA" w14:textId="77777777" w:rsidR="006A576B" w:rsidRPr="00FB76A9" w:rsidRDefault="006A576B" w:rsidP="00FD5CD5">
            <w:pPr>
              <w:spacing w:after="0" w:line="240" w:lineRule="auto"/>
              <w:rPr>
                <w:rFonts w:ascii="Times New Roman" w:eastAsia="Times New Roman" w:hAnsi="Times New Roman" w:cs="Times New Roman"/>
                <w:sz w:val="24"/>
                <w:szCs w:val="24"/>
                <w:lang w:eastAsia="pl-PL"/>
              </w:rPr>
            </w:pPr>
          </w:p>
        </w:tc>
      </w:tr>
      <w:tr w:rsidR="007C14E9" w:rsidRPr="00FB76A9" w14:paraId="17C3AA38" w14:textId="77777777" w:rsidTr="004F1DD9">
        <w:trPr>
          <w:trHeight w:val="340"/>
        </w:trPr>
        <w:tc>
          <w:tcPr>
            <w:tcW w:w="988" w:type="dxa"/>
            <w:tcBorders>
              <w:top w:val="single" w:sz="4" w:space="0" w:color="auto"/>
              <w:left w:val="single" w:sz="4" w:space="0" w:color="auto"/>
              <w:bottom w:val="single" w:sz="4" w:space="0" w:color="auto"/>
              <w:right w:val="single" w:sz="4" w:space="0" w:color="auto"/>
            </w:tcBorders>
          </w:tcPr>
          <w:p w14:paraId="616C3BD2" w14:textId="77777777" w:rsidR="007C14E9" w:rsidRPr="00FB76A9" w:rsidRDefault="007C14E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b/>
                <w:sz w:val="24"/>
                <w:szCs w:val="24"/>
                <w:lang w:eastAsia="pl-PL"/>
              </w:rPr>
              <w:lastRenderedPageBreak/>
              <w:t>Art. 3 pkt 45</w:t>
            </w:r>
          </w:p>
        </w:tc>
        <w:tc>
          <w:tcPr>
            <w:tcW w:w="5386" w:type="dxa"/>
            <w:gridSpan w:val="2"/>
            <w:tcBorders>
              <w:top w:val="single" w:sz="4" w:space="0" w:color="auto"/>
              <w:left w:val="single" w:sz="4" w:space="0" w:color="auto"/>
              <w:bottom w:val="single" w:sz="4" w:space="0" w:color="auto"/>
              <w:right w:val="single" w:sz="4" w:space="0" w:color="auto"/>
            </w:tcBorders>
          </w:tcPr>
          <w:p w14:paraId="103FC4CE" w14:textId="77777777" w:rsidR="007C14E9" w:rsidRPr="00FB76A9" w:rsidRDefault="007C14E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„45) „niezależny podmiot” oznacza osobę fizyczną lub prawną, inną niż autoryzowany punkt sprzedaży lub autoryzowana stacja obsługi, bezpośrednio lub pośrednio zajmującą się naprawą i konserwacją pojazdów, w tym stacje obsługi, producentów lub dystrybutorów sprzętu do napraw, narzędzi lub części zamiennych, jak również wydawców informacji technicznych, stowarzyszenia motoryzacyjne, pomoc drogową, stacje kontroli i badania pojazdów oraz ośrodki szkoleniowe dla instalatorów, producentów i mechaników wyposażenia przeznaczonego do pojazdów zasilanych paliwem alternatywnym; oznacza on także autoryzowane stacje obsługi, punkty sprzedaży oraz dystrybutorów w ramach systemu dystrybucji danego producenta pojazdów w zakresie, w jakim świadczą one usługi naprawy i konserwacji pojazdów, w przypadku których nie należą one do sieci dystrybucji producenta;”</w:t>
            </w:r>
          </w:p>
        </w:tc>
        <w:tc>
          <w:tcPr>
            <w:tcW w:w="851" w:type="dxa"/>
            <w:tcBorders>
              <w:top w:val="single" w:sz="4" w:space="0" w:color="auto"/>
              <w:left w:val="single" w:sz="4" w:space="0" w:color="auto"/>
              <w:bottom w:val="single" w:sz="4" w:space="0" w:color="auto"/>
              <w:right w:val="single" w:sz="4" w:space="0" w:color="auto"/>
            </w:tcBorders>
          </w:tcPr>
          <w:p w14:paraId="796DBA52" w14:textId="77777777" w:rsidR="007C14E9" w:rsidRPr="00FB76A9" w:rsidRDefault="007C14E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992" w:type="dxa"/>
            <w:tcBorders>
              <w:top w:val="single" w:sz="4" w:space="0" w:color="auto"/>
              <w:left w:val="single" w:sz="4" w:space="0" w:color="auto"/>
              <w:bottom w:val="single" w:sz="4" w:space="0" w:color="auto"/>
              <w:right w:val="single" w:sz="4" w:space="0" w:color="auto"/>
            </w:tcBorders>
          </w:tcPr>
          <w:p w14:paraId="0191D16E" w14:textId="77777777" w:rsidR="007C14E9" w:rsidRPr="00FB76A9" w:rsidRDefault="007C14E9"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eastAsia="pl-PL"/>
              </w:rPr>
              <w:t>Art. 1 pkt 3 lit. f</w:t>
            </w:r>
          </w:p>
        </w:tc>
        <w:tc>
          <w:tcPr>
            <w:tcW w:w="5103" w:type="dxa"/>
            <w:tcBorders>
              <w:top w:val="single" w:sz="4" w:space="0" w:color="auto"/>
              <w:left w:val="single" w:sz="4" w:space="0" w:color="auto"/>
              <w:bottom w:val="single" w:sz="4" w:space="0" w:color="auto"/>
              <w:right w:val="single" w:sz="4" w:space="0" w:color="auto"/>
            </w:tcBorders>
          </w:tcPr>
          <w:p w14:paraId="521C2354" w14:textId="77777777" w:rsidR="007C14E9" w:rsidRPr="00FB76A9" w:rsidRDefault="007C14E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„4</w:t>
            </w:r>
            <w:r w:rsidR="00954746">
              <w:rPr>
                <w:rFonts w:ascii="Times New Roman" w:eastAsia="Times New Roman" w:hAnsi="Times New Roman" w:cs="Times New Roman"/>
                <w:sz w:val="24"/>
                <w:szCs w:val="24"/>
                <w:lang w:eastAsia="pl-PL"/>
              </w:rPr>
              <w:t>5</w:t>
            </w:r>
            <w:r w:rsidRPr="00FB76A9">
              <w:rPr>
                <w:rFonts w:ascii="Times New Roman" w:eastAsia="Times New Roman" w:hAnsi="Times New Roman" w:cs="Times New Roman"/>
                <w:sz w:val="24"/>
                <w:szCs w:val="24"/>
                <w:lang w:eastAsia="pl-PL"/>
              </w:rPr>
              <w:t>) niezależnym podmiocie – rozumie się przez to podmiot, o którym mowa w art. 3 pkt 45 rozporządzenia 2018/858.”</w:t>
            </w:r>
          </w:p>
        </w:tc>
        <w:tc>
          <w:tcPr>
            <w:tcW w:w="1675" w:type="dxa"/>
          </w:tcPr>
          <w:p w14:paraId="1C843A77" w14:textId="77777777" w:rsidR="007C14E9" w:rsidRPr="00FB76A9" w:rsidRDefault="007C14E9" w:rsidP="00FD5CD5">
            <w:pPr>
              <w:spacing w:after="0" w:line="240" w:lineRule="auto"/>
              <w:rPr>
                <w:rFonts w:ascii="Times New Roman" w:eastAsia="Times New Roman" w:hAnsi="Times New Roman" w:cs="Times New Roman"/>
                <w:sz w:val="24"/>
                <w:szCs w:val="24"/>
                <w:lang w:eastAsia="pl-PL"/>
              </w:rPr>
            </w:pPr>
          </w:p>
        </w:tc>
      </w:tr>
      <w:tr w:rsidR="00B90467" w:rsidRPr="00FB76A9" w14:paraId="32E68C56" w14:textId="77777777" w:rsidTr="004F1DD9">
        <w:trPr>
          <w:trHeight w:val="340"/>
        </w:trPr>
        <w:tc>
          <w:tcPr>
            <w:tcW w:w="988" w:type="dxa"/>
            <w:tcBorders>
              <w:top w:val="single" w:sz="4" w:space="0" w:color="auto"/>
              <w:left w:val="single" w:sz="4" w:space="0" w:color="auto"/>
              <w:bottom w:val="single" w:sz="4" w:space="0" w:color="auto"/>
              <w:right w:val="single" w:sz="4" w:space="0" w:color="auto"/>
            </w:tcBorders>
          </w:tcPr>
          <w:p w14:paraId="4865E8A8" w14:textId="77777777" w:rsidR="00B90467" w:rsidRPr="00FB76A9" w:rsidRDefault="00E137BB"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Art. 3 pkt 50</w:t>
            </w:r>
          </w:p>
        </w:tc>
        <w:tc>
          <w:tcPr>
            <w:tcW w:w="5386" w:type="dxa"/>
            <w:gridSpan w:val="2"/>
            <w:tcBorders>
              <w:top w:val="single" w:sz="4" w:space="0" w:color="auto"/>
              <w:left w:val="single" w:sz="4" w:space="0" w:color="auto"/>
              <w:bottom w:val="single" w:sz="4" w:space="0" w:color="auto"/>
              <w:right w:val="single" w:sz="4" w:space="0" w:color="auto"/>
            </w:tcBorders>
          </w:tcPr>
          <w:p w14:paraId="089B455C" w14:textId="77777777" w:rsidR="00B90467" w:rsidRPr="00FB76A9" w:rsidRDefault="00151C04"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„50) „wprowadzenie do obrotu” oznacza udostępnienie pojazdu, układu, komponentu, oddzielnego zespołu technicznego, części lub wyposażenia po raz pierwszy w Unii;”</w:t>
            </w:r>
          </w:p>
        </w:tc>
        <w:tc>
          <w:tcPr>
            <w:tcW w:w="851" w:type="dxa"/>
            <w:tcBorders>
              <w:top w:val="single" w:sz="4" w:space="0" w:color="auto"/>
              <w:left w:val="single" w:sz="4" w:space="0" w:color="auto"/>
              <w:bottom w:val="single" w:sz="4" w:space="0" w:color="auto"/>
              <w:right w:val="single" w:sz="4" w:space="0" w:color="auto"/>
            </w:tcBorders>
          </w:tcPr>
          <w:p w14:paraId="47C0831C" w14:textId="77777777" w:rsidR="00B90467" w:rsidRPr="00FB76A9" w:rsidRDefault="00083A2A"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992" w:type="dxa"/>
            <w:tcBorders>
              <w:top w:val="single" w:sz="4" w:space="0" w:color="auto"/>
              <w:left w:val="single" w:sz="4" w:space="0" w:color="auto"/>
              <w:bottom w:val="single" w:sz="4" w:space="0" w:color="auto"/>
              <w:right w:val="single" w:sz="4" w:space="0" w:color="auto"/>
            </w:tcBorders>
          </w:tcPr>
          <w:p w14:paraId="3F7294DA" w14:textId="77777777" w:rsidR="00B90467" w:rsidRPr="00FB76A9" w:rsidRDefault="00E137BB"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eastAsia="pl-PL"/>
              </w:rPr>
              <w:t xml:space="preserve">Art. 1 pkt 3 lit. </w:t>
            </w:r>
            <w:r w:rsidR="00E402AC" w:rsidRPr="00FB76A9">
              <w:rPr>
                <w:rFonts w:ascii="Times New Roman" w:eastAsia="Times New Roman" w:hAnsi="Times New Roman" w:cs="Times New Roman"/>
                <w:sz w:val="24"/>
                <w:szCs w:val="24"/>
                <w:lang w:eastAsia="pl-PL"/>
              </w:rPr>
              <w:t>f</w:t>
            </w:r>
          </w:p>
        </w:tc>
        <w:tc>
          <w:tcPr>
            <w:tcW w:w="5103" w:type="dxa"/>
            <w:tcBorders>
              <w:top w:val="single" w:sz="4" w:space="0" w:color="auto"/>
              <w:left w:val="single" w:sz="4" w:space="0" w:color="auto"/>
              <w:bottom w:val="single" w:sz="4" w:space="0" w:color="auto"/>
              <w:right w:val="single" w:sz="4" w:space="0" w:color="auto"/>
            </w:tcBorders>
          </w:tcPr>
          <w:p w14:paraId="29C53435" w14:textId="77777777" w:rsidR="00B90467" w:rsidRPr="00FB76A9" w:rsidRDefault="00E137BB"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w:t>
            </w:r>
            <w:r w:rsidR="00E402AC" w:rsidRPr="00FB76A9">
              <w:rPr>
                <w:rFonts w:ascii="Times New Roman" w:hAnsi="Times New Roman" w:cs="Times New Roman"/>
                <w:sz w:val="24"/>
                <w:szCs w:val="24"/>
              </w:rPr>
              <w:t xml:space="preserve">36) </w:t>
            </w:r>
            <w:r w:rsidR="00E402AC" w:rsidRPr="00FB76A9">
              <w:rPr>
                <w:rFonts w:ascii="Times New Roman" w:eastAsia="Times New Roman" w:hAnsi="Times New Roman" w:cs="Times New Roman"/>
                <w:sz w:val="24"/>
                <w:szCs w:val="24"/>
                <w:lang w:eastAsia="pl-PL"/>
              </w:rPr>
              <w:t>wprowadzeniu do obrotu – rozumie się przez to wprowadzenie do obrotu, o którym mowa odpowiednio w art. 3 pkt 39 rozporządzenia 167/2013, art. 3 pkt 54 rozporządzenia 168/2013, art. 3 pkt 50 rozporządzenia 2018/858 albo art. 3 pkt 2 rozporządzenia 2019/1020</w:t>
            </w:r>
            <w:r w:rsidRPr="00FB76A9">
              <w:rPr>
                <w:rFonts w:ascii="Times New Roman" w:eastAsia="Times New Roman" w:hAnsi="Times New Roman" w:cs="Times New Roman"/>
                <w:sz w:val="24"/>
                <w:szCs w:val="24"/>
                <w:lang w:eastAsia="pl-PL"/>
              </w:rPr>
              <w:t>;”</w:t>
            </w:r>
          </w:p>
        </w:tc>
        <w:tc>
          <w:tcPr>
            <w:tcW w:w="1675" w:type="dxa"/>
          </w:tcPr>
          <w:p w14:paraId="0D7093E6" w14:textId="77777777" w:rsidR="00B90467" w:rsidRPr="00FB76A9" w:rsidRDefault="00B90467" w:rsidP="00FD5CD5">
            <w:pPr>
              <w:spacing w:after="0" w:line="240" w:lineRule="auto"/>
              <w:rPr>
                <w:rFonts w:ascii="Times New Roman" w:eastAsia="Times New Roman" w:hAnsi="Times New Roman" w:cs="Times New Roman"/>
                <w:sz w:val="24"/>
                <w:szCs w:val="24"/>
                <w:lang w:eastAsia="pl-PL"/>
              </w:rPr>
            </w:pPr>
          </w:p>
        </w:tc>
      </w:tr>
      <w:tr w:rsidR="00B90467" w:rsidRPr="00FB76A9" w14:paraId="31435569" w14:textId="77777777" w:rsidTr="004F1DD9">
        <w:trPr>
          <w:trHeight w:val="220"/>
        </w:trPr>
        <w:tc>
          <w:tcPr>
            <w:tcW w:w="988" w:type="dxa"/>
            <w:tcBorders>
              <w:top w:val="single" w:sz="4" w:space="0" w:color="auto"/>
              <w:left w:val="single" w:sz="4" w:space="0" w:color="auto"/>
              <w:bottom w:val="single" w:sz="4" w:space="0" w:color="auto"/>
              <w:right w:val="single" w:sz="4" w:space="0" w:color="auto"/>
            </w:tcBorders>
          </w:tcPr>
          <w:p w14:paraId="51A29868" w14:textId="77777777" w:rsidR="00B90467" w:rsidRPr="00FB76A9" w:rsidRDefault="00E137BB"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 xml:space="preserve">Art. 3 pkt 51 </w:t>
            </w:r>
          </w:p>
        </w:tc>
        <w:tc>
          <w:tcPr>
            <w:tcW w:w="5386" w:type="dxa"/>
            <w:gridSpan w:val="2"/>
            <w:tcBorders>
              <w:top w:val="single" w:sz="4" w:space="0" w:color="auto"/>
              <w:left w:val="single" w:sz="4" w:space="0" w:color="auto"/>
              <w:bottom w:val="single" w:sz="4" w:space="0" w:color="auto"/>
              <w:right w:val="single" w:sz="4" w:space="0" w:color="auto"/>
            </w:tcBorders>
          </w:tcPr>
          <w:p w14:paraId="65BDAD76" w14:textId="77777777" w:rsidR="00B90467" w:rsidRPr="00FB76A9" w:rsidRDefault="00151C04"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„51) „udostępnienie na rynku” oznacza każde dostarczenie pojazdu, układu, komponentu, oddzielnego zespołu technicznego, części lub wyposażenia w celu jego dystrybucji lub użytkowania na rynku w ramach działalności handlowej, odpłatnie lub nieodpłatnie;”</w:t>
            </w:r>
          </w:p>
        </w:tc>
        <w:tc>
          <w:tcPr>
            <w:tcW w:w="851" w:type="dxa"/>
            <w:tcBorders>
              <w:top w:val="single" w:sz="4" w:space="0" w:color="auto"/>
              <w:left w:val="single" w:sz="4" w:space="0" w:color="auto"/>
              <w:bottom w:val="single" w:sz="4" w:space="0" w:color="auto"/>
              <w:right w:val="single" w:sz="4" w:space="0" w:color="auto"/>
            </w:tcBorders>
          </w:tcPr>
          <w:p w14:paraId="38B48659" w14:textId="77777777" w:rsidR="00B90467" w:rsidRPr="00FB76A9" w:rsidRDefault="00083A2A"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992" w:type="dxa"/>
            <w:tcBorders>
              <w:top w:val="single" w:sz="4" w:space="0" w:color="auto"/>
              <w:left w:val="single" w:sz="4" w:space="0" w:color="auto"/>
              <w:bottom w:val="single" w:sz="4" w:space="0" w:color="auto"/>
              <w:right w:val="single" w:sz="4" w:space="0" w:color="auto"/>
            </w:tcBorders>
          </w:tcPr>
          <w:p w14:paraId="0092CF31" w14:textId="77777777" w:rsidR="00B90467" w:rsidRPr="00FB76A9" w:rsidRDefault="00E137BB"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eastAsia="pl-PL"/>
              </w:rPr>
              <w:t xml:space="preserve">Art. 1 pkt 3 lit. </w:t>
            </w:r>
            <w:r w:rsidR="00E402AC" w:rsidRPr="00FB76A9">
              <w:rPr>
                <w:rFonts w:ascii="Times New Roman" w:eastAsia="Times New Roman" w:hAnsi="Times New Roman" w:cs="Times New Roman"/>
                <w:sz w:val="24"/>
                <w:szCs w:val="24"/>
                <w:lang w:eastAsia="pl-PL"/>
              </w:rPr>
              <w:t>f</w:t>
            </w:r>
          </w:p>
        </w:tc>
        <w:tc>
          <w:tcPr>
            <w:tcW w:w="5103" w:type="dxa"/>
            <w:tcBorders>
              <w:top w:val="single" w:sz="4" w:space="0" w:color="auto"/>
              <w:left w:val="single" w:sz="4" w:space="0" w:color="auto"/>
              <w:bottom w:val="single" w:sz="4" w:space="0" w:color="auto"/>
              <w:right w:val="single" w:sz="4" w:space="0" w:color="auto"/>
            </w:tcBorders>
          </w:tcPr>
          <w:p w14:paraId="1B232986" w14:textId="77777777" w:rsidR="00B90467" w:rsidRPr="00FB76A9" w:rsidRDefault="00E137BB"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w:t>
            </w:r>
            <w:r w:rsidR="00E402AC" w:rsidRPr="00FB76A9">
              <w:rPr>
                <w:rFonts w:ascii="Times New Roman" w:hAnsi="Times New Roman" w:cs="Times New Roman"/>
                <w:sz w:val="24"/>
                <w:szCs w:val="24"/>
              </w:rPr>
              <w:t xml:space="preserve"> 37) </w:t>
            </w:r>
            <w:r w:rsidR="00E402AC" w:rsidRPr="00FB76A9">
              <w:rPr>
                <w:rFonts w:ascii="Times New Roman" w:eastAsia="Times New Roman" w:hAnsi="Times New Roman" w:cs="Times New Roman"/>
                <w:sz w:val="24"/>
                <w:szCs w:val="24"/>
                <w:lang w:eastAsia="pl-PL"/>
              </w:rPr>
              <w:t>udostępnieniu na rynku – rozumie się przez to udostępnienie na rynku, o którym mowa odpowiednio w art. 3 pkt 47 rozporządzenia 167/2013, art. 3 pkt 55 rozporządzenia 168/2013 albo art. 3 pkt 51 rozporządzenia 2018/858 albo art. 3 pkt 1 rozporządzenia 2019/1020</w:t>
            </w:r>
            <w:r w:rsidRPr="00FB76A9">
              <w:rPr>
                <w:rFonts w:ascii="Times New Roman" w:eastAsia="Times New Roman" w:hAnsi="Times New Roman" w:cs="Times New Roman"/>
                <w:sz w:val="24"/>
                <w:szCs w:val="24"/>
                <w:lang w:eastAsia="pl-PL"/>
              </w:rPr>
              <w:t>”</w:t>
            </w:r>
          </w:p>
        </w:tc>
        <w:tc>
          <w:tcPr>
            <w:tcW w:w="1675" w:type="dxa"/>
          </w:tcPr>
          <w:p w14:paraId="2EFCBF4A" w14:textId="77777777" w:rsidR="00B90467" w:rsidRPr="00FB76A9" w:rsidRDefault="00B90467" w:rsidP="00FD5CD5">
            <w:pPr>
              <w:spacing w:after="0" w:line="240" w:lineRule="auto"/>
              <w:rPr>
                <w:rFonts w:ascii="Times New Roman" w:eastAsia="Times New Roman" w:hAnsi="Times New Roman" w:cs="Times New Roman"/>
                <w:sz w:val="24"/>
                <w:szCs w:val="24"/>
                <w:lang w:eastAsia="pl-PL"/>
              </w:rPr>
            </w:pPr>
          </w:p>
        </w:tc>
      </w:tr>
      <w:tr w:rsidR="00B90467" w:rsidRPr="00FB76A9" w14:paraId="0955AF0D" w14:textId="77777777" w:rsidTr="004F1DD9">
        <w:trPr>
          <w:trHeight w:val="220"/>
        </w:trPr>
        <w:tc>
          <w:tcPr>
            <w:tcW w:w="988" w:type="dxa"/>
            <w:tcBorders>
              <w:top w:val="single" w:sz="4" w:space="0" w:color="auto"/>
              <w:left w:val="single" w:sz="4" w:space="0" w:color="auto"/>
              <w:bottom w:val="single" w:sz="4" w:space="0" w:color="auto"/>
              <w:right w:val="single" w:sz="4" w:space="0" w:color="auto"/>
            </w:tcBorders>
          </w:tcPr>
          <w:p w14:paraId="7F305EF7" w14:textId="77777777" w:rsidR="00B90467" w:rsidRPr="00FB76A9" w:rsidRDefault="00E137BB"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lastRenderedPageBreak/>
              <w:t xml:space="preserve">Art. 3 pkt 52 </w:t>
            </w:r>
          </w:p>
        </w:tc>
        <w:tc>
          <w:tcPr>
            <w:tcW w:w="5386" w:type="dxa"/>
            <w:gridSpan w:val="2"/>
            <w:tcBorders>
              <w:top w:val="single" w:sz="4" w:space="0" w:color="auto"/>
              <w:left w:val="single" w:sz="4" w:space="0" w:color="auto"/>
              <w:bottom w:val="single" w:sz="4" w:space="0" w:color="auto"/>
              <w:right w:val="single" w:sz="4" w:space="0" w:color="auto"/>
            </w:tcBorders>
          </w:tcPr>
          <w:p w14:paraId="7DB82CAA" w14:textId="77777777" w:rsidR="00B90467" w:rsidRPr="00FB76A9" w:rsidRDefault="00151C04"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„52) „dopuszczenie” oznacza pierwsze wykorzystanie w Unii pojazdu, układu, komponentu, oddzielnego zespołu technicznego, części lub wyposażenia zgodnie z ich przeznaczeniem;”</w:t>
            </w:r>
          </w:p>
        </w:tc>
        <w:tc>
          <w:tcPr>
            <w:tcW w:w="851" w:type="dxa"/>
            <w:tcBorders>
              <w:top w:val="single" w:sz="4" w:space="0" w:color="auto"/>
              <w:left w:val="single" w:sz="4" w:space="0" w:color="auto"/>
              <w:bottom w:val="single" w:sz="4" w:space="0" w:color="auto"/>
              <w:right w:val="single" w:sz="4" w:space="0" w:color="auto"/>
            </w:tcBorders>
          </w:tcPr>
          <w:p w14:paraId="1D9672D1" w14:textId="77777777" w:rsidR="00B90467" w:rsidRPr="00FB76A9" w:rsidRDefault="00083A2A"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992" w:type="dxa"/>
            <w:tcBorders>
              <w:top w:val="single" w:sz="4" w:space="0" w:color="auto"/>
              <w:left w:val="single" w:sz="4" w:space="0" w:color="auto"/>
              <w:bottom w:val="single" w:sz="4" w:space="0" w:color="auto"/>
              <w:right w:val="single" w:sz="4" w:space="0" w:color="auto"/>
            </w:tcBorders>
          </w:tcPr>
          <w:p w14:paraId="2FBF758C" w14:textId="77777777" w:rsidR="00B90467" w:rsidRPr="00FB76A9" w:rsidRDefault="00E137BB"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eastAsia="pl-PL"/>
              </w:rPr>
              <w:t xml:space="preserve">Art. 1 pkt 3 lit. </w:t>
            </w:r>
            <w:r w:rsidR="00E402AC" w:rsidRPr="00FB76A9">
              <w:rPr>
                <w:rFonts w:ascii="Times New Roman" w:eastAsia="Times New Roman" w:hAnsi="Times New Roman" w:cs="Times New Roman"/>
                <w:sz w:val="24"/>
                <w:szCs w:val="24"/>
                <w:lang w:eastAsia="pl-PL"/>
              </w:rPr>
              <w:t>f</w:t>
            </w:r>
          </w:p>
        </w:tc>
        <w:tc>
          <w:tcPr>
            <w:tcW w:w="5103" w:type="dxa"/>
            <w:tcBorders>
              <w:top w:val="single" w:sz="4" w:space="0" w:color="auto"/>
              <w:left w:val="single" w:sz="4" w:space="0" w:color="auto"/>
              <w:bottom w:val="single" w:sz="4" w:space="0" w:color="auto"/>
              <w:right w:val="single" w:sz="4" w:space="0" w:color="auto"/>
            </w:tcBorders>
          </w:tcPr>
          <w:p w14:paraId="5F0D497C" w14:textId="77777777" w:rsidR="00B90467" w:rsidRPr="00FB76A9" w:rsidRDefault="00E137BB"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w:t>
            </w:r>
            <w:r w:rsidR="00E402AC" w:rsidRPr="00FB76A9">
              <w:rPr>
                <w:rFonts w:ascii="Times New Roman" w:hAnsi="Times New Roman" w:cs="Times New Roman"/>
                <w:sz w:val="24"/>
                <w:szCs w:val="24"/>
              </w:rPr>
              <w:t xml:space="preserve">38) </w:t>
            </w:r>
            <w:r w:rsidR="00E402AC" w:rsidRPr="00FB76A9">
              <w:rPr>
                <w:rFonts w:ascii="Times New Roman" w:eastAsia="Times New Roman" w:hAnsi="Times New Roman" w:cs="Times New Roman"/>
                <w:sz w:val="24"/>
                <w:szCs w:val="24"/>
                <w:lang w:eastAsia="pl-PL"/>
              </w:rPr>
              <w:t>dopuszczeniu – rozumie się przez to dopuszczenie, o którym mowa odpowiednio w art. 3 pkt 40 rozporządzenia 167/2013, art. 3 pkt 53 rozporządzenia 168/2013 albo art. 3 pkt 52 rozporządzenia 2018/858</w:t>
            </w:r>
            <w:r w:rsidRPr="00FB76A9">
              <w:rPr>
                <w:rFonts w:ascii="Times New Roman" w:eastAsia="Times New Roman" w:hAnsi="Times New Roman" w:cs="Times New Roman"/>
                <w:sz w:val="24"/>
                <w:szCs w:val="24"/>
                <w:lang w:eastAsia="pl-PL"/>
              </w:rPr>
              <w:t>;”</w:t>
            </w:r>
          </w:p>
        </w:tc>
        <w:tc>
          <w:tcPr>
            <w:tcW w:w="1675" w:type="dxa"/>
          </w:tcPr>
          <w:p w14:paraId="1BC8FAC8" w14:textId="77777777" w:rsidR="00B90467" w:rsidRPr="00FB76A9" w:rsidRDefault="00B90467" w:rsidP="00FD5CD5">
            <w:pPr>
              <w:spacing w:after="0" w:line="240" w:lineRule="auto"/>
              <w:rPr>
                <w:rFonts w:ascii="Times New Roman" w:eastAsia="Times New Roman" w:hAnsi="Times New Roman" w:cs="Times New Roman"/>
                <w:sz w:val="24"/>
                <w:szCs w:val="24"/>
                <w:lang w:eastAsia="pl-PL"/>
              </w:rPr>
            </w:pPr>
          </w:p>
          <w:p w14:paraId="0849913E" w14:textId="77777777" w:rsidR="00E402AC" w:rsidRPr="00FB76A9" w:rsidRDefault="00E402AC" w:rsidP="00FD5CD5">
            <w:pPr>
              <w:spacing w:after="0" w:line="240" w:lineRule="auto"/>
              <w:rPr>
                <w:rFonts w:ascii="Times New Roman" w:eastAsia="Times New Roman" w:hAnsi="Times New Roman" w:cs="Times New Roman"/>
                <w:sz w:val="24"/>
                <w:szCs w:val="24"/>
                <w:lang w:eastAsia="pl-PL"/>
              </w:rPr>
            </w:pPr>
          </w:p>
        </w:tc>
      </w:tr>
      <w:tr w:rsidR="00C076E7" w:rsidRPr="00FB76A9" w14:paraId="0C427211" w14:textId="77777777" w:rsidTr="00B923FC">
        <w:trPr>
          <w:trHeight w:val="420"/>
        </w:trPr>
        <w:tc>
          <w:tcPr>
            <w:tcW w:w="988" w:type="dxa"/>
            <w:vMerge w:val="restart"/>
            <w:tcBorders>
              <w:top w:val="single" w:sz="4" w:space="0" w:color="auto"/>
              <w:left w:val="single" w:sz="4" w:space="0" w:color="auto"/>
              <w:right w:val="single" w:sz="4" w:space="0" w:color="auto"/>
            </w:tcBorders>
          </w:tcPr>
          <w:p w14:paraId="372929B0" w14:textId="77777777" w:rsidR="00C076E7" w:rsidRPr="00FB76A9" w:rsidRDefault="00C076E7" w:rsidP="00FD5CD5">
            <w:pPr>
              <w:spacing w:after="0" w:line="240" w:lineRule="auto"/>
              <w:rPr>
                <w:rFonts w:ascii="Times New Roman" w:eastAsia="Times New Roman" w:hAnsi="Times New Roman" w:cs="Times New Roman"/>
                <w:b/>
                <w:sz w:val="24"/>
                <w:szCs w:val="24"/>
                <w:lang w:eastAsia="pl-PL"/>
              </w:rPr>
            </w:pPr>
            <w:bookmarkStart w:id="3" w:name="_Hlk231901178"/>
            <w:r w:rsidRPr="00FB76A9">
              <w:rPr>
                <w:rFonts w:ascii="Times New Roman" w:eastAsia="Times New Roman" w:hAnsi="Times New Roman" w:cs="Times New Roman"/>
                <w:b/>
                <w:sz w:val="24"/>
                <w:szCs w:val="24"/>
                <w:lang w:eastAsia="pl-PL"/>
              </w:rPr>
              <w:t>Art. 6 ust. 6-9</w:t>
            </w:r>
          </w:p>
          <w:p w14:paraId="413125F8" w14:textId="77777777" w:rsidR="00C076E7" w:rsidRDefault="00C076E7"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 xml:space="preserve">Art. 8 </w:t>
            </w:r>
          </w:p>
          <w:p w14:paraId="158A7D8D" w14:textId="77777777" w:rsidR="00093424" w:rsidRPr="00FB76A9" w:rsidRDefault="00093424"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 xml:space="preserve">Art. </w:t>
            </w:r>
            <w:r>
              <w:rPr>
                <w:rFonts w:ascii="Times New Roman" w:eastAsia="Times New Roman" w:hAnsi="Times New Roman" w:cs="Times New Roman"/>
                <w:b/>
                <w:sz w:val="24"/>
                <w:szCs w:val="24"/>
                <w:lang w:eastAsia="pl-PL"/>
              </w:rPr>
              <w:t>12</w:t>
            </w:r>
          </w:p>
        </w:tc>
        <w:tc>
          <w:tcPr>
            <w:tcW w:w="5386" w:type="dxa"/>
            <w:gridSpan w:val="2"/>
            <w:vMerge w:val="restart"/>
            <w:tcBorders>
              <w:top w:val="single" w:sz="4" w:space="0" w:color="auto"/>
              <w:left w:val="single" w:sz="4" w:space="0" w:color="auto"/>
              <w:right w:val="single" w:sz="4" w:space="0" w:color="auto"/>
            </w:tcBorders>
          </w:tcPr>
          <w:p w14:paraId="7CFF579F" w14:textId="77777777" w:rsidR="00C076E7" w:rsidRPr="00FB76A9" w:rsidRDefault="00C076E7" w:rsidP="00FD5CD5">
            <w:pPr>
              <w:pStyle w:val="CM4"/>
              <w:rPr>
                <w:rFonts w:eastAsia="Times New Roman"/>
                <w:lang w:eastAsia="pl-PL"/>
              </w:rPr>
            </w:pPr>
            <w:r w:rsidRPr="00FB76A9">
              <w:rPr>
                <w:rFonts w:eastAsia="Times New Roman"/>
                <w:lang w:eastAsia="pl-PL"/>
              </w:rPr>
              <w:t>„6. Państwa członkowskie organizują i prowadzą nadzór rynku i kontrole pojazdów, układów, komponentów i oddzielnych zespołów technicznych wprowadzanych do obrotu zgodnie z niniejszym rozporządzeniem oraz rozdziałem III rozporządzenia (WE) nr 765/2008.</w:t>
            </w:r>
          </w:p>
          <w:p w14:paraId="6AD160F3" w14:textId="77777777" w:rsidR="00C076E7" w:rsidRPr="00FB76A9" w:rsidRDefault="00C076E7" w:rsidP="00FD5CD5">
            <w:pPr>
              <w:pStyle w:val="CM4"/>
              <w:rPr>
                <w:rFonts w:eastAsia="Times New Roman"/>
                <w:lang w:eastAsia="pl-PL"/>
              </w:rPr>
            </w:pPr>
            <w:r w:rsidRPr="00FB76A9">
              <w:rPr>
                <w:rFonts w:eastAsia="Times New Roman"/>
                <w:lang w:eastAsia="pl-PL"/>
              </w:rPr>
              <w:t>7. Państwa członkowskie wprowadzają niezbędne środki w celu zapewnienia, aby organy nadzoru rynku, jeżeli uznają to za konieczne i uzasadnione, mogły być uprawnione do wejścia na teren podmiotów gospodarczych na swoim terytorium i pobrania niezbędnych próbek pojazdów, układów, komponentów i oddzielnych zespołów technicznych do celów badania zgodności.</w:t>
            </w:r>
          </w:p>
          <w:p w14:paraId="7D814395" w14:textId="77777777" w:rsidR="00C076E7" w:rsidRPr="00FB76A9" w:rsidRDefault="00C076E7"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8. Państwa członkowskie dokonują okresowych przeglądów i ocen funkcjonowania swoich działań w zakresie homologacji typu. Takie przeglądy i oceny są przeprowadzane nie rzadziej niż co cztery lata, a ich wyniki przekazywane są Komisji oraz forum wymiany informacji o egzekwowaniu przepisów, o którym mowa w art. 11 (zwanemu dalej „forum”).</w:t>
            </w:r>
          </w:p>
          <w:p w14:paraId="630AAE54" w14:textId="77777777" w:rsidR="00C076E7" w:rsidRPr="00FB76A9" w:rsidRDefault="00C076E7"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Państwa członkowskie podają do wiadomości publicznej podsumowanie wyników okresowych przeglądów i ocen.</w:t>
            </w:r>
          </w:p>
          <w:p w14:paraId="2BCEA874" w14:textId="77777777" w:rsidR="00C076E7" w:rsidRPr="00FB76A9" w:rsidRDefault="00C076E7"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Państwa członkowskie przedstawiają Komisji oraz forum sprawozdanie z tego, w jaki sposób </w:t>
            </w:r>
            <w:r w:rsidRPr="00FB76A9">
              <w:rPr>
                <w:rFonts w:ascii="Times New Roman" w:eastAsia="Times New Roman" w:hAnsi="Times New Roman" w:cs="Times New Roman"/>
                <w:sz w:val="24"/>
                <w:szCs w:val="24"/>
                <w:lang w:eastAsia="pl-PL"/>
              </w:rPr>
              <w:lastRenderedPageBreak/>
              <w:t>uwzględniły wszelkie zalecenia, o których mowa w art. 11 ust. 5, wydane przez forum.</w:t>
            </w:r>
          </w:p>
          <w:p w14:paraId="32213F1C" w14:textId="77777777" w:rsidR="00C076E7" w:rsidRPr="00FB76A9" w:rsidRDefault="00C076E7"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9. Państwa członkowskie dokonują okresowych przeglądów i ocen funkcjonowania swoich działań w zakresie nadzoru rynku. Takie przeglądy i oceny są przeprowadzane nie rzadziej niż co cztery lata, a ich wyniki przekazywane są Komisji oraz forum.”</w:t>
            </w:r>
          </w:p>
          <w:p w14:paraId="407EEE43" w14:textId="77777777" w:rsidR="00C076E7" w:rsidRPr="00FB76A9" w:rsidRDefault="00C076E7" w:rsidP="00FD5CD5">
            <w:pPr>
              <w:spacing w:after="0" w:line="240" w:lineRule="auto"/>
              <w:rPr>
                <w:rFonts w:ascii="Times New Roman" w:eastAsia="Times New Roman" w:hAnsi="Times New Roman" w:cs="Times New Roman"/>
                <w:sz w:val="24"/>
                <w:szCs w:val="24"/>
                <w:lang w:eastAsia="pl-PL"/>
              </w:rPr>
            </w:pPr>
          </w:p>
          <w:p w14:paraId="6087590E" w14:textId="77777777" w:rsidR="00C076E7" w:rsidRPr="00FB76A9" w:rsidRDefault="00C076E7" w:rsidP="00FD5CD5">
            <w:pPr>
              <w:pStyle w:val="CM4"/>
              <w:rPr>
                <w:rFonts w:eastAsia="Times New Roman"/>
                <w:lang w:eastAsia="pl-PL"/>
              </w:rPr>
            </w:pPr>
            <w:r w:rsidRPr="00FB76A9">
              <w:rPr>
                <w:rFonts w:eastAsia="Times New Roman"/>
                <w:lang w:eastAsia="pl-PL"/>
              </w:rPr>
              <w:t xml:space="preserve">„Art. 8.1. Organy nadzoru rynku przeprowadzają regularne sprawdzenia, aby sprawdzić zgodność pojazdów, układów, komponentów i oddzielnych zespołów technicznych z odpowiednimi wymogami. Sprawdzenia takie przeprowadza się w odpowiedniej skali poprzez sprawdzenie dokumentacji oraz, w stosownych przypadkach, badanie laboratoryjne i drogowe, przeprowadzane na podstawie statystycznie istotnych próbek. </w:t>
            </w:r>
          </w:p>
          <w:p w14:paraId="43704A53" w14:textId="77777777" w:rsidR="00C076E7" w:rsidRPr="00FB76A9" w:rsidRDefault="00C076E7" w:rsidP="00FD5CD5">
            <w:pPr>
              <w:pStyle w:val="CM4"/>
              <w:rPr>
                <w:rFonts w:eastAsia="Times New Roman"/>
                <w:lang w:eastAsia="pl-PL"/>
              </w:rPr>
            </w:pPr>
            <w:r w:rsidRPr="00FB76A9">
              <w:rPr>
                <w:rFonts w:eastAsia="Times New Roman"/>
                <w:lang w:eastAsia="pl-PL"/>
              </w:rPr>
              <w:t xml:space="preserve">Przy przeprowadzaniu tych sprawdzeń organy nadzoru rynku biorą pod uwagę: </w:t>
            </w:r>
          </w:p>
          <w:p w14:paraId="45E01CA2" w14:textId="77777777" w:rsidR="00C076E7" w:rsidRPr="00FB76A9" w:rsidRDefault="00C076E7" w:rsidP="00FD5CD5">
            <w:pPr>
              <w:pStyle w:val="CM4"/>
              <w:rPr>
                <w:rFonts w:eastAsia="Times New Roman"/>
                <w:lang w:eastAsia="pl-PL"/>
              </w:rPr>
            </w:pPr>
            <w:r w:rsidRPr="00FB76A9">
              <w:rPr>
                <w:rFonts w:eastAsia="Times New Roman"/>
                <w:lang w:eastAsia="pl-PL"/>
              </w:rPr>
              <w:t xml:space="preserve">a) ustalone zasady oceny ryzyka; </w:t>
            </w:r>
          </w:p>
          <w:p w14:paraId="41B73B75" w14:textId="77777777" w:rsidR="00C076E7" w:rsidRPr="00FB76A9" w:rsidRDefault="00C076E7" w:rsidP="00FD5CD5">
            <w:pPr>
              <w:pStyle w:val="CM4"/>
              <w:rPr>
                <w:rFonts w:eastAsia="Times New Roman"/>
                <w:lang w:eastAsia="pl-PL"/>
              </w:rPr>
            </w:pPr>
            <w:r w:rsidRPr="00FB76A9">
              <w:rPr>
                <w:rFonts w:eastAsia="Times New Roman"/>
                <w:lang w:eastAsia="pl-PL"/>
              </w:rPr>
              <w:t xml:space="preserve">b) uzasadnione skargi; oraz </w:t>
            </w:r>
          </w:p>
          <w:p w14:paraId="2D70D1B8" w14:textId="77777777" w:rsidR="00C076E7" w:rsidRPr="00FB76A9" w:rsidRDefault="00C076E7" w:rsidP="00FD5CD5">
            <w:pPr>
              <w:pStyle w:val="CM4"/>
              <w:rPr>
                <w:rFonts w:eastAsia="Times New Roman"/>
                <w:lang w:eastAsia="pl-PL"/>
              </w:rPr>
            </w:pPr>
            <w:r w:rsidRPr="00FB76A9">
              <w:rPr>
                <w:rFonts w:eastAsia="Times New Roman"/>
                <w:lang w:eastAsia="pl-PL"/>
              </w:rPr>
              <w:t xml:space="preserve">c) wszelkie inne istotne informacje, w tym informacje wymieniane na forum i wszelkie wyniki badań publikowane przez uznane strony trzecie spełniające wymogi określone w aktach wykonawczych, o których mowa w art. 13 ust. 10. </w:t>
            </w:r>
          </w:p>
          <w:p w14:paraId="5C2A4DFE" w14:textId="77777777" w:rsidR="00C076E7" w:rsidRPr="00FB76A9" w:rsidRDefault="00C076E7" w:rsidP="00FD5CD5">
            <w:pPr>
              <w:pStyle w:val="CM4"/>
              <w:rPr>
                <w:rFonts w:eastAsia="Times New Roman"/>
                <w:lang w:eastAsia="pl-PL"/>
              </w:rPr>
            </w:pPr>
            <w:r w:rsidRPr="00FB76A9">
              <w:rPr>
                <w:rFonts w:eastAsia="Times New Roman"/>
                <w:lang w:eastAsia="pl-PL"/>
              </w:rPr>
              <w:t xml:space="preserve">2. Bez uszczerbku dla ust. 1 organy nadzoru rynku poszczególnych państw członkowskich przeprowadzają co roku co najmniej określoną minimalną liczbę badań pojazdów. Ta minimalna liczba badań dla każdego państwa członkowskiego wynosi jeden na każde 40 000 nowych pojazdów </w:t>
            </w:r>
            <w:r w:rsidRPr="00FB76A9">
              <w:rPr>
                <w:rFonts w:eastAsia="Times New Roman"/>
                <w:lang w:eastAsia="pl-PL"/>
              </w:rPr>
              <w:lastRenderedPageBreak/>
              <w:t xml:space="preserve">silnikowych zarejestrowanych w tym państwie członkowskim w roku poprzednim, ale nie mniej niż pięć badań. </w:t>
            </w:r>
          </w:p>
          <w:p w14:paraId="5DFEF46B" w14:textId="77777777" w:rsidR="00C076E7" w:rsidRPr="00FB76A9" w:rsidRDefault="00C076E7" w:rsidP="00FD5CD5">
            <w:pPr>
              <w:pStyle w:val="CM4"/>
              <w:rPr>
                <w:rFonts w:eastAsia="Times New Roman"/>
                <w:lang w:eastAsia="pl-PL"/>
              </w:rPr>
            </w:pPr>
            <w:r w:rsidRPr="00FB76A9">
              <w:rPr>
                <w:rFonts w:eastAsia="Times New Roman"/>
                <w:lang w:eastAsia="pl-PL"/>
              </w:rPr>
              <w:t xml:space="preserve">Każde badanie weryfikuje zgodność z mającymi zastosowanie aktami prawnymi wymienionymi w załączniku II. </w:t>
            </w:r>
          </w:p>
          <w:p w14:paraId="18F3A356" w14:textId="77777777" w:rsidR="00C076E7" w:rsidRPr="00FB76A9" w:rsidRDefault="00C076E7" w:rsidP="00FD5CD5">
            <w:pPr>
              <w:pStyle w:val="CM4"/>
              <w:rPr>
                <w:rFonts w:eastAsia="Times New Roman"/>
                <w:lang w:eastAsia="pl-PL"/>
              </w:rPr>
            </w:pPr>
            <w:r w:rsidRPr="00FB76A9">
              <w:rPr>
                <w:rFonts w:eastAsia="Times New Roman"/>
                <w:lang w:eastAsia="pl-PL"/>
              </w:rPr>
              <w:t xml:space="preserve">3. Organy nadzoru rynku przeprowadzające więcej niż pięć badań rocznie przeprowadzą co najmniej 20 % minimalnej liczby badań w formie badań związanych z emisją zanieczyszczeń porównywalnych z badaniami przeprowadzanymi w ramach homologacji typu, obejmujących wszystkie wymogi związane z emisją zanieczyszczeń mające zastosowanie do badanego typu ustanowione w aktach prawnych wymienionych w załączniku II. </w:t>
            </w:r>
          </w:p>
          <w:p w14:paraId="55CDD463" w14:textId="77777777" w:rsidR="00C076E7" w:rsidRPr="00FB76A9" w:rsidRDefault="00C076E7" w:rsidP="00FD5CD5">
            <w:pPr>
              <w:pStyle w:val="CM4"/>
              <w:rPr>
                <w:rFonts w:eastAsia="Times New Roman"/>
                <w:lang w:eastAsia="pl-PL"/>
              </w:rPr>
            </w:pPr>
            <w:r w:rsidRPr="00FB76A9">
              <w:rPr>
                <w:rFonts w:eastAsia="Times New Roman"/>
                <w:lang w:eastAsia="pl-PL"/>
              </w:rPr>
              <w:t xml:space="preserve">4. Organ nadzoru rynku danego państwa członkowskiego może uzgodnić z organem nadzoru rynku innego państwa członkowskiego, że organ nadzoru rynku tego innego państwa członkowskiego przeprowadzi badania wymagane na mocy ust. 2 i 3. </w:t>
            </w:r>
          </w:p>
          <w:p w14:paraId="5459B201" w14:textId="77777777" w:rsidR="00C076E7" w:rsidRPr="00FB76A9" w:rsidRDefault="00C076E7" w:rsidP="00FD5CD5">
            <w:pPr>
              <w:pStyle w:val="CM4"/>
              <w:rPr>
                <w:rFonts w:eastAsia="Times New Roman"/>
                <w:lang w:eastAsia="pl-PL"/>
              </w:rPr>
            </w:pPr>
            <w:r w:rsidRPr="00FB76A9">
              <w:rPr>
                <w:rFonts w:eastAsia="Times New Roman"/>
                <w:lang w:eastAsia="pl-PL"/>
              </w:rPr>
              <w:t xml:space="preserve">5. Organ nadzoru rynku państwa członkowskiego może uzgodnić z Komisją, że Komisja przeprowadzi badania wymagane na mocy ust. 3 na koszt tego państwa członkowskiego. Wszelkie badania prowadzone na mocy niniejszego ustępu zalicza się na poczet minimalnej liczby badań wymaganej na mocy ust. 2. </w:t>
            </w:r>
          </w:p>
          <w:p w14:paraId="100EBA9D" w14:textId="77777777" w:rsidR="00C076E7" w:rsidRPr="00FB76A9" w:rsidRDefault="00C076E7" w:rsidP="00FD5CD5">
            <w:pPr>
              <w:pStyle w:val="CM4"/>
              <w:rPr>
                <w:rFonts w:eastAsia="Times New Roman"/>
                <w:lang w:eastAsia="pl-PL"/>
              </w:rPr>
            </w:pPr>
            <w:r w:rsidRPr="00FB76A9">
              <w:rPr>
                <w:rFonts w:eastAsia="Times New Roman"/>
                <w:lang w:eastAsia="pl-PL"/>
              </w:rPr>
              <w:t xml:space="preserve">6. Nie później niż dnia 1 marca każdego roku każde państwo członkowskie przygotowuje corocznie kompleksowy przegląd planowanych sprawdzeń w ramach nadzoru rynku i przedkłada go forum. </w:t>
            </w:r>
          </w:p>
          <w:p w14:paraId="2019E23E" w14:textId="77777777" w:rsidR="00C076E7" w:rsidRPr="00FB76A9" w:rsidRDefault="00C076E7" w:rsidP="00FD5CD5">
            <w:pPr>
              <w:pStyle w:val="CM4"/>
              <w:rPr>
                <w:rFonts w:eastAsia="Times New Roman"/>
                <w:lang w:eastAsia="pl-PL"/>
              </w:rPr>
            </w:pPr>
            <w:r w:rsidRPr="00FB76A9">
              <w:rPr>
                <w:rFonts w:eastAsia="Times New Roman"/>
                <w:lang w:eastAsia="pl-PL"/>
              </w:rPr>
              <w:lastRenderedPageBreak/>
              <w:t xml:space="preserve">7. Co dwa lata każde państwo członkowskie sporządza sprawozdanie z ustaleń ze sprawdzeń weryfikujących zgodność, jakie przeprowadziło w ciągu poprzednich dwóch lat. Sprawozdanie takie jest przedkładane forum najpóźniej dnia 30 września roku następującego po zakończeniu dwuletniego okresu sprawozdawczego. </w:t>
            </w:r>
          </w:p>
          <w:p w14:paraId="1C0929C2" w14:textId="77777777" w:rsidR="00C076E7" w:rsidRPr="00FB76A9" w:rsidRDefault="00C076E7" w:rsidP="00FD5CD5">
            <w:pPr>
              <w:pStyle w:val="CM4"/>
              <w:rPr>
                <w:rFonts w:eastAsia="Times New Roman"/>
                <w:lang w:eastAsia="pl-PL"/>
              </w:rPr>
            </w:pPr>
            <w:r w:rsidRPr="00FB76A9">
              <w:rPr>
                <w:rFonts w:eastAsia="Times New Roman"/>
                <w:lang w:eastAsia="pl-PL"/>
              </w:rPr>
              <w:t xml:space="preserve">8. Organy nadzoru rynku wymagają od podmiotów gospodarczych udostępniania organom takiej dokumentacji, informacji i wszelkich innych specyfikacji technicznych, w tym dostępu do oprogramowania i algorytmów, które organy te uznają za niezbędne do celów wykonywania swojej działalności w zakresie nadzoru rynku. </w:t>
            </w:r>
          </w:p>
          <w:p w14:paraId="2693CB06" w14:textId="77777777" w:rsidR="00C076E7" w:rsidRPr="00FB76A9" w:rsidRDefault="00C076E7" w:rsidP="00FD5CD5">
            <w:pPr>
              <w:pStyle w:val="CM4"/>
              <w:rPr>
                <w:rFonts w:eastAsia="Times New Roman"/>
                <w:lang w:eastAsia="pl-PL"/>
              </w:rPr>
            </w:pPr>
            <w:r w:rsidRPr="00FB76A9">
              <w:rPr>
                <w:rFonts w:eastAsia="Times New Roman"/>
                <w:lang w:eastAsia="pl-PL"/>
              </w:rPr>
              <w:t xml:space="preserve">9. W odniesieniu do pojazdów, układów, komponentów i oddzielnych zespołów technicznych posiadających homologację typu organy nadzoru rynku należycie uwzględniają świadectwa zgodności, oznaczenie homologacji typu lub świadectwa homologacji typu przedstawione przez podmioty gospodarcze. </w:t>
            </w:r>
          </w:p>
          <w:p w14:paraId="0EE06CF7" w14:textId="77777777" w:rsidR="00C076E7" w:rsidRPr="00FB76A9" w:rsidRDefault="00C076E7" w:rsidP="00FD5CD5">
            <w:pPr>
              <w:pStyle w:val="CM4"/>
              <w:rPr>
                <w:rFonts w:eastAsia="Times New Roman"/>
                <w:lang w:eastAsia="pl-PL"/>
              </w:rPr>
            </w:pPr>
            <w:r w:rsidRPr="00FB76A9">
              <w:rPr>
                <w:rFonts w:eastAsia="Times New Roman"/>
                <w:lang w:eastAsia="pl-PL"/>
              </w:rPr>
              <w:t xml:space="preserve">10. Organy nadzoru rynku wprowadzają odpowiednie środki w celu ostrzeżenia użytkowników na terytorium ich państw członkowskich, w adekwatnych ramach czasowych, o stwierdzonych przez siebie lub przez Komisję zagrożeniach w odniesieniu do wszelkich pojazdów, układów, komponentów lub oddzielnych zespołów technicznych, tak aby zapobiec ryzyku obrażeń lub innych szkód lub aby ograniczyć to ryzyko, w tym udostępnianie takich informacji także na stronie internetowej danego organu nadzoru rynku. </w:t>
            </w:r>
          </w:p>
          <w:p w14:paraId="52C0F3A8" w14:textId="77777777" w:rsidR="00C076E7" w:rsidRPr="00FB76A9" w:rsidRDefault="00C076E7" w:rsidP="00FD5CD5">
            <w:pPr>
              <w:pStyle w:val="CM4"/>
              <w:rPr>
                <w:rFonts w:eastAsia="Times New Roman"/>
                <w:lang w:eastAsia="pl-PL"/>
              </w:rPr>
            </w:pPr>
            <w:r w:rsidRPr="00FB76A9">
              <w:rPr>
                <w:rFonts w:eastAsia="Times New Roman"/>
                <w:lang w:eastAsia="pl-PL"/>
              </w:rPr>
              <w:lastRenderedPageBreak/>
              <w:t xml:space="preserve">Organy nadzoru rynku współpracują z podmiotami gospodarczymi w zakresie działań, które mogą zapobiec zagrożeniom powodowanym przez pojazdy, układy, komponenty lub oddzielne zespoły techniczne udostępnione przez te podmioty lub ograniczyć te zagrożenia. </w:t>
            </w:r>
          </w:p>
          <w:p w14:paraId="4F504926" w14:textId="77777777" w:rsidR="00C076E7" w:rsidRPr="00FB76A9" w:rsidRDefault="00C076E7" w:rsidP="00FD5CD5">
            <w:pPr>
              <w:pStyle w:val="CM4"/>
              <w:rPr>
                <w:rFonts w:eastAsia="Times New Roman"/>
                <w:lang w:eastAsia="pl-PL"/>
              </w:rPr>
            </w:pPr>
            <w:r w:rsidRPr="00FB76A9">
              <w:rPr>
                <w:rFonts w:eastAsia="Times New Roman"/>
                <w:lang w:eastAsia="pl-PL"/>
              </w:rPr>
              <w:t>11. Jeżeli organy nadzoru rynku jednego państwa członkowskiego zdecydują o wycofaniu z rynku pojazdu, układu, komponentu lub oddzielnego zespołu technicznego zgodnie z załącznikiem XI, informują one o tym zainteresowany podmiot gospodarczy i właściwy organ udzielający homologacji.</w:t>
            </w:r>
          </w:p>
          <w:p w14:paraId="56131DD4" w14:textId="77777777" w:rsidR="00C076E7" w:rsidRPr="00FB76A9" w:rsidRDefault="00C076E7" w:rsidP="00FD5CD5">
            <w:pPr>
              <w:pStyle w:val="CM4"/>
              <w:rPr>
                <w:rFonts w:eastAsia="Times New Roman"/>
                <w:lang w:eastAsia="pl-PL"/>
              </w:rPr>
            </w:pPr>
            <w:r w:rsidRPr="00FB76A9">
              <w:rPr>
                <w:rFonts w:eastAsia="Times New Roman"/>
                <w:lang w:eastAsia="pl-PL"/>
              </w:rPr>
              <w:t xml:space="preserve">12. Organy nadzoru rynku wykonują swoje obowiązki w sposób niezależny i bezstronny. Przestrzegają one zasad poufności w celu ochrony tajemnicy handlowej, z zastrzeżeniem obowiązku określonego w art. 9 ust. 4 udostępniania informacji Komisji i innych mających zastosowanie i określonych w prawie Unii wymogów dotyczących ujawniania informacji, w celu ochrony interesów użytkowników w Unii. </w:t>
            </w:r>
          </w:p>
          <w:p w14:paraId="366C44DA" w14:textId="77777777" w:rsidR="00C076E7" w:rsidRPr="00FB76A9" w:rsidRDefault="00C076E7" w:rsidP="00FD5CD5">
            <w:pPr>
              <w:pStyle w:val="CM4"/>
              <w:rPr>
                <w:rFonts w:eastAsia="Times New Roman"/>
                <w:lang w:eastAsia="pl-PL"/>
              </w:rPr>
            </w:pPr>
            <w:r w:rsidRPr="00FB76A9">
              <w:rPr>
                <w:rFonts w:eastAsia="Times New Roman"/>
                <w:lang w:eastAsia="pl-PL"/>
              </w:rPr>
              <w:t xml:space="preserve">13. Organy nadzoru rynku różnych państw członkowskich koordynują swoje działania w zakresie nadzoru rynku, współpracują ze sobą i dzielą się ze sobą i z forum wynikami tych działań. W stosownych przypadkach organy nadzoru rynku uzgadniają podział pracy i specjalizację. </w:t>
            </w:r>
          </w:p>
          <w:p w14:paraId="729A3C2E" w14:textId="77777777" w:rsidR="00C076E7" w:rsidRPr="00FB76A9" w:rsidRDefault="00C076E7" w:rsidP="00FD5CD5">
            <w:pPr>
              <w:pStyle w:val="CM4"/>
              <w:rPr>
                <w:rFonts w:eastAsia="Times New Roman"/>
                <w:lang w:eastAsia="pl-PL"/>
              </w:rPr>
            </w:pPr>
            <w:r w:rsidRPr="00FB76A9">
              <w:rPr>
                <w:rFonts w:eastAsia="Times New Roman"/>
                <w:lang w:eastAsia="pl-PL"/>
              </w:rPr>
              <w:t xml:space="preserve">14. Jeżeli w danym państwie członkowskim za nadzór rynku i kontrole na granicach zewnętrznych odpowiedzialny jest więcej niż jeden organ, organy te skutecznie i sprawnie współpracują ze sobą oraz dzielą się informacjami istotnymi ze względu na ich rolę i wykonywane przez nie funkcje. </w:t>
            </w:r>
          </w:p>
          <w:p w14:paraId="22039A83" w14:textId="77777777" w:rsidR="00C076E7" w:rsidRDefault="00C076E7"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lastRenderedPageBreak/>
              <w:t>15. Komisja może przyjmować akty wykonawcze, ustanawiające wspólne kryteria określania odpowiedniej skali sprawdzeń weryfikujących zgodność, o których mowa w ust. 1 niniejszego artykułu, i ustanawiające wspólne kryteria w zakresie formatu przeglądu i sprawozdania, o których mowa odpowiednio w ust. 6 i 7 niniejszego artykułu. Te akty wykonawcze przyjmuje się zgodnie z procedurą sprawdzającą, o której mowa w art. 83 ust. 2.</w:t>
            </w:r>
          </w:p>
          <w:p w14:paraId="7F4B5958" w14:textId="77777777" w:rsidR="00093424" w:rsidRPr="00093424" w:rsidRDefault="00093424" w:rsidP="00FD5CD5">
            <w:pPr>
              <w:spacing w:after="0" w:line="240" w:lineRule="auto"/>
              <w:rPr>
                <w:rFonts w:ascii="Times New Roman" w:eastAsia="Times New Roman" w:hAnsi="Times New Roman" w:cs="Times New Roman"/>
                <w:sz w:val="24"/>
                <w:szCs w:val="24"/>
                <w:lang w:eastAsia="pl-PL"/>
              </w:rPr>
            </w:pPr>
            <w:r w:rsidRPr="00EF061D">
              <w:rPr>
                <w:rFonts w:ascii="Times New Roman" w:eastAsia="Times New Roman" w:hAnsi="Times New Roman" w:cs="Times New Roman"/>
                <w:sz w:val="24"/>
                <w:szCs w:val="24"/>
                <w:lang w:eastAsia="pl-PL"/>
              </w:rPr>
              <w:t>Art. 12</w:t>
            </w:r>
          </w:p>
          <w:p w14:paraId="08AF894C" w14:textId="77777777" w:rsidR="00093424" w:rsidRPr="00093424" w:rsidRDefault="00093424" w:rsidP="00FD5CD5">
            <w:pPr>
              <w:spacing w:after="0" w:line="240" w:lineRule="auto"/>
              <w:rPr>
                <w:rFonts w:ascii="Times New Roman" w:eastAsia="Times New Roman" w:hAnsi="Times New Roman" w:cs="Times New Roman"/>
                <w:sz w:val="24"/>
                <w:szCs w:val="24"/>
                <w:lang w:eastAsia="pl-PL"/>
              </w:rPr>
            </w:pPr>
            <w:r w:rsidRPr="00093424">
              <w:rPr>
                <w:rFonts w:ascii="Times New Roman" w:eastAsia="Times New Roman" w:hAnsi="Times New Roman" w:cs="Times New Roman"/>
                <w:sz w:val="24"/>
                <w:szCs w:val="24"/>
                <w:lang w:eastAsia="pl-PL"/>
              </w:rPr>
              <w:t>Wymiana danych online</w:t>
            </w:r>
          </w:p>
          <w:p w14:paraId="5132D3B1" w14:textId="77777777" w:rsidR="00093424" w:rsidRPr="00093424" w:rsidRDefault="00093424" w:rsidP="00FD5CD5">
            <w:pPr>
              <w:spacing w:after="0" w:line="240" w:lineRule="auto"/>
              <w:rPr>
                <w:rFonts w:ascii="Times New Roman" w:eastAsia="Times New Roman" w:hAnsi="Times New Roman" w:cs="Times New Roman"/>
                <w:sz w:val="24"/>
                <w:szCs w:val="24"/>
                <w:lang w:eastAsia="pl-PL"/>
              </w:rPr>
            </w:pPr>
            <w:r w:rsidRPr="00093424">
              <w:rPr>
                <w:rFonts w:ascii="Times New Roman" w:eastAsia="Times New Roman" w:hAnsi="Times New Roman" w:cs="Times New Roman"/>
                <w:sz w:val="24"/>
                <w:szCs w:val="24"/>
                <w:lang w:eastAsia="pl-PL"/>
              </w:rPr>
              <w:t>1. Komisja i państwa członkowskie stosują wspólny bezpieczny elektroniczny system wymiany informacji, o których mowa w art. 27 dotyczący świadectwa homologacji typu UE, wraz z ich załącznikami, o których mowa w art. 28 ust. 1, w tym w odniesieniu do sprawozdań z badań oraz zmian, do odmów udzielenia lub do cofania homologacji typu UE.</w:t>
            </w:r>
          </w:p>
          <w:p w14:paraId="25F01827" w14:textId="77777777" w:rsidR="00093424" w:rsidRDefault="00093424" w:rsidP="00FD5CD5">
            <w:pPr>
              <w:spacing w:after="0" w:line="240" w:lineRule="auto"/>
              <w:rPr>
                <w:rFonts w:ascii="Times New Roman" w:eastAsia="Times New Roman" w:hAnsi="Times New Roman" w:cs="Times New Roman"/>
                <w:sz w:val="24"/>
                <w:szCs w:val="24"/>
                <w:lang w:eastAsia="pl-PL"/>
              </w:rPr>
            </w:pPr>
            <w:r w:rsidRPr="00093424">
              <w:rPr>
                <w:rFonts w:ascii="Times New Roman" w:eastAsia="Times New Roman" w:hAnsi="Times New Roman" w:cs="Times New Roman"/>
                <w:sz w:val="24"/>
                <w:szCs w:val="24"/>
                <w:lang w:eastAsia="pl-PL"/>
              </w:rPr>
              <w:t>Komisja i państwa członkowskie stosują unijny system szybkiej informacji (RAPEX) ustanowiony na mocy dyrektywy 2001/95/WE Parlamentu Europejskiego i Rady ( 1 ) oraz system informacyjny i komunikacyjny do celów nadzoru rynku (ICSMS), ustanowiony na mocy rozporządzenia (WE) nr 765/2008 do celów związanych z nadzorem rynku, wycofaniem produktów od użytkowników oraz innymi odpowiednimi działaniami, w których uczestniczą organy nadzoru rynku, państwa członkowskie i Komisja.</w:t>
            </w:r>
          </w:p>
          <w:p w14:paraId="06DB4466" w14:textId="77777777" w:rsidR="00093424" w:rsidRPr="00093424" w:rsidRDefault="00093424" w:rsidP="00FD5CD5">
            <w:pPr>
              <w:spacing w:after="0" w:line="240" w:lineRule="auto"/>
              <w:rPr>
                <w:rFonts w:ascii="Times New Roman" w:eastAsia="Times New Roman" w:hAnsi="Times New Roman" w:cs="Times New Roman"/>
                <w:sz w:val="24"/>
                <w:szCs w:val="24"/>
                <w:lang w:eastAsia="pl-PL"/>
              </w:rPr>
            </w:pPr>
            <w:r w:rsidRPr="00093424">
              <w:rPr>
                <w:rFonts w:ascii="Times New Roman" w:eastAsia="Times New Roman" w:hAnsi="Times New Roman" w:cs="Times New Roman"/>
                <w:sz w:val="24"/>
                <w:szCs w:val="24"/>
                <w:lang w:eastAsia="pl-PL"/>
              </w:rPr>
              <w:t xml:space="preserve">2. Od dnia 5 lipca 2026 r. państwa członkowskie udostępniają publicznie świadectwo zgodności każdego pojazdu, według numeru identyfikacyjnego </w:t>
            </w:r>
            <w:r w:rsidRPr="00093424">
              <w:rPr>
                <w:rFonts w:ascii="Times New Roman" w:eastAsia="Times New Roman" w:hAnsi="Times New Roman" w:cs="Times New Roman"/>
                <w:sz w:val="24"/>
                <w:szCs w:val="24"/>
                <w:lang w:eastAsia="pl-PL"/>
              </w:rPr>
              <w:lastRenderedPageBreak/>
              <w:t>pojazdu, w formie danych ustrukturyzowanych w formacie elektronicznym we wspólnym bezpiecznym elektronicznym systemie wymiany zgodnie z art. 37.</w:t>
            </w:r>
          </w:p>
          <w:p w14:paraId="24DBA152" w14:textId="77777777" w:rsidR="00093424" w:rsidRPr="00093424" w:rsidRDefault="00093424" w:rsidP="00FD5CD5">
            <w:pPr>
              <w:spacing w:after="0" w:line="240" w:lineRule="auto"/>
              <w:rPr>
                <w:rFonts w:ascii="Times New Roman" w:eastAsia="Times New Roman" w:hAnsi="Times New Roman" w:cs="Times New Roman"/>
                <w:sz w:val="24"/>
                <w:szCs w:val="24"/>
                <w:lang w:eastAsia="pl-PL"/>
              </w:rPr>
            </w:pPr>
            <w:r w:rsidRPr="00093424">
              <w:rPr>
                <w:rFonts w:ascii="Times New Roman" w:eastAsia="Times New Roman" w:hAnsi="Times New Roman" w:cs="Times New Roman"/>
                <w:sz w:val="24"/>
                <w:szCs w:val="24"/>
                <w:lang w:eastAsia="pl-PL"/>
              </w:rPr>
              <w:t>Od dnia 5 lipca 2026 r. państwa członkowskie udostępniają publicznie informacje zawarte w świadectwie zgodności, z wyjątkiem numerów identyfikacyjnych pojazdów, w formie danych ustrukturyzowanych w formacie elektronicznym we wspólnym bezpiecznym elektronicznym systemie wymiany informacji zgodnie z art. 37.</w:t>
            </w:r>
          </w:p>
          <w:p w14:paraId="18C89D55" w14:textId="77777777" w:rsidR="00093424" w:rsidRPr="00093424" w:rsidRDefault="00093424" w:rsidP="00FD5CD5">
            <w:pPr>
              <w:spacing w:after="0" w:line="240" w:lineRule="auto"/>
              <w:rPr>
                <w:rFonts w:ascii="Times New Roman" w:eastAsia="Times New Roman" w:hAnsi="Times New Roman" w:cs="Times New Roman"/>
                <w:sz w:val="24"/>
                <w:szCs w:val="24"/>
                <w:lang w:eastAsia="pl-PL"/>
              </w:rPr>
            </w:pPr>
            <w:r w:rsidRPr="00093424">
              <w:rPr>
                <w:rFonts w:ascii="Times New Roman" w:eastAsia="Times New Roman" w:hAnsi="Times New Roman" w:cs="Times New Roman"/>
                <w:sz w:val="24"/>
                <w:szCs w:val="24"/>
                <w:lang w:eastAsia="pl-PL"/>
              </w:rPr>
              <w:t>Komisja przyjmuje akty wykonawcze ustanawiające format i kryteria dostępu do informacji dostępnych publicznie, o których mowa w akapitach pierwszym i drugim. Te akty wykonawcze przyjmuje się zgodnie z procedurą sprawdzającą, o której mowa w art. 83 ust. 2.</w:t>
            </w:r>
          </w:p>
          <w:p w14:paraId="634897D9" w14:textId="77777777" w:rsidR="00093424" w:rsidRPr="00093424" w:rsidRDefault="00093424" w:rsidP="00FD5CD5">
            <w:pPr>
              <w:spacing w:after="0" w:line="240" w:lineRule="auto"/>
              <w:rPr>
                <w:rFonts w:ascii="Times New Roman" w:eastAsia="Times New Roman" w:hAnsi="Times New Roman" w:cs="Times New Roman"/>
                <w:sz w:val="24"/>
                <w:szCs w:val="24"/>
                <w:lang w:eastAsia="pl-PL"/>
              </w:rPr>
            </w:pPr>
            <w:r w:rsidRPr="00093424">
              <w:rPr>
                <w:rFonts w:ascii="Times New Roman" w:eastAsia="Times New Roman" w:hAnsi="Times New Roman" w:cs="Times New Roman"/>
                <w:sz w:val="24"/>
                <w:szCs w:val="24"/>
                <w:lang w:eastAsia="pl-PL"/>
              </w:rPr>
              <w:t>3. Komisja podejmuje wszelkie niezbędne środki, by ustanowić interfejs między wspólnym bezpiecznym elektronicznym systemem wymiany informacji jak określono w aktach wykonawczych, o których mowa w art. 27 RAPEX oraz ICSMS w celu ułatwienia działań w zakresie nadzoru rynku i zapewnienia koordynacji, spójności i poprawności informacji udostępnianych konsumentom i stronom trzecim.</w:t>
            </w:r>
          </w:p>
          <w:p w14:paraId="72F65518" w14:textId="77777777" w:rsidR="00093424" w:rsidRPr="00093424" w:rsidRDefault="00093424" w:rsidP="00FD5CD5">
            <w:pPr>
              <w:spacing w:after="0" w:line="240" w:lineRule="auto"/>
              <w:rPr>
                <w:rFonts w:ascii="Times New Roman" w:eastAsia="Times New Roman" w:hAnsi="Times New Roman" w:cs="Times New Roman"/>
                <w:sz w:val="24"/>
                <w:szCs w:val="24"/>
                <w:lang w:eastAsia="pl-PL"/>
              </w:rPr>
            </w:pPr>
            <w:r w:rsidRPr="00093424">
              <w:rPr>
                <w:rFonts w:ascii="Times New Roman" w:eastAsia="Times New Roman" w:hAnsi="Times New Roman" w:cs="Times New Roman"/>
                <w:sz w:val="24"/>
                <w:szCs w:val="24"/>
                <w:lang w:eastAsia="pl-PL"/>
              </w:rPr>
              <w:t xml:space="preserve">4. Państwa członkowskie stosują wspólny elektroniczny system wymiany określony w aktach wykonawczych, o których mowa w art. 27, aby wykaz homologacji typu UE dla pojazdów, układów, komponentów i oddzielnych zespołów technicznych, których to homologacji udzieliły, odmówiły udzielenia, które zmieniły lub wycofały, a także wykaz służb technicznych, które przeprowadziły </w:t>
            </w:r>
            <w:r w:rsidRPr="00093424">
              <w:rPr>
                <w:rFonts w:ascii="Times New Roman" w:eastAsia="Times New Roman" w:hAnsi="Times New Roman" w:cs="Times New Roman"/>
                <w:sz w:val="24"/>
                <w:szCs w:val="24"/>
                <w:lang w:eastAsia="pl-PL"/>
              </w:rPr>
              <w:lastRenderedPageBreak/>
              <w:t>badania do celów odnośnych homologacji typu UE, publicznie udostępnione od dnia 1 września 2022 r.</w:t>
            </w:r>
          </w:p>
          <w:p w14:paraId="6F2B5DD2" w14:textId="77777777" w:rsidR="00093424" w:rsidRPr="00093424" w:rsidRDefault="00093424" w:rsidP="00FD5CD5">
            <w:pPr>
              <w:spacing w:after="0" w:line="240" w:lineRule="auto"/>
              <w:rPr>
                <w:rFonts w:ascii="Times New Roman" w:eastAsia="Times New Roman" w:hAnsi="Times New Roman" w:cs="Times New Roman"/>
                <w:sz w:val="24"/>
                <w:szCs w:val="24"/>
                <w:lang w:eastAsia="pl-PL"/>
              </w:rPr>
            </w:pPr>
            <w:r w:rsidRPr="00093424">
              <w:rPr>
                <w:rFonts w:ascii="Times New Roman" w:eastAsia="Times New Roman" w:hAnsi="Times New Roman" w:cs="Times New Roman"/>
                <w:sz w:val="24"/>
                <w:szCs w:val="24"/>
                <w:lang w:eastAsia="pl-PL"/>
              </w:rPr>
              <w:t>Komisja przyjmuje akty wykonawcze ustanawiające format i kryteria dostępu do informacji dostępnych publicznie, o których mowa w niniejszym ustępie akapit pierwszy. Te akty wykonawcze przyjmuje się zgodnie z procedurą sprawdzającą, o której mowa w art. 83 ust. 2.</w:t>
            </w:r>
          </w:p>
          <w:p w14:paraId="6DBB34E7" w14:textId="77777777" w:rsidR="00093424" w:rsidRPr="00FB76A9" w:rsidRDefault="00093424" w:rsidP="00FD5CD5">
            <w:pPr>
              <w:spacing w:after="0" w:line="240" w:lineRule="auto"/>
              <w:rPr>
                <w:rFonts w:ascii="Times New Roman" w:eastAsia="Times New Roman" w:hAnsi="Times New Roman" w:cs="Times New Roman"/>
                <w:sz w:val="24"/>
                <w:szCs w:val="24"/>
                <w:lang w:eastAsia="pl-PL"/>
              </w:rPr>
            </w:pPr>
            <w:r w:rsidRPr="00093424">
              <w:rPr>
                <w:rFonts w:ascii="Times New Roman" w:eastAsia="Times New Roman" w:hAnsi="Times New Roman" w:cs="Times New Roman"/>
                <w:sz w:val="24"/>
                <w:szCs w:val="24"/>
                <w:lang w:eastAsia="pl-PL"/>
              </w:rPr>
              <w:t>5. Komisja opracowuje narzędzie służące do publicznego udostępniania wyników badań i skarg dotyczących funkcjonowania pojazdów, układów, komponentów i oddzielnych zespołów technicznych i przedłożonych przez uznane, będące stronami trzecimi, organizacje prowadzące badania spełniające wymogi określone w aktach wykonawczych, o których mowa w art. 13 ust. 10.</w:t>
            </w:r>
          </w:p>
        </w:tc>
        <w:tc>
          <w:tcPr>
            <w:tcW w:w="851" w:type="dxa"/>
            <w:vMerge w:val="restart"/>
            <w:tcBorders>
              <w:top w:val="single" w:sz="4" w:space="0" w:color="auto"/>
              <w:left w:val="single" w:sz="4" w:space="0" w:color="auto"/>
              <w:right w:val="single" w:sz="4" w:space="0" w:color="auto"/>
            </w:tcBorders>
          </w:tcPr>
          <w:p w14:paraId="41E9663F" w14:textId="77777777" w:rsidR="00C076E7" w:rsidRPr="00FB76A9" w:rsidRDefault="00C076E7"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lastRenderedPageBreak/>
              <w:t>T</w:t>
            </w:r>
          </w:p>
          <w:p w14:paraId="3204611E" w14:textId="77777777" w:rsidR="00C076E7" w:rsidRPr="00FB76A9" w:rsidRDefault="00C076E7" w:rsidP="00FD5CD5">
            <w:pPr>
              <w:spacing w:after="0" w:line="240" w:lineRule="auto"/>
              <w:rPr>
                <w:rFonts w:ascii="Times New Roman" w:eastAsia="Times New Roman" w:hAnsi="Times New Roman" w:cs="Times New Roman"/>
                <w:sz w:val="24"/>
                <w:szCs w:val="24"/>
                <w:lang w:eastAsia="pl-PL"/>
              </w:rPr>
            </w:pPr>
          </w:p>
        </w:tc>
        <w:tc>
          <w:tcPr>
            <w:tcW w:w="992" w:type="dxa"/>
            <w:vMerge w:val="restart"/>
            <w:tcBorders>
              <w:top w:val="single" w:sz="4" w:space="0" w:color="auto"/>
              <w:left w:val="single" w:sz="4" w:space="0" w:color="auto"/>
              <w:right w:val="single" w:sz="4" w:space="0" w:color="auto"/>
            </w:tcBorders>
          </w:tcPr>
          <w:p w14:paraId="6D0E9AC1" w14:textId="77777777" w:rsidR="00C076E7" w:rsidRPr="00FB76A9" w:rsidRDefault="00C076E7"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 1 pkt 21</w:t>
            </w:r>
          </w:p>
          <w:p w14:paraId="6453DCAA" w14:textId="77777777" w:rsidR="00C076E7" w:rsidRPr="00FB76A9" w:rsidRDefault="00C076E7" w:rsidP="00FD5CD5">
            <w:pPr>
              <w:spacing w:after="0" w:line="240" w:lineRule="auto"/>
              <w:rPr>
                <w:rFonts w:ascii="Times New Roman" w:eastAsia="Times New Roman" w:hAnsi="Times New Roman" w:cs="Times New Roman"/>
                <w:sz w:val="24"/>
                <w:szCs w:val="24"/>
                <w:lang w:eastAsia="pl-PL"/>
              </w:rPr>
            </w:pPr>
          </w:p>
        </w:tc>
        <w:tc>
          <w:tcPr>
            <w:tcW w:w="5103" w:type="dxa"/>
            <w:vMerge w:val="restart"/>
            <w:tcBorders>
              <w:top w:val="single" w:sz="4" w:space="0" w:color="auto"/>
              <w:left w:val="single" w:sz="4" w:space="0" w:color="auto"/>
              <w:right w:val="single" w:sz="4" w:space="0" w:color="auto"/>
            </w:tcBorders>
          </w:tcPr>
          <w:p w14:paraId="00455E06" w14:textId="77777777" w:rsidR="00C076E7" w:rsidRPr="00E05CE1" w:rsidRDefault="00E55F04" w:rsidP="00E05CE1">
            <w:pPr>
              <w:pStyle w:val="CM4"/>
              <w:rPr>
                <w:rFonts w:eastAsia="Times New Roman"/>
                <w:lang w:eastAsia="pl-PL"/>
              </w:rPr>
            </w:pPr>
            <w:bookmarkStart w:id="4" w:name="_Hlk220932406"/>
            <w:bookmarkStart w:id="5" w:name="_Hlk136245290"/>
            <w:r w:rsidRPr="00E05CE1">
              <w:rPr>
                <w:rFonts w:eastAsia="Times New Roman"/>
                <w:lang w:eastAsia="pl-PL"/>
              </w:rPr>
              <w:t>„</w:t>
            </w:r>
            <w:r w:rsidR="00C076E7" w:rsidRPr="00E05CE1">
              <w:rPr>
                <w:rFonts w:eastAsia="Times New Roman"/>
                <w:lang w:eastAsia="pl-PL"/>
              </w:rPr>
              <w:t>Rozdział 4b</w:t>
            </w:r>
          </w:p>
          <w:p w14:paraId="0034ADC0" w14:textId="77777777" w:rsidR="00C076E7" w:rsidRPr="00E05CE1" w:rsidRDefault="00C076E7" w:rsidP="00E05CE1">
            <w:pPr>
              <w:pStyle w:val="CM4"/>
              <w:rPr>
                <w:rFonts w:eastAsia="Times New Roman"/>
                <w:lang w:eastAsia="pl-PL"/>
              </w:rPr>
            </w:pPr>
            <w:r w:rsidRPr="00E05CE1">
              <w:rPr>
                <w:rFonts w:eastAsia="Times New Roman"/>
                <w:lang w:eastAsia="pl-PL"/>
              </w:rPr>
              <w:t>Nadzór rynku</w:t>
            </w:r>
          </w:p>
          <w:p w14:paraId="7FFA609C" w14:textId="77777777" w:rsidR="00C076E7" w:rsidRPr="00FB76A9" w:rsidRDefault="00C076E7"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Art. 68s. 1. Dyrektor TDT jako organ nadzoru rynku jest uprawniony do:</w:t>
            </w:r>
          </w:p>
          <w:p w14:paraId="43594249" w14:textId="77777777" w:rsidR="00C076E7" w:rsidRPr="00FB76A9" w:rsidRDefault="00C076E7" w:rsidP="005E0F9D">
            <w:pPr>
              <w:pStyle w:val="ZPKTzmpktartykuempunktem"/>
              <w:numPr>
                <w:ilvl w:val="0"/>
                <w:numId w:val="10"/>
              </w:numPr>
              <w:spacing w:line="240" w:lineRule="auto"/>
              <w:ind w:left="993"/>
              <w:jc w:val="left"/>
              <w:rPr>
                <w:rFonts w:ascii="Times New Roman" w:hAnsi="Times New Roman" w:cs="Times New Roman"/>
                <w:szCs w:val="24"/>
              </w:rPr>
            </w:pPr>
            <w:bookmarkStart w:id="6" w:name="_Hlk231749596"/>
            <w:bookmarkStart w:id="7" w:name="_Hlk231749739"/>
            <w:r w:rsidRPr="00FB76A9">
              <w:rPr>
                <w:rFonts w:ascii="Times New Roman" w:hAnsi="Times New Roman" w:cs="Times New Roman"/>
                <w:szCs w:val="24"/>
              </w:rPr>
              <w:t xml:space="preserve">realizacji czynności, o których mowa w art. 14 ust. 4 rozporządzenia 2019/1020 </w:t>
            </w:r>
            <w:bookmarkEnd w:id="6"/>
            <w:r w:rsidRPr="00FB76A9">
              <w:rPr>
                <w:rFonts w:ascii="Times New Roman" w:hAnsi="Times New Roman" w:cs="Times New Roman"/>
                <w:szCs w:val="24"/>
              </w:rPr>
              <w:t>względem podmiotu gospodarczego lub posiadacza pojazdu, przedmiotu wyposażenia lub części niebędącego użytkownikiem końcowym;</w:t>
            </w:r>
          </w:p>
          <w:p w14:paraId="5250C7F4" w14:textId="77777777" w:rsidR="00C076E7" w:rsidRPr="00FB76A9" w:rsidRDefault="00C076E7" w:rsidP="005E0F9D">
            <w:pPr>
              <w:pStyle w:val="ZPKTzmpktartykuempunktem"/>
              <w:numPr>
                <w:ilvl w:val="0"/>
                <w:numId w:val="10"/>
              </w:numPr>
              <w:spacing w:line="240" w:lineRule="auto"/>
              <w:ind w:left="993"/>
              <w:jc w:val="left"/>
              <w:rPr>
                <w:rFonts w:ascii="Times New Roman" w:hAnsi="Times New Roman" w:cs="Times New Roman"/>
                <w:szCs w:val="24"/>
              </w:rPr>
            </w:pPr>
            <w:r w:rsidRPr="00FB76A9">
              <w:rPr>
                <w:rFonts w:ascii="Times New Roman" w:hAnsi="Times New Roman" w:cs="Times New Roman"/>
                <w:szCs w:val="24"/>
              </w:rPr>
              <w:t xml:space="preserve">realizacji zadań, o których mowa w art. 12, </w:t>
            </w:r>
            <w:bookmarkStart w:id="8" w:name="_Hlk231749625"/>
            <w:r w:rsidRPr="00FB76A9">
              <w:rPr>
                <w:rFonts w:ascii="Times New Roman" w:hAnsi="Times New Roman" w:cs="Times New Roman"/>
                <w:szCs w:val="24"/>
              </w:rPr>
              <w:t xml:space="preserve">art. 22−24, rozdziale VII rozporządzenia </w:t>
            </w:r>
            <w:bookmarkEnd w:id="8"/>
            <w:r w:rsidRPr="00FB76A9">
              <w:rPr>
                <w:rFonts w:ascii="Times New Roman" w:hAnsi="Times New Roman" w:cs="Times New Roman"/>
                <w:szCs w:val="24"/>
              </w:rPr>
              <w:t>2019/1020;</w:t>
            </w:r>
          </w:p>
          <w:p w14:paraId="0013C8E4" w14:textId="77777777" w:rsidR="00C076E7" w:rsidRPr="00FB76A9" w:rsidRDefault="00C076E7" w:rsidP="005E0F9D">
            <w:pPr>
              <w:pStyle w:val="ZPKTzmpktartykuempunktem"/>
              <w:numPr>
                <w:ilvl w:val="0"/>
                <w:numId w:val="10"/>
              </w:numPr>
              <w:spacing w:line="240" w:lineRule="auto"/>
              <w:ind w:left="993"/>
              <w:jc w:val="left"/>
              <w:rPr>
                <w:rFonts w:ascii="Times New Roman" w:hAnsi="Times New Roman" w:cs="Times New Roman"/>
                <w:szCs w:val="24"/>
              </w:rPr>
            </w:pPr>
            <w:bookmarkStart w:id="9" w:name="_Hlk231749720"/>
            <w:bookmarkEnd w:id="7"/>
            <w:r w:rsidRPr="00FB76A9">
              <w:rPr>
                <w:rFonts w:ascii="Times New Roman" w:hAnsi="Times New Roman" w:cs="Times New Roman"/>
                <w:szCs w:val="24"/>
              </w:rPr>
              <w:t xml:space="preserve">wymagania od operatora platformy lub dostawcy usług społeczeństwa informacyjnego przedstawienia informacji niezbędnych do ustalenia własności stron internetowych w toku prowadzenia </w:t>
            </w:r>
            <w:bookmarkStart w:id="10" w:name="_Hlk230965262"/>
            <w:r w:rsidRPr="00FB76A9">
              <w:rPr>
                <w:rFonts w:ascii="Times New Roman" w:hAnsi="Times New Roman" w:cs="Times New Roman"/>
                <w:szCs w:val="24"/>
              </w:rPr>
              <w:t>czynności wyjaśniających, kontroli, badań lub postępowań administracyjnych</w:t>
            </w:r>
            <w:bookmarkEnd w:id="10"/>
            <w:r w:rsidRPr="00FB76A9">
              <w:rPr>
                <w:rFonts w:ascii="Times New Roman" w:hAnsi="Times New Roman" w:cs="Times New Roman"/>
                <w:szCs w:val="24"/>
              </w:rPr>
              <w:t>;</w:t>
            </w:r>
          </w:p>
          <w:p w14:paraId="120E7FDD" w14:textId="77777777" w:rsidR="00C076E7" w:rsidRPr="00FB76A9" w:rsidRDefault="00C076E7" w:rsidP="005E0F9D">
            <w:pPr>
              <w:pStyle w:val="ZPKTzmpktartykuempunktem"/>
              <w:numPr>
                <w:ilvl w:val="0"/>
                <w:numId w:val="10"/>
              </w:numPr>
              <w:spacing w:line="240" w:lineRule="auto"/>
              <w:ind w:left="993"/>
              <w:jc w:val="left"/>
              <w:rPr>
                <w:rFonts w:ascii="Times New Roman" w:hAnsi="Times New Roman" w:cs="Times New Roman"/>
                <w:szCs w:val="24"/>
              </w:rPr>
            </w:pPr>
            <w:r w:rsidRPr="00FB76A9">
              <w:rPr>
                <w:rFonts w:ascii="Times New Roman" w:hAnsi="Times New Roman" w:cs="Times New Roman"/>
                <w:szCs w:val="24"/>
              </w:rPr>
              <w:t xml:space="preserve">wymagania od operatora platformy lub dostawcy usług społeczeństwa informacyjnego podjęcia działań w ramach interfejsu online, w tym usunięcia z interfejsu online treści odnoszących się do pojazdu, przedmiotu </w:t>
            </w:r>
            <w:r w:rsidRPr="00FB76A9">
              <w:rPr>
                <w:rFonts w:ascii="Times New Roman" w:hAnsi="Times New Roman" w:cs="Times New Roman"/>
                <w:szCs w:val="24"/>
              </w:rPr>
              <w:lastRenderedPageBreak/>
              <w:t>wyposażenia i części, wobec których stwierdzono niezgodność z wymaganiami technicznymi lub poważne ryzyko, zawieszenia konta podmiotu gospodarczego na platformie lub wyświetlenia wyraźnego ostrzeżenia dla użytkowników końcowych uzyskujących dostęp do oferty tego pojazdu, przedmiotu wyposażenia lub części;</w:t>
            </w:r>
          </w:p>
          <w:p w14:paraId="514BFB21"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5)</w:t>
            </w:r>
            <w:r w:rsidRPr="00FB76A9">
              <w:rPr>
                <w:rFonts w:ascii="Times New Roman" w:hAnsi="Times New Roman" w:cs="Times New Roman"/>
                <w:szCs w:val="24"/>
              </w:rPr>
              <w:tab/>
              <w:t>zasięgania z urzędu niezbędnych opinii eksperckich, w tym  w toku kontroli dokumentów, fizycznej lub laboratoryjnej kontroli pojazdów, przedmiotów wyposażenia lub części lub prowadzonych postępowań administracyjnych;</w:t>
            </w:r>
          </w:p>
          <w:p w14:paraId="6AEE112C"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6)</w:t>
            </w:r>
            <w:r w:rsidRPr="00FB76A9">
              <w:rPr>
                <w:rFonts w:ascii="Times New Roman" w:hAnsi="Times New Roman" w:cs="Times New Roman"/>
                <w:szCs w:val="24"/>
              </w:rPr>
              <w:tab/>
              <w:t>prowadzenia nieodpłatnych kampanii informacyjnych dla obywateli w mediach publicznych, komercyjnych i społecznościowych;</w:t>
            </w:r>
          </w:p>
          <w:p w14:paraId="4A15BA19"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7)</w:t>
            </w:r>
            <w:r w:rsidRPr="00FB76A9">
              <w:rPr>
                <w:rFonts w:ascii="Times New Roman" w:hAnsi="Times New Roman" w:cs="Times New Roman"/>
                <w:szCs w:val="24"/>
              </w:rPr>
              <w:tab/>
              <w:t>opracowania i prowadzenia wykazu pojazdów, przedmiotów wyposażenia lub części niezgodnych z wymaganiami technicznymi lub stwarzających poważne ryzyko, który udostępnia na stronie podmiotowej Transportowego Dozoru Technicznego;</w:t>
            </w:r>
          </w:p>
          <w:p w14:paraId="3E912753"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8)</w:t>
            </w:r>
            <w:r w:rsidRPr="00FB76A9">
              <w:rPr>
                <w:rFonts w:ascii="Times New Roman" w:hAnsi="Times New Roman" w:cs="Times New Roman"/>
                <w:szCs w:val="24"/>
              </w:rPr>
              <w:tab/>
              <w:t>opracowania i prowadzenia wykazu akcji serwisowych, który udostępnia na stronie podmiotowej</w:t>
            </w:r>
            <w:r w:rsidRPr="00FB76A9" w:rsidDel="007B42A7">
              <w:rPr>
                <w:rFonts w:ascii="Times New Roman" w:hAnsi="Times New Roman" w:cs="Times New Roman"/>
                <w:szCs w:val="24"/>
              </w:rPr>
              <w:t xml:space="preserve"> </w:t>
            </w:r>
            <w:bookmarkStart w:id="11" w:name="_Hlk193449234"/>
            <w:r w:rsidRPr="00FB76A9">
              <w:rPr>
                <w:rFonts w:ascii="Times New Roman" w:hAnsi="Times New Roman" w:cs="Times New Roman"/>
                <w:szCs w:val="24"/>
              </w:rPr>
              <w:t>Transportowego Dozoru Technicznego</w:t>
            </w:r>
            <w:bookmarkEnd w:id="11"/>
            <w:r w:rsidRPr="00FB76A9">
              <w:rPr>
                <w:rFonts w:ascii="Times New Roman" w:hAnsi="Times New Roman" w:cs="Times New Roman"/>
                <w:szCs w:val="24"/>
              </w:rPr>
              <w:t>;</w:t>
            </w:r>
          </w:p>
          <w:p w14:paraId="619E779D"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9)</w:t>
            </w:r>
            <w:r w:rsidRPr="00FB76A9">
              <w:rPr>
                <w:rFonts w:ascii="Times New Roman" w:hAnsi="Times New Roman" w:cs="Times New Roman"/>
                <w:szCs w:val="24"/>
              </w:rPr>
              <w:tab/>
              <w:t xml:space="preserve">pozyskiwania od podmiotu gospodarczego informacji o przeprowadzanej akcji serwisowej w formie powiadomienia, o którym mowa w art. 70 ust. </w:t>
            </w:r>
            <w:r w:rsidR="00EF061D">
              <w:rPr>
                <w:rFonts w:ascii="Times New Roman" w:hAnsi="Times New Roman" w:cs="Times New Roman"/>
                <w:szCs w:val="24"/>
              </w:rPr>
              <w:t>2</w:t>
            </w:r>
            <w:r w:rsidRPr="00FB76A9">
              <w:rPr>
                <w:rFonts w:ascii="Times New Roman" w:hAnsi="Times New Roman" w:cs="Times New Roman"/>
                <w:szCs w:val="24"/>
              </w:rPr>
              <w:t xml:space="preserve"> lub art. 71 ust. </w:t>
            </w:r>
            <w:r w:rsidR="00EF061D">
              <w:rPr>
                <w:rFonts w:ascii="Times New Roman" w:hAnsi="Times New Roman" w:cs="Times New Roman"/>
                <w:szCs w:val="24"/>
              </w:rPr>
              <w:t>2</w:t>
            </w:r>
            <w:r w:rsidRPr="00FB76A9">
              <w:rPr>
                <w:rFonts w:ascii="Times New Roman" w:hAnsi="Times New Roman" w:cs="Times New Roman"/>
                <w:szCs w:val="24"/>
              </w:rPr>
              <w:t xml:space="preserve">, w celu umieszczenia ich w systemie szybkiej wymiany informacji, o którym mowa w art. 20 ust. 4 rozporządzenia 2019/1020, zwanym dalej „systemem Safety Gate” i systemie informacyjnym i komunikacyjnym do celów nadzoru rynku, </w:t>
            </w:r>
            <w:r w:rsidRPr="00FB76A9">
              <w:rPr>
                <w:rFonts w:ascii="Times New Roman" w:hAnsi="Times New Roman" w:cs="Times New Roman"/>
                <w:szCs w:val="24"/>
              </w:rPr>
              <w:br/>
              <w:t>o którym mowa w art. 34 ust. 1 rozporządzenia 2019/1020, zwanym dalej „systemem ICSMS” oraz na stronie podmiotowej</w:t>
            </w:r>
            <w:r w:rsidRPr="00FB76A9" w:rsidDel="003014A1">
              <w:rPr>
                <w:rFonts w:ascii="Times New Roman" w:hAnsi="Times New Roman" w:cs="Times New Roman"/>
                <w:szCs w:val="24"/>
              </w:rPr>
              <w:t xml:space="preserve"> </w:t>
            </w:r>
            <w:r w:rsidRPr="00FB76A9">
              <w:rPr>
                <w:rFonts w:ascii="Times New Roman" w:hAnsi="Times New Roman" w:cs="Times New Roman"/>
                <w:szCs w:val="24"/>
              </w:rPr>
              <w:t>Transportowego Dozoru Technicznego;</w:t>
            </w:r>
          </w:p>
          <w:p w14:paraId="175FA16C"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10)</w:t>
            </w:r>
            <w:r w:rsidRPr="00FB76A9">
              <w:rPr>
                <w:rFonts w:ascii="Times New Roman" w:hAnsi="Times New Roman" w:cs="Times New Roman"/>
                <w:szCs w:val="24"/>
              </w:rPr>
              <w:tab/>
              <w:t xml:space="preserve">przekazywania do ewidencji informacji o decyzji Dyrektora TDT, o której mowa w art. </w:t>
            </w:r>
            <w:bookmarkStart w:id="12" w:name="_Hlk200621843"/>
            <w:r w:rsidRPr="00FB76A9">
              <w:rPr>
                <w:rFonts w:ascii="Times New Roman" w:hAnsi="Times New Roman" w:cs="Times New Roman"/>
                <w:szCs w:val="24"/>
              </w:rPr>
              <w:t>68zj ust. 1 lub art. 68zk ust. 12, w zakresie wycofania pojazdu z obrotu lub użytkowania;</w:t>
            </w:r>
          </w:p>
          <w:bookmarkEnd w:id="12"/>
          <w:p w14:paraId="4AC0687A"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11)</w:t>
            </w:r>
            <w:r w:rsidRPr="00FB76A9">
              <w:rPr>
                <w:rFonts w:ascii="Times New Roman" w:hAnsi="Times New Roman" w:cs="Times New Roman"/>
                <w:szCs w:val="24"/>
              </w:rPr>
              <w:tab/>
              <w:t>kontroli dokumentów związanych z ładunkiem oraz kontroli fizycznej tego ładunku, przewożonego na drogach publicznych,</w:t>
            </w:r>
            <w:r w:rsidRPr="00FB76A9" w:rsidDel="009C0BFE">
              <w:rPr>
                <w:rFonts w:ascii="Times New Roman" w:hAnsi="Times New Roman" w:cs="Times New Roman"/>
                <w:szCs w:val="24"/>
              </w:rPr>
              <w:t xml:space="preserve"> </w:t>
            </w:r>
            <w:r w:rsidRPr="00FB76A9">
              <w:rPr>
                <w:rFonts w:ascii="Times New Roman" w:hAnsi="Times New Roman" w:cs="Times New Roman"/>
                <w:szCs w:val="24"/>
              </w:rPr>
              <w:t xml:space="preserve">w zakresie przestrzegania zgodności z aktami prawnymi, dla których jest organem nadzoru rynku zgodnie z art. 3 ust. 3, w ramach wykonywania kontroli ruchu drogowego przez funkcjonariusza Policji, inspektora Inspekcji Transportu Drogowego lub </w:t>
            </w:r>
            <w:r w:rsidRPr="00FB76A9">
              <w:rPr>
                <w:rFonts w:ascii="Times New Roman" w:hAnsi="Times New Roman" w:cs="Times New Roman"/>
                <w:szCs w:val="24"/>
              </w:rPr>
              <w:lastRenderedPageBreak/>
              <w:t>funkcjonariusza Służby Celno-Skarbowej;</w:t>
            </w:r>
          </w:p>
          <w:p w14:paraId="5274EBA8" w14:textId="77777777" w:rsidR="00C076E7" w:rsidRPr="00FB76A9" w:rsidRDefault="00C076E7" w:rsidP="00FD5CD5">
            <w:pPr>
              <w:pStyle w:val="ZPKTzmpktartykuempunktem"/>
              <w:spacing w:line="240" w:lineRule="auto"/>
              <w:jc w:val="left"/>
              <w:rPr>
                <w:rFonts w:ascii="Times New Roman" w:hAnsi="Times New Roman" w:cs="Times New Roman"/>
                <w:strike/>
                <w:szCs w:val="24"/>
              </w:rPr>
            </w:pPr>
            <w:r w:rsidRPr="00FB76A9">
              <w:rPr>
                <w:rFonts w:ascii="Times New Roman" w:hAnsi="Times New Roman" w:cs="Times New Roman"/>
                <w:szCs w:val="24"/>
              </w:rPr>
              <w:t>12)</w:t>
            </w:r>
            <w:r w:rsidRPr="00FB76A9">
              <w:rPr>
                <w:rFonts w:ascii="Times New Roman" w:hAnsi="Times New Roman" w:cs="Times New Roman"/>
                <w:szCs w:val="24"/>
              </w:rPr>
              <w:tab/>
              <w:t>nieodpłatnego uzyskiwania od organów Krajowej Administracji Skarbowej danych, o których mowa w art. 68zx ust. 2;</w:t>
            </w:r>
          </w:p>
          <w:p w14:paraId="6A8175FA"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13)</w:t>
            </w:r>
            <w:r w:rsidRPr="00FB76A9">
              <w:rPr>
                <w:rFonts w:ascii="Times New Roman" w:hAnsi="Times New Roman" w:cs="Times New Roman"/>
                <w:szCs w:val="24"/>
              </w:rPr>
              <w:tab/>
              <w:t>nieodpłatnego dostępu do ewidencji w celu poinformowania użytkowników pojazdów zarejestrowanych na terytorium Rzeczypospolitej Polskiej o akcjach serwisowych;</w:t>
            </w:r>
          </w:p>
          <w:p w14:paraId="0397F1E2"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14)</w:t>
            </w:r>
            <w:r w:rsidRPr="00FB76A9">
              <w:rPr>
                <w:rFonts w:ascii="Times New Roman" w:hAnsi="Times New Roman" w:cs="Times New Roman"/>
                <w:szCs w:val="24"/>
              </w:rPr>
              <w:tab/>
              <w:t>udziału w badaniach wykonywanych przez laboratoria badawcze wykonujące badania na zlecenie Dyrektora TDT;</w:t>
            </w:r>
          </w:p>
          <w:p w14:paraId="77271A74"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15)</w:t>
            </w:r>
            <w:r w:rsidRPr="00FB76A9">
              <w:rPr>
                <w:rFonts w:ascii="Times New Roman" w:hAnsi="Times New Roman" w:cs="Times New Roman"/>
                <w:szCs w:val="24"/>
              </w:rPr>
              <w:tab/>
              <w:t>przeprowadzenia badań, o których mowa w art. 7 rozporządzenia 167/2013, art. 8 rozporządzenia 168/2013 oraz art. 8 rozporządzenia 2018/858;</w:t>
            </w:r>
          </w:p>
          <w:p w14:paraId="322ECC8D"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16) </w:t>
            </w:r>
            <w:r w:rsidRPr="00FB76A9">
              <w:rPr>
                <w:rFonts w:ascii="Times New Roman" w:hAnsi="Times New Roman" w:cs="Times New Roman"/>
                <w:szCs w:val="24"/>
              </w:rPr>
              <w:tab/>
              <w:t xml:space="preserve">wymagania od podmiotu gospodarczego informowania użytkowników końcowych o konieczności sprawdzenia stanu technicznego pojazdu w warunkach serwisowych producenta zgodnie z art. 70 ust. </w:t>
            </w:r>
            <w:r w:rsidR="00EF061D">
              <w:rPr>
                <w:rFonts w:ascii="Times New Roman" w:hAnsi="Times New Roman" w:cs="Times New Roman"/>
                <w:szCs w:val="24"/>
              </w:rPr>
              <w:t>3</w:t>
            </w:r>
            <w:r w:rsidRPr="00FB76A9">
              <w:rPr>
                <w:rFonts w:ascii="Times New Roman" w:hAnsi="Times New Roman" w:cs="Times New Roman"/>
                <w:szCs w:val="24"/>
              </w:rPr>
              <w:t xml:space="preserve"> i art. 71 ust. </w:t>
            </w:r>
            <w:r w:rsidR="00EF061D">
              <w:rPr>
                <w:rFonts w:ascii="Times New Roman" w:hAnsi="Times New Roman" w:cs="Times New Roman"/>
                <w:szCs w:val="24"/>
              </w:rPr>
              <w:t>3</w:t>
            </w:r>
            <w:r w:rsidRPr="00FB76A9">
              <w:rPr>
                <w:rFonts w:ascii="Times New Roman" w:hAnsi="Times New Roman" w:cs="Times New Roman"/>
                <w:szCs w:val="24"/>
              </w:rPr>
              <w:t xml:space="preserve"> pkt 3; </w:t>
            </w:r>
          </w:p>
          <w:p w14:paraId="486A132A"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17)</w:t>
            </w:r>
            <w:bookmarkStart w:id="13" w:name="_Hlk206356455"/>
            <w:r w:rsidRPr="00FB76A9">
              <w:rPr>
                <w:rFonts w:ascii="Times New Roman" w:hAnsi="Times New Roman" w:cs="Times New Roman"/>
                <w:szCs w:val="24"/>
              </w:rPr>
              <w:tab/>
              <w:t>wymagania od podmiotu gospodarczego informowania o postępie w realizacji akcji serwisowych co najmniej raz na kwartał;</w:t>
            </w:r>
          </w:p>
          <w:p w14:paraId="286E1936" w14:textId="77777777" w:rsidR="00C076E7" w:rsidRPr="00FB76A9" w:rsidRDefault="00C076E7" w:rsidP="00FD5CD5">
            <w:pPr>
              <w:pStyle w:val="ZPKTzmpktartykuempunktem"/>
              <w:spacing w:line="240" w:lineRule="auto"/>
              <w:jc w:val="left"/>
              <w:rPr>
                <w:rFonts w:ascii="Times New Roman" w:hAnsi="Times New Roman" w:cs="Times New Roman"/>
                <w:szCs w:val="24"/>
              </w:rPr>
            </w:pPr>
            <w:bookmarkStart w:id="14" w:name="_Hlk229561579"/>
            <w:bookmarkEnd w:id="13"/>
            <w:r w:rsidRPr="00FB76A9">
              <w:rPr>
                <w:rFonts w:ascii="Times New Roman" w:hAnsi="Times New Roman" w:cs="Times New Roman"/>
                <w:szCs w:val="24"/>
              </w:rPr>
              <w:t>18)</w:t>
            </w:r>
            <w:r w:rsidRPr="00FB76A9">
              <w:rPr>
                <w:rFonts w:ascii="Times New Roman" w:hAnsi="Times New Roman" w:cs="Times New Roman"/>
                <w:szCs w:val="24"/>
              </w:rPr>
              <w:tab/>
              <w:t xml:space="preserve">wymagania przekazania tłumaczenia na język polski dokumentów albo ich części, mających stanowić dowód w </w:t>
            </w:r>
            <w:r w:rsidRPr="00FB76A9">
              <w:rPr>
                <w:rFonts w:ascii="Times New Roman" w:hAnsi="Times New Roman" w:cs="Times New Roman"/>
                <w:szCs w:val="24"/>
              </w:rPr>
              <w:lastRenderedPageBreak/>
              <w:t>sprawie niezbędny do weryfikacji zgodności pojazdu, przedmiotu wyposażenia lub części z wymaganiami technicznymi, sporządzonych w języku obcym w toku prowadzenia czynności wyjaśniających, kontroli, badań lub postępowań administracyjnych.</w:t>
            </w:r>
            <w:bookmarkEnd w:id="14"/>
          </w:p>
          <w:p w14:paraId="22C9F620" w14:textId="77777777" w:rsidR="00C076E7" w:rsidRPr="00FB76A9" w:rsidRDefault="00C076E7" w:rsidP="00FD5CD5">
            <w:pPr>
              <w:pStyle w:val="ZUSTzmustartykuempunktem"/>
              <w:spacing w:line="240" w:lineRule="auto"/>
              <w:jc w:val="left"/>
              <w:rPr>
                <w:rFonts w:ascii="Times New Roman" w:hAnsi="Times New Roman" w:cs="Times New Roman"/>
                <w:szCs w:val="24"/>
              </w:rPr>
            </w:pPr>
            <w:bookmarkStart w:id="15" w:name="_Hlk219290555"/>
            <w:bookmarkEnd w:id="9"/>
            <w:r w:rsidRPr="00FB76A9">
              <w:rPr>
                <w:rFonts w:ascii="Times New Roman" w:hAnsi="Times New Roman" w:cs="Times New Roman"/>
                <w:szCs w:val="24"/>
              </w:rPr>
              <w:t xml:space="preserve">2. </w:t>
            </w:r>
            <w:bookmarkEnd w:id="15"/>
            <w:r w:rsidRPr="00FB76A9">
              <w:rPr>
                <w:rFonts w:ascii="Times New Roman" w:hAnsi="Times New Roman" w:cs="Times New Roman"/>
                <w:szCs w:val="24"/>
              </w:rPr>
              <w:t xml:space="preserve">Przy realizacji zadań w ramach nadzoru rynku Dyrektor TDT oraz pracownicy Transportowego Dozoru Technicznemu lub osoby upoważnione przez Dyrektora TDT do realizacji tych zadań w jego imieniu korzystają z ochrony przewidzianej w </w:t>
            </w:r>
            <w:bookmarkStart w:id="16" w:name="_Hlk200622746"/>
            <w:r w:rsidRPr="00FB76A9">
              <w:rPr>
                <w:rFonts w:ascii="Times New Roman" w:hAnsi="Times New Roman" w:cs="Times New Roman"/>
                <w:szCs w:val="24"/>
              </w:rPr>
              <w:t xml:space="preserve">art. 222 ustawy z dnia 6 czerwca 1997 r. − Kodeks karny </w:t>
            </w:r>
            <w:bookmarkStart w:id="17" w:name="_Hlk201512928"/>
            <w:r w:rsidRPr="00FB76A9">
              <w:rPr>
                <w:rFonts w:ascii="Times New Roman" w:hAnsi="Times New Roman" w:cs="Times New Roman"/>
                <w:szCs w:val="24"/>
              </w:rPr>
              <w:t xml:space="preserve">(Dz. U. z 2025 r. </w:t>
            </w:r>
            <w:r w:rsidR="00FA7954" w:rsidRPr="00FB76A9">
              <w:rPr>
                <w:rFonts w:ascii="Times New Roman" w:hAnsi="Times New Roman" w:cs="Times New Roman"/>
                <w:szCs w:val="24"/>
              </w:rPr>
              <w:t>poz. 383</w:t>
            </w:r>
            <w:r w:rsidR="00FA7954">
              <w:rPr>
                <w:rFonts w:ascii="Times New Roman" w:hAnsi="Times New Roman" w:cs="Times New Roman"/>
                <w:szCs w:val="24"/>
              </w:rPr>
              <w:t>, 1818 i 1872</w:t>
            </w:r>
            <w:r w:rsidRPr="00FB76A9">
              <w:rPr>
                <w:rFonts w:ascii="Times New Roman" w:hAnsi="Times New Roman" w:cs="Times New Roman"/>
                <w:szCs w:val="24"/>
              </w:rPr>
              <w:t>)</w:t>
            </w:r>
            <w:bookmarkEnd w:id="17"/>
            <w:r w:rsidRPr="00FB76A9">
              <w:rPr>
                <w:rFonts w:ascii="Times New Roman" w:hAnsi="Times New Roman" w:cs="Times New Roman"/>
                <w:szCs w:val="24"/>
              </w:rPr>
              <w:t xml:space="preserve"> dla funkcjonariuszy publicznych.</w:t>
            </w:r>
          </w:p>
          <w:p w14:paraId="38F3E45F" w14:textId="77777777" w:rsidR="00C076E7" w:rsidRPr="00FB76A9" w:rsidRDefault="00C076E7" w:rsidP="00FD5CD5">
            <w:pPr>
              <w:pStyle w:val="ZUSTzmustartykuempunktem"/>
              <w:spacing w:line="240" w:lineRule="auto"/>
              <w:jc w:val="left"/>
              <w:rPr>
                <w:rFonts w:ascii="Times New Roman" w:hAnsi="Times New Roman" w:cs="Times New Roman"/>
                <w:szCs w:val="24"/>
              </w:rPr>
            </w:pPr>
            <w:bookmarkStart w:id="18" w:name="_Hlk230728379"/>
            <w:bookmarkStart w:id="19" w:name="_Hlk219304564"/>
            <w:r w:rsidRPr="00FB76A9">
              <w:rPr>
                <w:rFonts w:ascii="Times New Roman" w:hAnsi="Times New Roman" w:cs="Times New Roman"/>
                <w:szCs w:val="24"/>
              </w:rPr>
              <w:t xml:space="preserve">3. Dyrektor TDT jako organ nadzoru rynku może zawierać porozumienia z Policją lub Strażą gminną (miejską) dotyczące przekazania do użytkowania przyrządów do określania prędkości lub mocy pojazdów, wskazujące warunki i zasady użytkowania tych przyrządów oraz ponoszenia kosztów z tego tytułu. </w:t>
            </w:r>
          </w:p>
          <w:bookmarkEnd w:id="18"/>
          <w:p w14:paraId="7F8CD392" w14:textId="77777777" w:rsidR="00703BF5" w:rsidRPr="00EF061D" w:rsidRDefault="00703BF5" w:rsidP="00FD5CD5">
            <w:pPr>
              <w:pStyle w:val="ZARTzmartartykuempunktem"/>
              <w:spacing w:line="240" w:lineRule="auto"/>
              <w:jc w:val="left"/>
              <w:rPr>
                <w:rFonts w:ascii="Times New Roman" w:hAnsi="Times New Roman" w:cs="Times New Roman"/>
                <w:szCs w:val="24"/>
              </w:rPr>
            </w:pPr>
            <w:r w:rsidRPr="00EF061D">
              <w:rPr>
                <w:rFonts w:ascii="Times New Roman" w:hAnsi="Times New Roman" w:cs="Times New Roman"/>
                <w:szCs w:val="24"/>
              </w:rPr>
              <w:t xml:space="preserve">Art. 68t. 1. W przypadku wystąpienia podejrzenia w zakresie spełnienia przez pojazd, przedmiot wyposażenia lub część zgodności z wymaganiami technicznymi lub możliwości wystąpienia poważnego ryzyka Dyrektor TDT jako organ nadzoru rynku przeprowadza ocenę poziomu ryzyka </w:t>
            </w:r>
            <w:bookmarkStart w:id="20" w:name="_Hlk231751157"/>
            <w:r w:rsidRPr="00EF061D">
              <w:rPr>
                <w:rFonts w:ascii="Times New Roman" w:hAnsi="Times New Roman" w:cs="Times New Roman"/>
                <w:szCs w:val="24"/>
              </w:rPr>
              <w:lastRenderedPageBreak/>
              <w:t>stwarzanego przez pojazd, przedmiot wyposażenia lub część zgodnie z kryteriami określonymi w załączniku II rozporządzenia delegowanego Komisji (UE) 2024/3173 z dnia 27 sierpnia 2024 r. uzupełniające rozporządzenie Parlamentu Europejskiego i Rady (UE) 2023/988 w zakresie zasad dostępu do systemu wczesnego ostrzegania Safety Gate i jego działania, informacji, które mają być do niego wprowadzane, wymagań dotyczących zgłoszeń oraz kryteriów oceny poziomu ryzyka (Dz. Urz. UE L 3173 z 13.12.2024, str. 1 oraz Dz. Urz. UE L 91009 z 12.12.2025, str. 1), zwanego dalej „rozporządzeniem 2024/3173”.</w:t>
            </w:r>
          </w:p>
          <w:bookmarkEnd w:id="20"/>
          <w:p w14:paraId="589D77AE" w14:textId="77777777" w:rsidR="00C076E7" w:rsidRPr="00FB76A9" w:rsidRDefault="00703BF5" w:rsidP="00FD5CD5">
            <w:pPr>
              <w:pStyle w:val="ZUSTzmustartykuempunktem"/>
              <w:spacing w:line="240" w:lineRule="auto"/>
              <w:jc w:val="left"/>
              <w:rPr>
                <w:rFonts w:ascii="Times New Roman" w:hAnsi="Times New Roman" w:cs="Times New Roman"/>
                <w:szCs w:val="24"/>
              </w:rPr>
            </w:pPr>
            <w:r w:rsidRPr="00EF061D">
              <w:rPr>
                <w:rFonts w:ascii="Times New Roman" w:hAnsi="Times New Roman" w:cs="Times New Roman"/>
                <w:szCs w:val="24"/>
              </w:rPr>
              <w:t xml:space="preserve">2. Poziom ryzyka w odniesieniu do pojazdu, przedmiotu wyposażenia lub części określony jako „poważny” w załączniku II rozporządzenia 2024/3173 traktuje się jako wysokie ryzyko w odniesieniu do podmiotu gospodarczego w rozumieniu przepisu art. 47 ust. 1 ustawy </w:t>
            </w:r>
            <w:r w:rsidRPr="00EF061D">
              <w:rPr>
                <w:rFonts w:ascii="Times New Roman" w:hAnsi="Times New Roman" w:cs="Times New Roman"/>
                <w:szCs w:val="24"/>
              </w:rPr>
              <w:softHyphen/>
              <w:t xml:space="preserve"> – Prawo przedsiębiorców.</w:t>
            </w:r>
            <w:bookmarkStart w:id="21" w:name="_Hlk231751191"/>
          </w:p>
          <w:bookmarkEnd w:id="21"/>
          <w:p w14:paraId="2C0540ED" w14:textId="77777777" w:rsidR="00C076E7" w:rsidRPr="00FB76A9" w:rsidRDefault="00C076E7" w:rsidP="00FD5CD5">
            <w:pPr>
              <w:pStyle w:val="NormalnyWeb"/>
              <w:spacing w:before="0" w:beforeAutospacing="0" w:after="0" w:afterAutospacing="0"/>
              <w:ind w:left="510" w:firstLine="510"/>
              <w:rPr>
                <w:rFonts w:eastAsiaTheme="minorEastAsia"/>
              </w:rPr>
            </w:pPr>
            <w:r w:rsidRPr="00FB76A9">
              <w:rPr>
                <w:rFonts w:eastAsiaTheme="minorEastAsia"/>
              </w:rPr>
              <w:t>Art. 68u. 1. Dyrektor TDT jako organ nadzoru rynku, dokonuje okresowej analizy prawdopodobieństwa naruszenia przepisów, o której mowa w art. 47 ust. 1 ustawy z dnia 6 marca 2018 r. – Prawo przedsiębiorców.</w:t>
            </w:r>
          </w:p>
          <w:p w14:paraId="6098A175" w14:textId="77777777" w:rsidR="00C076E7" w:rsidRPr="00FB76A9" w:rsidRDefault="00C076E7" w:rsidP="005E0F9D">
            <w:pPr>
              <w:pStyle w:val="NormalnyWeb"/>
              <w:numPr>
                <w:ilvl w:val="0"/>
                <w:numId w:val="7"/>
              </w:numPr>
              <w:spacing w:before="0" w:beforeAutospacing="0" w:after="0" w:afterAutospacing="0"/>
              <w:rPr>
                <w:rFonts w:eastAsiaTheme="minorEastAsia"/>
              </w:rPr>
            </w:pPr>
            <w:r w:rsidRPr="00FB76A9">
              <w:rPr>
                <w:rFonts w:eastAsiaTheme="minorEastAsia"/>
              </w:rPr>
              <w:t>Analiza, o której mowa w ust. 1, jest przeprowadzana w oparciu o:</w:t>
            </w:r>
          </w:p>
          <w:p w14:paraId="5A76EBC8" w14:textId="77777777" w:rsidR="00C076E7" w:rsidRPr="00FB76A9" w:rsidRDefault="00C076E7" w:rsidP="005E0F9D">
            <w:pPr>
              <w:pStyle w:val="NormalnyWeb"/>
              <w:numPr>
                <w:ilvl w:val="1"/>
                <w:numId w:val="8"/>
              </w:numPr>
              <w:spacing w:before="0" w:beforeAutospacing="0" w:after="0" w:afterAutospacing="0"/>
              <w:rPr>
                <w:rFonts w:eastAsiaTheme="minorEastAsia"/>
              </w:rPr>
            </w:pPr>
            <w:r w:rsidRPr="00FB76A9">
              <w:rPr>
                <w:rFonts w:eastAsiaTheme="minorEastAsia"/>
              </w:rPr>
              <w:t>wyniki wcześniejszych kontroli;</w:t>
            </w:r>
          </w:p>
          <w:p w14:paraId="1F402F2D" w14:textId="77777777" w:rsidR="00C076E7" w:rsidRPr="00FB76A9" w:rsidRDefault="00C076E7" w:rsidP="005E0F9D">
            <w:pPr>
              <w:pStyle w:val="NormalnyWeb"/>
              <w:numPr>
                <w:ilvl w:val="1"/>
                <w:numId w:val="8"/>
              </w:numPr>
              <w:spacing w:before="0" w:beforeAutospacing="0" w:after="0" w:afterAutospacing="0"/>
              <w:rPr>
                <w:rFonts w:eastAsiaTheme="minorEastAsia"/>
              </w:rPr>
            </w:pPr>
            <w:r w:rsidRPr="00FB76A9">
              <w:rPr>
                <w:rFonts w:eastAsiaTheme="minorEastAsia"/>
              </w:rPr>
              <w:t>skargi i sygnały z rynku;</w:t>
            </w:r>
          </w:p>
          <w:p w14:paraId="7C5E8AD0" w14:textId="77777777" w:rsidR="00C076E7" w:rsidRPr="00FB76A9" w:rsidRDefault="00C076E7" w:rsidP="005E0F9D">
            <w:pPr>
              <w:pStyle w:val="NormalnyWeb"/>
              <w:numPr>
                <w:ilvl w:val="1"/>
                <w:numId w:val="8"/>
              </w:numPr>
              <w:spacing w:before="0" w:beforeAutospacing="0" w:after="0" w:afterAutospacing="0"/>
              <w:rPr>
                <w:rFonts w:eastAsiaTheme="minorEastAsia"/>
              </w:rPr>
            </w:pPr>
            <w:r w:rsidRPr="00FB76A9">
              <w:rPr>
                <w:rFonts w:eastAsiaTheme="minorEastAsia"/>
              </w:rPr>
              <w:lastRenderedPageBreak/>
              <w:t>dane z systemu Safety Gate oraz systemu ICSMS;</w:t>
            </w:r>
          </w:p>
          <w:p w14:paraId="520059FA" w14:textId="77777777" w:rsidR="00C076E7" w:rsidRPr="00FB76A9" w:rsidRDefault="00C076E7" w:rsidP="005E0F9D">
            <w:pPr>
              <w:pStyle w:val="NormalnyWeb"/>
              <w:numPr>
                <w:ilvl w:val="1"/>
                <w:numId w:val="8"/>
              </w:numPr>
              <w:spacing w:before="0" w:beforeAutospacing="0" w:after="0" w:afterAutospacing="0"/>
              <w:rPr>
                <w:rFonts w:eastAsiaTheme="minorEastAsia"/>
              </w:rPr>
            </w:pPr>
            <w:r w:rsidRPr="00FB76A9">
              <w:rPr>
                <w:rFonts w:eastAsiaTheme="minorEastAsia"/>
              </w:rPr>
              <w:t>informacje pochodzące od innych organów;</w:t>
            </w:r>
          </w:p>
          <w:p w14:paraId="7288B4F1" w14:textId="77777777" w:rsidR="00C076E7" w:rsidRPr="00FB76A9" w:rsidRDefault="00C076E7" w:rsidP="005E0F9D">
            <w:pPr>
              <w:pStyle w:val="NormalnyWeb"/>
              <w:numPr>
                <w:ilvl w:val="1"/>
                <w:numId w:val="8"/>
              </w:numPr>
              <w:spacing w:before="0" w:beforeAutospacing="0" w:after="0" w:afterAutospacing="0"/>
              <w:rPr>
                <w:rFonts w:eastAsiaTheme="minorEastAsia"/>
              </w:rPr>
            </w:pPr>
            <w:r w:rsidRPr="00FB76A9">
              <w:rPr>
                <w:rFonts w:eastAsiaTheme="minorEastAsia"/>
              </w:rPr>
              <w:t>dane statystyczne z ostatnich trzech lat dotyczące liczby pojazdów, przedmiotów wyposażenia lub części wprowadzonych do obrotu na terytorium Rzeczypospolitej Polskiej;</w:t>
            </w:r>
          </w:p>
          <w:p w14:paraId="01927BB0" w14:textId="77777777" w:rsidR="00C076E7" w:rsidRPr="00FB76A9" w:rsidRDefault="00C076E7" w:rsidP="005E0F9D">
            <w:pPr>
              <w:pStyle w:val="NormalnyWeb"/>
              <w:numPr>
                <w:ilvl w:val="1"/>
                <w:numId w:val="8"/>
              </w:numPr>
              <w:spacing w:before="0" w:beforeAutospacing="0" w:after="0" w:afterAutospacing="0"/>
              <w:rPr>
                <w:rFonts w:eastAsiaTheme="minorEastAsia"/>
              </w:rPr>
            </w:pPr>
            <w:r w:rsidRPr="00FB76A9">
              <w:rPr>
                <w:rFonts w:eastAsiaTheme="minorEastAsia"/>
              </w:rPr>
              <w:t>informacje wymieniane w ciągu ostatnich trzech lat na forum wymiany informacji o egzekwowaniu przepisów, o którym mowa w art. 11 rozporządzenia 2018/858;</w:t>
            </w:r>
          </w:p>
          <w:p w14:paraId="6B9FC568" w14:textId="77777777" w:rsidR="00C076E7" w:rsidRPr="00FB76A9" w:rsidRDefault="00C076E7" w:rsidP="005E0F9D">
            <w:pPr>
              <w:pStyle w:val="NormalnyWeb"/>
              <w:numPr>
                <w:ilvl w:val="1"/>
                <w:numId w:val="8"/>
              </w:numPr>
              <w:spacing w:before="0" w:beforeAutospacing="0" w:after="0" w:afterAutospacing="0"/>
              <w:rPr>
                <w:rFonts w:eastAsiaTheme="minorEastAsia"/>
              </w:rPr>
            </w:pPr>
            <w:r w:rsidRPr="00FB76A9">
              <w:rPr>
                <w:rFonts w:eastAsiaTheme="minorEastAsia"/>
              </w:rPr>
              <w:t>informacje z badań opublikowanych w ciągu ostatnich trzech lat przez strony trzecie w odniesieniu do pojazdów, przedmiotów wyposażenia lub części;</w:t>
            </w:r>
          </w:p>
          <w:p w14:paraId="6B652901" w14:textId="77777777" w:rsidR="00C076E7" w:rsidRPr="00FB76A9" w:rsidRDefault="00C076E7" w:rsidP="005E0F9D">
            <w:pPr>
              <w:pStyle w:val="NormalnyWeb"/>
              <w:numPr>
                <w:ilvl w:val="1"/>
                <w:numId w:val="8"/>
              </w:numPr>
              <w:spacing w:before="0" w:beforeAutospacing="0" w:after="0" w:afterAutospacing="0"/>
              <w:rPr>
                <w:rFonts w:eastAsiaTheme="minorEastAsia"/>
              </w:rPr>
            </w:pPr>
            <w:r w:rsidRPr="00FB76A9">
              <w:rPr>
                <w:rFonts w:eastAsiaTheme="minorEastAsia"/>
              </w:rPr>
              <w:t>zgodność z wymaganiami technicznymi oraz ocenę poziomów ryzyka stwarzanego przez pojazd, przedmiot wyposażenia lub część;</w:t>
            </w:r>
          </w:p>
          <w:p w14:paraId="22E30B45" w14:textId="77777777" w:rsidR="00C076E7" w:rsidRPr="00FB76A9" w:rsidRDefault="00C076E7" w:rsidP="005E0F9D">
            <w:pPr>
              <w:pStyle w:val="NormalnyWeb"/>
              <w:numPr>
                <w:ilvl w:val="1"/>
                <w:numId w:val="8"/>
              </w:numPr>
              <w:spacing w:before="0" w:beforeAutospacing="0" w:after="0" w:afterAutospacing="0"/>
              <w:rPr>
                <w:rFonts w:eastAsiaTheme="minorEastAsia"/>
              </w:rPr>
            </w:pPr>
            <w:r w:rsidRPr="00FB76A9">
              <w:rPr>
                <w:rFonts w:eastAsiaTheme="minorEastAsia"/>
              </w:rPr>
              <w:t>analizy branżowe.</w:t>
            </w:r>
          </w:p>
          <w:p w14:paraId="7B340BF0" w14:textId="77777777" w:rsidR="00C076E7" w:rsidRPr="00FB76A9" w:rsidRDefault="00C076E7" w:rsidP="00FD5CD5">
            <w:pPr>
              <w:pStyle w:val="NormalnyWeb"/>
              <w:spacing w:before="0" w:beforeAutospacing="0" w:after="0" w:afterAutospacing="0"/>
              <w:ind w:left="510" w:firstLine="510"/>
              <w:rPr>
                <w:rFonts w:eastAsiaTheme="minorEastAsia"/>
              </w:rPr>
            </w:pPr>
            <w:r w:rsidRPr="00FB76A9">
              <w:rPr>
                <w:rFonts w:eastAsiaTheme="minorEastAsia"/>
              </w:rPr>
              <w:t>3. Na podstawie analizy ryzyka Dyrektor TDT jako organ nadzoru rynku przypisuje podmioty gospodarcze do kategorii ryzyka, zróżnicowanych ze względu na prawdopodobieństwo naruszenia przepisów oraz możliwe skutki takiego naruszenia.</w:t>
            </w:r>
          </w:p>
          <w:p w14:paraId="16BAE708" w14:textId="77777777" w:rsidR="00C076E7" w:rsidRPr="00FB76A9" w:rsidRDefault="00C076E7" w:rsidP="00FD5CD5">
            <w:pPr>
              <w:pStyle w:val="NormalnyWeb"/>
              <w:spacing w:before="0" w:beforeAutospacing="0" w:after="0" w:afterAutospacing="0"/>
              <w:ind w:left="510" w:firstLine="510"/>
              <w:rPr>
                <w:rFonts w:eastAsiaTheme="minorEastAsia"/>
              </w:rPr>
            </w:pPr>
            <w:r w:rsidRPr="00FB76A9">
              <w:rPr>
                <w:rFonts w:eastAsiaTheme="minorEastAsia"/>
              </w:rPr>
              <w:lastRenderedPageBreak/>
              <w:t>4. Kategoryzacja ryzyka stanowi podstawę planowania, o którym mowa w art. 47 ust. 1 ustawy z dnia 6 marca 2018 r. – Prawo przedsiębiorców, i prowadzenia działań kontrolnych.</w:t>
            </w:r>
          </w:p>
          <w:p w14:paraId="1B3DE6AA" w14:textId="77777777" w:rsidR="00C076E7" w:rsidRPr="00FB76A9" w:rsidRDefault="00C076E7" w:rsidP="00FD5CD5">
            <w:pPr>
              <w:pStyle w:val="NormalnyWeb"/>
              <w:spacing w:before="0" w:beforeAutospacing="0" w:after="0" w:afterAutospacing="0"/>
              <w:ind w:left="510" w:firstLine="510"/>
              <w:rPr>
                <w:rFonts w:eastAsiaTheme="minorEastAsia"/>
              </w:rPr>
            </w:pPr>
            <w:bookmarkStart w:id="22" w:name="_Hlk230729053"/>
            <w:r w:rsidRPr="00FB76A9">
              <w:rPr>
                <w:rFonts w:eastAsiaTheme="minorEastAsia"/>
              </w:rPr>
              <w:t>Art. 68v. 1. Dyrektor TDT jako organ nadzoru rynku w celu realizacji zadań może korzystać z danych osobowych o osobie obejmujących: imię i nazwisko, numer identyfikacyjny PESEL, w przypadku braku numeru PESEL datę urodzenia, obywatelstwo, numer dokumentu tożsamości, numer NIP, adres zamieszkania wraz z adresem prowadzenia działalności gospodarczej, numer telefonu, adres poczty elektronicznej, w tym również w formie zapisu elektronicznego, uzyskanych przez inne organy, służby i instytucje państwowe.</w:t>
            </w:r>
          </w:p>
          <w:p w14:paraId="30C6C98C" w14:textId="77777777" w:rsidR="00C076E7" w:rsidRPr="00FB76A9" w:rsidRDefault="00C076E7" w:rsidP="00FD5CD5">
            <w:pPr>
              <w:pStyle w:val="NormalnyWeb"/>
              <w:spacing w:before="0" w:beforeAutospacing="0" w:after="0" w:afterAutospacing="0"/>
              <w:ind w:left="510" w:firstLine="510"/>
              <w:rPr>
                <w:rFonts w:eastAsiaTheme="minorEastAsia"/>
              </w:rPr>
            </w:pPr>
            <w:r w:rsidRPr="00FB76A9">
              <w:rPr>
                <w:rFonts w:eastAsiaTheme="minorEastAsia"/>
              </w:rPr>
              <w:t>2. Administrator danych osobowych, o których mowa w ust. 1, jest obowiązany udostępnić te dane inspektorowi Transportowego Dozoru Technicznemu wskazanemu w imiennym upoważnieniu Dyrektora TDT, po okazaniu tego upoważnienia oraz legitymacji służbowej.</w:t>
            </w:r>
          </w:p>
          <w:p w14:paraId="552EC5C4" w14:textId="77777777" w:rsidR="00C076E7" w:rsidRPr="00EF061D" w:rsidRDefault="00C076E7" w:rsidP="00FD5CD5">
            <w:pPr>
              <w:pStyle w:val="NormalnyWeb"/>
              <w:spacing w:before="0" w:beforeAutospacing="0" w:after="0" w:afterAutospacing="0"/>
              <w:ind w:left="510" w:firstLine="510"/>
              <w:rPr>
                <w:rFonts w:eastAsiaTheme="minorEastAsia"/>
              </w:rPr>
            </w:pPr>
            <w:r w:rsidRPr="00EF061D">
              <w:rPr>
                <w:rFonts w:eastAsiaTheme="minorEastAsia"/>
              </w:rPr>
              <w:t>3. Administratorem danych osobowych, o których mowa w ust. 1, jest:</w:t>
            </w:r>
          </w:p>
          <w:p w14:paraId="7E65DC19" w14:textId="77777777" w:rsidR="00C076E7" w:rsidRPr="00EF061D" w:rsidRDefault="00C076E7" w:rsidP="005E0F9D">
            <w:pPr>
              <w:pStyle w:val="NormalnyWeb"/>
              <w:numPr>
                <w:ilvl w:val="1"/>
                <w:numId w:val="11"/>
              </w:numPr>
              <w:spacing w:before="0" w:beforeAutospacing="0" w:after="0" w:afterAutospacing="0"/>
              <w:rPr>
                <w:rFonts w:eastAsiaTheme="minorEastAsia"/>
              </w:rPr>
            </w:pPr>
            <w:r w:rsidRPr="00EF061D">
              <w:rPr>
                <w:rFonts w:eastAsiaTheme="minorEastAsia"/>
              </w:rPr>
              <w:t>minister właściwy do spraw administracji publicznej;</w:t>
            </w:r>
          </w:p>
          <w:p w14:paraId="24B99A81" w14:textId="77777777" w:rsidR="00C076E7" w:rsidRPr="00EF061D" w:rsidRDefault="00C076E7" w:rsidP="005E0F9D">
            <w:pPr>
              <w:pStyle w:val="NormalnyWeb"/>
              <w:numPr>
                <w:ilvl w:val="1"/>
                <w:numId w:val="11"/>
              </w:numPr>
              <w:spacing w:before="0" w:beforeAutospacing="0" w:after="0" w:afterAutospacing="0"/>
              <w:rPr>
                <w:rFonts w:eastAsiaTheme="minorEastAsia"/>
              </w:rPr>
            </w:pPr>
            <w:r w:rsidRPr="00EF061D">
              <w:rPr>
                <w:rFonts w:eastAsiaTheme="minorEastAsia"/>
              </w:rPr>
              <w:t>minister właściwy do spraw finansów publicznych;</w:t>
            </w:r>
          </w:p>
          <w:p w14:paraId="7F68FE3B" w14:textId="77777777" w:rsidR="00C076E7" w:rsidRPr="00EF061D" w:rsidRDefault="00C076E7" w:rsidP="005E0F9D">
            <w:pPr>
              <w:pStyle w:val="NormalnyWeb"/>
              <w:numPr>
                <w:ilvl w:val="1"/>
                <w:numId w:val="11"/>
              </w:numPr>
              <w:spacing w:before="0" w:beforeAutospacing="0" w:after="0" w:afterAutospacing="0"/>
              <w:rPr>
                <w:rFonts w:eastAsiaTheme="minorEastAsia"/>
              </w:rPr>
            </w:pPr>
            <w:r w:rsidRPr="00EF061D">
              <w:rPr>
                <w:rFonts w:eastAsiaTheme="minorEastAsia"/>
              </w:rPr>
              <w:lastRenderedPageBreak/>
              <w:t>minister właściwy do spraw gospodarki;</w:t>
            </w:r>
          </w:p>
          <w:p w14:paraId="79EE268D" w14:textId="77777777" w:rsidR="00C076E7" w:rsidRPr="00EF061D" w:rsidRDefault="00C076E7" w:rsidP="005E0F9D">
            <w:pPr>
              <w:pStyle w:val="NormalnyWeb"/>
              <w:numPr>
                <w:ilvl w:val="1"/>
                <w:numId w:val="11"/>
              </w:numPr>
              <w:spacing w:before="0" w:beforeAutospacing="0" w:after="0" w:afterAutospacing="0"/>
              <w:rPr>
                <w:rFonts w:eastAsiaTheme="minorEastAsia"/>
              </w:rPr>
            </w:pPr>
            <w:r w:rsidRPr="00EF061D">
              <w:rPr>
                <w:rFonts w:eastAsiaTheme="minorEastAsia"/>
              </w:rPr>
              <w:t>minister właściwy do spraw informatyzacji;</w:t>
            </w:r>
          </w:p>
          <w:p w14:paraId="4049D8A6" w14:textId="77777777" w:rsidR="00C076E7" w:rsidRPr="00EF061D" w:rsidRDefault="00C076E7" w:rsidP="005E0F9D">
            <w:pPr>
              <w:pStyle w:val="NormalnyWeb"/>
              <w:numPr>
                <w:ilvl w:val="1"/>
                <w:numId w:val="11"/>
              </w:numPr>
              <w:spacing w:before="0" w:beforeAutospacing="0" w:after="0" w:afterAutospacing="0"/>
              <w:rPr>
                <w:rFonts w:eastAsiaTheme="minorEastAsia"/>
              </w:rPr>
            </w:pPr>
            <w:r w:rsidRPr="00EF061D">
              <w:rPr>
                <w:rFonts w:eastAsiaTheme="minorEastAsia"/>
              </w:rPr>
              <w:t>minister właściwy do spraw pracy;</w:t>
            </w:r>
          </w:p>
          <w:p w14:paraId="6C0921A8" w14:textId="77777777" w:rsidR="00C076E7" w:rsidRPr="00EF061D" w:rsidRDefault="00C076E7" w:rsidP="005E0F9D">
            <w:pPr>
              <w:pStyle w:val="NormalnyWeb"/>
              <w:numPr>
                <w:ilvl w:val="1"/>
                <w:numId w:val="11"/>
              </w:numPr>
              <w:spacing w:before="0" w:beforeAutospacing="0" w:after="0" w:afterAutospacing="0"/>
              <w:rPr>
                <w:rFonts w:eastAsiaTheme="minorEastAsia"/>
              </w:rPr>
            </w:pPr>
            <w:r w:rsidRPr="00EF061D">
              <w:rPr>
                <w:rFonts w:eastAsiaTheme="minorEastAsia"/>
              </w:rPr>
              <w:t>minister właściwy do spraw transportu;</w:t>
            </w:r>
          </w:p>
          <w:p w14:paraId="355D2391" w14:textId="77777777" w:rsidR="00C076E7" w:rsidRPr="00EF061D" w:rsidRDefault="00C076E7" w:rsidP="005E0F9D">
            <w:pPr>
              <w:pStyle w:val="NormalnyWeb"/>
              <w:numPr>
                <w:ilvl w:val="1"/>
                <w:numId w:val="11"/>
              </w:numPr>
              <w:spacing w:before="0" w:beforeAutospacing="0" w:after="0" w:afterAutospacing="0"/>
              <w:rPr>
                <w:rFonts w:eastAsiaTheme="minorEastAsia"/>
              </w:rPr>
            </w:pPr>
            <w:r w:rsidRPr="00EF061D">
              <w:rPr>
                <w:rFonts w:eastAsiaTheme="minorEastAsia"/>
              </w:rPr>
              <w:t xml:space="preserve">minister właściwy do spraw środowiska; </w:t>
            </w:r>
          </w:p>
          <w:p w14:paraId="512A3D21" w14:textId="77777777" w:rsidR="00C076E7" w:rsidRPr="00EF061D" w:rsidRDefault="00C076E7" w:rsidP="005E0F9D">
            <w:pPr>
              <w:pStyle w:val="NormalnyWeb"/>
              <w:numPr>
                <w:ilvl w:val="1"/>
                <w:numId w:val="11"/>
              </w:numPr>
              <w:spacing w:before="0" w:beforeAutospacing="0" w:after="0" w:afterAutospacing="0"/>
              <w:rPr>
                <w:rFonts w:eastAsiaTheme="minorEastAsia"/>
              </w:rPr>
            </w:pPr>
            <w:r w:rsidRPr="00EF061D">
              <w:rPr>
                <w:rFonts w:eastAsiaTheme="minorEastAsia"/>
              </w:rPr>
              <w:t>organy właściwe w sprawach rejestracji pojazdów;</w:t>
            </w:r>
            <w:r w:rsidRPr="00EF061D">
              <w:rPr>
                <w:rFonts w:eastAsiaTheme="minorEastAsia"/>
              </w:rPr>
              <w:tab/>
            </w:r>
          </w:p>
          <w:p w14:paraId="5C77F174" w14:textId="77777777" w:rsidR="00C076E7" w:rsidRPr="00EF061D" w:rsidRDefault="00C076E7" w:rsidP="005E0F9D">
            <w:pPr>
              <w:pStyle w:val="NormalnyWeb"/>
              <w:numPr>
                <w:ilvl w:val="1"/>
                <w:numId w:val="11"/>
              </w:numPr>
              <w:spacing w:before="0" w:beforeAutospacing="0" w:after="0" w:afterAutospacing="0"/>
              <w:rPr>
                <w:rFonts w:eastAsiaTheme="minorEastAsia"/>
              </w:rPr>
            </w:pPr>
            <w:r w:rsidRPr="00EF061D">
              <w:rPr>
                <w:rFonts w:eastAsiaTheme="minorEastAsia"/>
              </w:rPr>
              <w:t>organy kontroli ruchu drogowego;</w:t>
            </w:r>
          </w:p>
          <w:p w14:paraId="0076E083" w14:textId="77777777" w:rsidR="00C076E7" w:rsidRPr="00EF061D" w:rsidRDefault="00C076E7" w:rsidP="005E0F9D">
            <w:pPr>
              <w:pStyle w:val="NormalnyWeb"/>
              <w:numPr>
                <w:ilvl w:val="1"/>
                <w:numId w:val="11"/>
              </w:numPr>
              <w:spacing w:before="0" w:beforeAutospacing="0" w:after="0" w:afterAutospacing="0"/>
              <w:rPr>
                <w:rFonts w:eastAsiaTheme="minorEastAsia"/>
              </w:rPr>
            </w:pPr>
            <w:r w:rsidRPr="00EF061D">
              <w:rPr>
                <w:rFonts w:eastAsiaTheme="minorEastAsia"/>
              </w:rPr>
              <w:t>Szef Krajowej Administracji Skarbowej;</w:t>
            </w:r>
          </w:p>
          <w:p w14:paraId="6B8FAE3F" w14:textId="77777777" w:rsidR="00C076E7" w:rsidRPr="00EF061D" w:rsidRDefault="00C076E7" w:rsidP="005E0F9D">
            <w:pPr>
              <w:pStyle w:val="NormalnyWeb"/>
              <w:numPr>
                <w:ilvl w:val="1"/>
                <w:numId w:val="11"/>
              </w:numPr>
              <w:spacing w:before="0" w:beforeAutospacing="0" w:after="0" w:afterAutospacing="0"/>
              <w:rPr>
                <w:rFonts w:eastAsiaTheme="minorEastAsia"/>
              </w:rPr>
            </w:pPr>
            <w:r w:rsidRPr="00EF061D">
              <w:rPr>
                <w:rFonts w:eastAsiaTheme="minorEastAsia"/>
              </w:rPr>
              <w:t>Prezes Urzędu Ochrony Konkurencji i Konsumentów;</w:t>
            </w:r>
          </w:p>
          <w:p w14:paraId="021C8A9F" w14:textId="77777777" w:rsidR="00C076E7" w:rsidRPr="00EF061D" w:rsidRDefault="00C076E7" w:rsidP="005E0F9D">
            <w:pPr>
              <w:pStyle w:val="NormalnyWeb"/>
              <w:numPr>
                <w:ilvl w:val="1"/>
                <w:numId w:val="11"/>
              </w:numPr>
              <w:spacing w:before="0" w:beforeAutospacing="0" w:after="0" w:afterAutospacing="0"/>
              <w:rPr>
                <w:rFonts w:eastAsiaTheme="minorEastAsia"/>
              </w:rPr>
            </w:pPr>
            <w:r w:rsidRPr="00EF061D">
              <w:rPr>
                <w:rFonts w:eastAsiaTheme="minorEastAsia"/>
              </w:rPr>
              <w:t>Komendant Główny Straży Granicznej;</w:t>
            </w:r>
          </w:p>
          <w:p w14:paraId="1BFEABCA" w14:textId="77777777" w:rsidR="00C076E7" w:rsidRPr="00EF061D" w:rsidRDefault="00C076E7" w:rsidP="005E0F9D">
            <w:pPr>
              <w:pStyle w:val="NormalnyWeb"/>
              <w:numPr>
                <w:ilvl w:val="1"/>
                <w:numId w:val="11"/>
              </w:numPr>
              <w:spacing w:before="0" w:beforeAutospacing="0" w:after="0" w:afterAutospacing="0"/>
              <w:rPr>
                <w:rFonts w:eastAsiaTheme="minorEastAsia"/>
              </w:rPr>
            </w:pPr>
            <w:r w:rsidRPr="00EF061D">
              <w:rPr>
                <w:rFonts w:eastAsiaTheme="minorEastAsia"/>
              </w:rPr>
              <w:t>Główny Inspektor Pracy;</w:t>
            </w:r>
          </w:p>
          <w:p w14:paraId="14111671" w14:textId="77777777" w:rsidR="00C076E7" w:rsidRPr="00EF061D" w:rsidRDefault="00C076E7" w:rsidP="005E0F9D">
            <w:pPr>
              <w:pStyle w:val="NormalnyWeb"/>
              <w:numPr>
                <w:ilvl w:val="1"/>
                <w:numId w:val="11"/>
              </w:numPr>
              <w:spacing w:before="0" w:beforeAutospacing="0" w:after="0" w:afterAutospacing="0"/>
              <w:rPr>
                <w:rFonts w:eastAsiaTheme="minorEastAsia"/>
              </w:rPr>
            </w:pPr>
            <w:r w:rsidRPr="00EF061D">
              <w:t>Główny Inspektor Ochrony Środowiska;</w:t>
            </w:r>
          </w:p>
          <w:p w14:paraId="6E969E0D" w14:textId="77777777" w:rsidR="00C076E7" w:rsidRPr="00EF061D" w:rsidRDefault="00C076E7" w:rsidP="005E0F9D">
            <w:pPr>
              <w:pStyle w:val="NormalnyWeb"/>
              <w:numPr>
                <w:ilvl w:val="1"/>
                <w:numId w:val="11"/>
              </w:numPr>
              <w:spacing w:before="0" w:beforeAutospacing="0" w:after="0" w:afterAutospacing="0"/>
              <w:rPr>
                <w:rFonts w:eastAsiaTheme="minorEastAsia"/>
              </w:rPr>
            </w:pPr>
            <w:r w:rsidRPr="00EF061D">
              <w:t>Prezes Wyższego Urzędu Górniczego</w:t>
            </w:r>
            <w:r w:rsidR="00703BF5" w:rsidRPr="00EF061D">
              <w:t>;</w:t>
            </w:r>
          </w:p>
          <w:p w14:paraId="233A50FC" w14:textId="77777777" w:rsidR="00703BF5" w:rsidRPr="00EF061D" w:rsidRDefault="00703BF5" w:rsidP="005E0F9D">
            <w:pPr>
              <w:pStyle w:val="NormalnyWeb"/>
              <w:numPr>
                <w:ilvl w:val="1"/>
                <w:numId w:val="11"/>
              </w:numPr>
              <w:spacing w:before="0" w:beforeAutospacing="0" w:after="0" w:afterAutospacing="0"/>
              <w:rPr>
                <w:rFonts w:eastAsiaTheme="minorEastAsia"/>
              </w:rPr>
            </w:pPr>
            <w:r w:rsidRPr="00EF061D">
              <w:t>Prezes Urzędu Rejestracji Produktów Leczniczych, Wyrobów Medycznych i Produktów Biobójczych.</w:t>
            </w:r>
          </w:p>
          <w:bookmarkEnd w:id="22"/>
          <w:p w14:paraId="0F419B8E"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68w. 1. Operator platformy oraz dostawca usług społeczeństwa informacyjnego jest obowiązany do współpracy z Dyrektorem TDT jako organem nadzoru rynku w toku prowadzenia przez </w:t>
            </w:r>
            <w:r w:rsidRPr="00FB76A9">
              <w:rPr>
                <w:rFonts w:ascii="Times New Roman" w:hAnsi="Times New Roman" w:cs="Times New Roman"/>
                <w:szCs w:val="24"/>
              </w:rPr>
              <w:lastRenderedPageBreak/>
              <w:t xml:space="preserve">niego czynności wyjaśniających, kontroli, badań lub postępowań administracyjnych w zakresie przedstawienia informacji niezbędnych do ustalenia własności interfejsu online, w tym własności stron internetowych, za pomocą których podmiot gospodarczy lub posiadacz pojazdu, przedmiotu wyposażenia lub części niebędący użytkownikiem końcowym, oferuje pojazd, przedmiot wyposażenia lub część do sprzedaży na odległość oraz informacji na temat tych podmiotów oraz ich działalności w zakresie sprzedaży na odległość. </w:t>
            </w:r>
          </w:p>
          <w:p w14:paraId="62F95F6A"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Operator platformy oraz dostawca usług społeczeństwa informacyjnego jest obowiązany do współpracy z Dyrektorem TDT jako organem nadzoru rynku w zakresie działań w ramach interfejsu online, w tym usuwania z interfejsu online treści odnoszących się do pojazdu, przedmiotu wyposażenia i części wobec których stwierdzono niezgodność z wymaganiami technicznymi lub poważne ryzyko, wyświetlania wyraźnego ostrzeżenia dla użytkowników końcowych uzyskujących dostęp do oferty tego pojazdu, przedmiotu wyposażenia lub części lub zawieszania konta podmiotu gospodarczego na platformie posiadającego oferty pojazdu, przedmiotu wyposażenia i części.  </w:t>
            </w:r>
          </w:p>
          <w:bookmarkEnd w:id="16"/>
          <w:bookmarkEnd w:id="19"/>
          <w:p w14:paraId="13CE54A1" w14:textId="77777777" w:rsidR="00C076E7" w:rsidRPr="00FB76A9" w:rsidRDefault="00C076E7"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68x. 1. </w:t>
            </w:r>
            <w:bookmarkStart w:id="23" w:name="_Hlk134520036"/>
            <w:bookmarkStart w:id="24" w:name="_Hlk134520140"/>
            <w:r w:rsidRPr="00FB76A9">
              <w:rPr>
                <w:rFonts w:ascii="Times New Roman" w:hAnsi="Times New Roman" w:cs="Times New Roman"/>
                <w:szCs w:val="24"/>
              </w:rPr>
              <w:t>Informacje objęte tajemnicą przedsiębiorstwa</w:t>
            </w:r>
            <w:bookmarkEnd w:id="23"/>
            <w:r w:rsidRPr="00FB76A9">
              <w:rPr>
                <w:rFonts w:ascii="Times New Roman" w:hAnsi="Times New Roman" w:cs="Times New Roman"/>
                <w:szCs w:val="24"/>
              </w:rPr>
              <w:t xml:space="preserve"> rozumiane jako </w:t>
            </w:r>
            <w:r w:rsidRPr="00FB76A9">
              <w:rPr>
                <w:rFonts w:ascii="Times New Roman" w:hAnsi="Times New Roman" w:cs="Times New Roman"/>
                <w:szCs w:val="24"/>
              </w:rPr>
              <w:lastRenderedPageBreak/>
              <w:t>nieujawnione do wiadomości publicznej informacje techniczne, technologiczne oraz organizacyjne przedsiębiorstwa lub inne informacje, co do których przedsiębiorca podjął niezbędne działania w celu zachowania ich poufności, mogą być wykorzystane wyłącznie do celów, do których zostały zgromadzone, z uwzględnieniem ust. 2 i 3.</w:t>
            </w:r>
          </w:p>
          <w:bookmarkEnd w:id="24"/>
          <w:p w14:paraId="6D916646"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t>
            </w:r>
            <w:bookmarkStart w:id="25" w:name="_Hlk134520268"/>
            <w:r w:rsidRPr="00FB76A9">
              <w:rPr>
                <w:rFonts w:ascii="Times New Roman" w:hAnsi="Times New Roman" w:cs="Times New Roman"/>
                <w:szCs w:val="24"/>
              </w:rPr>
              <w:t>Uzyskane w toku prowadzonych kontroli lub postępowań</w:t>
            </w:r>
            <w:bookmarkEnd w:id="25"/>
            <w:r w:rsidRPr="00FB76A9">
              <w:rPr>
                <w:rFonts w:ascii="Times New Roman" w:hAnsi="Times New Roman" w:cs="Times New Roman"/>
                <w:szCs w:val="24"/>
              </w:rPr>
              <w:t xml:space="preserve"> informacje, o których mowa w ust. 1, w tym objęte tajemnicą przedsiębiorstwa, oraz dowody, podlegają ujawnieniu, jeżeli jest to niezbędne ze względu na konieczność usunięcia niezgodności pojazdu, przedmiotu wyposażenie lub części z wymaganiami technicznymi lub stwarzania przez nich poważnego ryzyka w przypadku odmowy ich usunięcia przez podmiot gospodarczy.</w:t>
            </w:r>
          </w:p>
          <w:p w14:paraId="7E0D77B3" w14:textId="77777777" w:rsidR="00C076E7" w:rsidRPr="00FB76A9" w:rsidRDefault="00C076E7"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3. Dyrektor TDT jako organ nadzoru rynku może ujawnić informacje, o których mowa w ust. 1, w tym objęte tajemnicą przedsiębiorstwa, oraz dowody uzyskane w toku kontroli lub prowadzonych postępowań, w zakresie niezbędnym do uzasadnienia podjętych w postępowaniu rozstrzygnięć.</w:t>
            </w:r>
          </w:p>
          <w:p w14:paraId="65B5F9FF" w14:textId="77777777" w:rsidR="00C076E7" w:rsidRPr="00FB76A9" w:rsidRDefault="00C076E7"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68y. 1. Dyrektor TDT jako organ nadzoru rynku z urzędu przeprowadza niezapowiedziane kontrole albo jeżeli uzna to za stosowne – kontrole zapowiedziane, w zakresie weryfikacji spełniania wymagań technicznych przez pojazdy, przedmioty </w:t>
            </w:r>
            <w:r w:rsidRPr="00FB76A9">
              <w:rPr>
                <w:rFonts w:ascii="Times New Roman" w:hAnsi="Times New Roman" w:cs="Times New Roman"/>
                <w:szCs w:val="24"/>
              </w:rPr>
              <w:lastRenderedPageBreak/>
              <w:t>wyposażenia lub części lub stwarzania przez nich ryzyka, w szczególności, gdy uzna zasadność ich wszczęcia, z zachowaniem zasady proporcjonalności, konieczności oraz minimalnej uciążliwości dla podmiotu gospodarczego:</w:t>
            </w:r>
          </w:p>
          <w:p w14:paraId="1144A21A" w14:textId="77777777" w:rsidR="00C076E7" w:rsidRPr="00FB76A9" w:rsidRDefault="00C076E7" w:rsidP="00FD5CD5">
            <w:pPr>
              <w:pStyle w:val="ZLITwPKTzmlitwpk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na podstawie działań własnych Dyrektora TDT jako organu nadzoru rynku;</w:t>
            </w:r>
          </w:p>
          <w:p w14:paraId="110B7998" w14:textId="77777777" w:rsidR="00C076E7" w:rsidRPr="00FB76A9" w:rsidRDefault="00C076E7" w:rsidP="00FD5CD5">
            <w:pPr>
              <w:pStyle w:val="ZLITwPKTzmlitwpk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w związku z informacjami przekazanymi przez Komisję Europejską, inny organ nadzoru rynku, jednolity urząd łącznikowy, o którym mowa w art. 10 ust. 3 rozporządzenia 2019/1020, lub organy celne państw członkowskich Unii Europejskiej;</w:t>
            </w:r>
          </w:p>
          <w:p w14:paraId="00446DE7"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na podstawie innych informacji, w tym skarg użytkowników końcowych, informacji pochodzących od organów Krajowej Administracji Skarbowej, innych organów administracji publicznej, organizacji zrzeszających konsumentów, organizacji zrzeszających podmioty gospodarcze lub mediów</w:t>
            </w:r>
          </w:p>
          <w:p w14:paraId="5C38D470"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jeżeli wskazują one na uzasadnione podejrzenie:</w:t>
            </w:r>
          </w:p>
          <w:p w14:paraId="0B3ABC43" w14:textId="77777777" w:rsidR="00C076E7" w:rsidRPr="00FB76A9" w:rsidRDefault="00C076E7" w:rsidP="00FD5CD5">
            <w:pPr>
              <w:pStyle w:val="ZPKTzmpktartykuempunktem"/>
              <w:spacing w:line="240" w:lineRule="auto"/>
              <w:ind w:left="1418" w:hanging="425"/>
              <w:jc w:val="left"/>
              <w:rPr>
                <w:rFonts w:ascii="Times New Roman" w:hAnsi="Times New Roman" w:cs="Times New Roman"/>
                <w:szCs w:val="24"/>
              </w:rPr>
            </w:pPr>
            <w:r w:rsidRPr="00FB76A9">
              <w:rPr>
                <w:rFonts w:ascii="Times New Roman" w:hAnsi="Times New Roman" w:cs="Times New Roman"/>
                <w:szCs w:val="24"/>
              </w:rPr>
              <w:t>a)</w:t>
            </w:r>
            <w:r w:rsidRPr="00FB76A9">
              <w:rPr>
                <w:rFonts w:ascii="Times New Roman" w:hAnsi="Times New Roman" w:cs="Times New Roman"/>
                <w:szCs w:val="24"/>
              </w:rPr>
              <w:tab/>
              <w:t>poważnego ryzyka dla życia, zdrowia, bezpieczeństwa, środowiska lub jakiegokolwiek innego interesu publicznego, o których mowa w art. 1 ust. 1 rozporządzenia 2019/1020,</w:t>
            </w:r>
          </w:p>
          <w:p w14:paraId="67550398" w14:textId="77777777" w:rsidR="00C076E7" w:rsidRPr="00FB76A9" w:rsidRDefault="00C076E7" w:rsidP="00FD5CD5">
            <w:pPr>
              <w:pStyle w:val="ZPKTzmpktartykuempunktem"/>
              <w:spacing w:line="240" w:lineRule="auto"/>
              <w:ind w:left="1418" w:hanging="425"/>
              <w:jc w:val="left"/>
              <w:rPr>
                <w:rFonts w:ascii="Times New Roman" w:hAnsi="Times New Roman" w:cs="Times New Roman"/>
                <w:szCs w:val="24"/>
              </w:rPr>
            </w:pPr>
            <w:r w:rsidRPr="00FB76A9">
              <w:rPr>
                <w:rFonts w:ascii="Times New Roman" w:hAnsi="Times New Roman" w:cs="Times New Roman"/>
                <w:szCs w:val="24"/>
              </w:rPr>
              <w:lastRenderedPageBreak/>
              <w:t>b)</w:t>
            </w:r>
            <w:r w:rsidRPr="00FB76A9">
              <w:rPr>
                <w:rFonts w:ascii="Times New Roman" w:hAnsi="Times New Roman" w:cs="Times New Roman"/>
                <w:szCs w:val="24"/>
              </w:rPr>
              <w:tab/>
              <w:t>popełnienia przestępstwa lub wykroczenia,</w:t>
            </w:r>
          </w:p>
          <w:p w14:paraId="4377D355" w14:textId="77777777" w:rsidR="00C076E7" w:rsidRPr="00FB76A9" w:rsidRDefault="00C076E7" w:rsidP="00FD5CD5">
            <w:pPr>
              <w:pStyle w:val="ZPKTzmpktartykuempunktem"/>
              <w:spacing w:line="240" w:lineRule="auto"/>
              <w:ind w:left="1418" w:hanging="425"/>
              <w:jc w:val="left"/>
              <w:rPr>
                <w:rFonts w:ascii="Times New Roman" w:hAnsi="Times New Roman" w:cs="Times New Roman"/>
                <w:szCs w:val="24"/>
              </w:rPr>
            </w:pPr>
            <w:r w:rsidRPr="00FB76A9">
              <w:rPr>
                <w:rFonts w:ascii="Times New Roman" w:hAnsi="Times New Roman" w:cs="Times New Roman"/>
                <w:szCs w:val="24"/>
              </w:rPr>
              <w:t>c)</w:t>
            </w:r>
            <w:r w:rsidRPr="00FB76A9">
              <w:rPr>
                <w:rFonts w:ascii="Times New Roman" w:hAnsi="Times New Roman" w:cs="Times New Roman"/>
                <w:szCs w:val="24"/>
              </w:rPr>
              <w:tab/>
              <w:t>popełnienia przestępstwa skarbowego lub wykroczenia skarbowego,</w:t>
            </w:r>
          </w:p>
          <w:p w14:paraId="66F33A0B" w14:textId="77777777" w:rsidR="00C076E7" w:rsidRPr="00FB76A9" w:rsidRDefault="00C076E7" w:rsidP="00FD5CD5">
            <w:pPr>
              <w:pStyle w:val="ZPKTzmpktartykuempunktem"/>
              <w:spacing w:line="240" w:lineRule="auto"/>
              <w:ind w:left="1418" w:hanging="425"/>
              <w:jc w:val="left"/>
              <w:rPr>
                <w:rFonts w:ascii="Times New Roman" w:hAnsi="Times New Roman" w:cs="Times New Roman"/>
                <w:szCs w:val="24"/>
              </w:rPr>
            </w:pPr>
            <w:r w:rsidRPr="00FB76A9">
              <w:rPr>
                <w:rFonts w:ascii="Times New Roman" w:hAnsi="Times New Roman" w:cs="Times New Roman"/>
                <w:szCs w:val="24"/>
              </w:rPr>
              <w:t>d)</w:t>
            </w:r>
            <w:r w:rsidRPr="00FB76A9">
              <w:rPr>
                <w:rFonts w:ascii="Times New Roman" w:hAnsi="Times New Roman" w:cs="Times New Roman"/>
                <w:szCs w:val="24"/>
              </w:rPr>
              <w:tab/>
              <w:t>niezgodności pojazdu, przedmiotu wyposażenia lub części z wymaganiami technicznymi, które mają do niego zastosowanie,</w:t>
            </w:r>
          </w:p>
          <w:p w14:paraId="1C06B3DB" w14:textId="77777777" w:rsidR="00C076E7" w:rsidRPr="00FB76A9" w:rsidRDefault="00C076E7" w:rsidP="00FD5CD5">
            <w:pPr>
              <w:pStyle w:val="ZPKTzmpktartykuempunktem"/>
              <w:spacing w:line="240" w:lineRule="auto"/>
              <w:ind w:left="1418" w:hanging="425"/>
              <w:jc w:val="left"/>
              <w:rPr>
                <w:rFonts w:ascii="Times New Roman" w:hAnsi="Times New Roman" w:cs="Times New Roman"/>
                <w:szCs w:val="24"/>
              </w:rPr>
            </w:pPr>
            <w:r w:rsidRPr="00FB76A9">
              <w:rPr>
                <w:rFonts w:ascii="Times New Roman" w:hAnsi="Times New Roman" w:cs="Times New Roman"/>
                <w:szCs w:val="24"/>
              </w:rPr>
              <w:t>e)</w:t>
            </w:r>
            <w:r w:rsidRPr="00FB76A9">
              <w:rPr>
                <w:rFonts w:ascii="Times New Roman" w:hAnsi="Times New Roman" w:cs="Times New Roman"/>
                <w:szCs w:val="24"/>
              </w:rPr>
              <w:tab/>
              <w:t>innego naruszenia prawnego zakazu lub niedopełnienia prawnego obowiązku</w:t>
            </w:r>
          </w:p>
          <w:p w14:paraId="482E95B3" w14:textId="77777777" w:rsidR="00C076E7" w:rsidRPr="00FB76A9" w:rsidRDefault="00C076E7" w:rsidP="00FD5CD5">
            <w:pPr>
              <w:pStyle w:val="ZLITwPKTzmlitwpk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 w wyniku wykonywania działalności gospodarczej objętej kontrolą;</w:t>
            </w:r>
          </w:p>
          <w:p w14:paraId="3E31D642" w14:textId="77777777" w:rsidR="00C076E7" w:rsidRPr="00FB76A9" w:rsidRDefault="00C076E7"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2. Kontrole, o których mowa w ust. 1, są przeprowadzane na podstawie  analizy ryzyka uwzględniającej:</w:t>
            </w:r>
          </w:p>
          <w:p w14:paraId="18F580D7" w14:textId="77777777" w:rsidR="00C076E7" w:rsidRPr="00FB76A9" w:rsidRDefault="00C076E7"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możliwe niebezpieczeństwa i niezgodności związane z pojazdami, przedmiotami wyposażenia lub części oraz, o ile informacje w tym zakresie są dostępne, częstotliwość ich występowania na rynku;</w:t>
            </w:r>
          </w:p>
          <w:p w14:paraId="1D5C69EF" w14:textId="77777777" w:rsidR="00C076E7" w:rsidRPr="00FB76A9" w:rsidRDefault="00C076E7"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działania i operacje kontrolowane przez podmiot gospodarczy;</w:t>
            </w:r>
          </w:p>
          <w:p w14:paraId="7D58C7A4" w14:textId="77777777" w:rsidR="00C076E7" w:rsidRPr="00FB76A9" w:rsidRDefault="00C076E7"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zarejestrowaną u danego podmiotu gospodarczego historię występowania niezgodności pojazdów, przedmiotów wyposażenia lub części z wymaganiami technicznymi.</w:t>
            </w:r>
          </w:p>
          <w:bookmarkEnd w:id="4"/>
          <w:p w14:paraId="51EFEC44" w14:textId="77777777" w:rsidR="004A3854" w:rsidRPr="004A3854" w:rsidRDefault="004A3854" w:rsidP="00FD5CD5">
            <w:pPr>
              <w:pStyle w:val="ZARTzmartartykuempunktem"/>
              <w:spacing w:line="240" w:lineRule="auto"/>
              <w:jc w:val="left"/>
              <w:rPr>
                <w:rFonts w:ascii="Times New Roman" w:hAnsi="Times New Roman" w:cs="Times New Roman"/>
                <w:szCs w:val="24"/>
              </w:rPr>
            </w:pPr>
            <w:r w:rsidRPr="004A3854">
              <w:rPr>
                <w:rFonts w:ascii="Times New Roman" w:hAnsi="Times New Roman" w:cs="Times New Roman"/>
                <w:szCs w:val="24"/>
              </w:rPr>
              <w:lastRenderedPageBreak/>
              <w:t>3. Do kontroli pojazdów, przedmiotów wyposażenia lub części, o której mowa w ust. 1, w zakresie nieuregulowanym w niniejszej ustawie stosuje się przepisy rozdziału 5 ustawy z dnia 6 marca 2018 r. – Prawo przedsiębiorców, z tym że do kontroli niezapowiedzianej nie stosuje się art. 48 tej ustawy.</w:t>
            </w:r>
          </w:p>
          <w:bookmarkEnd w:id="5"/>
          <w:p w14:paraId="7C47D91F" w14:textId="77777777" w:rsidR="00C076E7" w:rsidRPr="00FB76A9" w:rsidRDefault="00C076E7"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4. Do treści zawiadomienia o zamiarze wszczęcia kontroli stosuje się przepisy art. 48 ust. 3 ustawy – Prawo przedsiębiorców.</w:t>
            </w:r>
          </w:p>
          <w:p w14:paraId="6B617418" w14:textId="77777777" w:rsidR="00C076E7" w:rsidRPr="00FB76A9" w:rsidRDefault="00C076E7" w:rsidP="00FD5CD5">
            <w:pPr>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5. W przypadku podjęcia i prowadzenia kontroli u podmiotu gospodarczego przez inny organ, Dyrektor TDT w trakcie trwania tej kontroli może pobrać próbkę pojazdu, przedmiotu wyposażenia lub części wraz z wymaganymi dokumentami technicznymi.</w:t>
            </w:r>
          </w:p>
          <w:p w14:paraId="14AFA40C" w14:textId="77777777" w:rsidR="00C076E7" w:rsidRPr="00FB76A9" w:rsidRDefault="00C076E7"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 1. Dyrektor TDT jako organ nadzoru rynku z urzędu podejmuje czynności wyjaśniające w sprawie niezgodności pojazdów, przedmiotów wyposażenia lub części z wymaganiami technicznymi lub mogących stwarzać poważne ryzyko.</w:t>
            </w:r>
          </w:p>
          <w:p w14:paraId="3135266B" w14:textId="77777777" w:rsidR="00C076E7" w:rsidRPr="00FB76A9" w:rsidRDefault="00C076E7" w:rsidP="00FD5CD5">
            <w:pPr>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2. Czynności wyjaśniające, o których mowa w ust. 1, obejmują uprawnienia Dyrektora TDT jako organu nadzoru rynku określone w art. 14 ust. 4 lit. a</w:t>
            </w:r>
            <w:r w:rsidRPr="00FB76A9">
              <w:rPr>
                <w:rFonts w:ascii="Times New Roman" w:eastAsiaTheme="minorEastAsia" w:hAnsi="Times New Roman" w:cs="Times New Roman"/>
                <w:sz w:val="24"/>
                <w:szCs w:val="24"/>
              </w:rPr>
              <w:t>–</w:t>
            </w:r>
            <w:r w:rsidRPr="00FB76A9">
              <w:rPr>
                <w:rFonts w:ascii="Times New Roman" w:eastAsiaTheme="minorEastAsia" w:hAnsi="Times New Roman" w:cs="Times New Roman"/>
                <w:sz w:val="24"/>
                <w:szCs w:val="24"/>
                <w:lang w:eastAsia="pl-PL"/>
              </w:rPr>
              <w:t>c rozporządzenia 2019/1020.</w:t>
            </w:r>
          </w:p>
          <w:p w14:paraId="5F0FAA57" w14:textId="77777777" w:rsidR="00C076E7" w:rsidRPr="00FB76A9" w:rsidRDefault="00C076E7"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3.</w:t>
            </w:r>
            <w:bookmarkStart w:id="26" w:name="_Hlk134520870"/>
            <w:r w:rsidRPr="00FB76A9">
              <w:rPr>
                <w:rFonts w:ascii="Times New Roman" w:hAnsi="Times New Roman" w:cs="Times New Roman"/>
                <w:szCs w:val="24"/>
              </w:rPr>
              <w:t xml:space="preserve"> </w:t>
            </w:r>
            <w:bookmarkEnd w:id="26"/>
            <w:r w:rsidRPr="00FB76A9">
              <w:rPr>
                <w:rFonts w:ascii="Times New Roman" w:hAnsi="Times New Roman" w:cs="Times New Roman"/>
                <w:szCs w:val="24"/>
              </w:rPr>
              <w:t>Czynności wyjaśniające, o których mowa w ust. 1, są  realizowane w drodze wystąpienia, które powinno zawierać wskazanie:</w:t>
            </w:r>
          </w:p>
          <w:p w14:paraId="7706B2C7"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 xml:space="preserve">1) </w:t>
            </w:r>
            <w:r w:rsidRPr="00FB76A9">
              <w:rPr>
                <w:rFonts w:ascii="Times New Roman" w:hAnsi="Times New Roman" w:cs="Times New Roman"/>
                <w:szCs w:val="24"/>
              </w:rPr>
              <w:tab/>
              <w:t>zakresu informacji;</w:t>
            </w:r>
          </w:p>
          <w:p w14:paraId="57058111"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celu wystąpienia;</w:t>
            </w:r>
          </w:p>
          <w:p w14:paraId="09353DEC"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terminu udzielenia informacji.</w:t>
            </w:r>
          </w:p>
          <w:p w14:paraId="5A954AEB" w14:textId="77777777" w:rsidR="00C076E7" w:rsidRPr="00FB76A9" w:rsidRDefault="00C076E7" w:rsidP="00FD5CD5">
            <w:pPr>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4. Podmiot gospodarczy lub posiadacz pojazdu, przedmiotu wyposażenia lub części niebędący użytkownikiem końcowym, do którego Dyrektor TDT jako organ nadzoru rynku skierował wystąpienie, o którym mowa w ust. 3, jest obowiązany w terminie określonym w wystąpieniu przekazać informacje, których wystąpienie dotyczy.</w:t>
            </w:r>
          </w:p>
          <w:p w14:paraId="2C67FE73"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Dyrektor TDT jako organ nadzoru rynku może podjąć czynności wyjaśniające na podstawie informacji, o których mowa w art. 68y ust. 1.</w:t>
            </w:r>
          </w:p>
          <w:p w14:paraId="2C995CE4"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6. Dyrektor TDT w ramach czynności wyjaśniających na podstawie przekazanych informacji przeprowadza analizę ryzyka, o której mowa w art. 68t ust. 1.</w:t>
            </w:r>
          </w:p>
          <w:p w14:paraId="128D6BE0"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7. Wynik czynności wyjaśniających jest udokumentowany w raporcie, który może stanowić podstawę podjęcia kontroli lub wszczęcia postępowania administracyjnego. Raport pozostawia się w aktach sprawy.</w:t>
            </w:r>
          </w:p>
          <w:p w14:paraId="56702A12"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68za. 1. W toku kontroli Dyrektor TDT jako organ nadzoru rynku, w zakresie objętym kontrolą, ma prawo</w:t>
            </w:r>
            <w:r w:rsidR="009A3610">
              <w:rPr>
                <w:rFonts w:ascii="Times New Roman" w:hAnsi="Times New Roman" w:cs="Times New Roman"/>
                <w:szCs w:val="24"/>
              </w:rPr>
              <w:t xml:space="preserve"> </w:t>
            </w:r>
            <w:r w:rsidRPr="00FB76A9">
              <w:rPr>
                <w:rFonts w:ascii="Times New Roman" w:hAnsi="Times New Roman" w:cs="Times New Roman"/>
                <w:szCs w:val="24"/>
              </w:rPr>
              <w:t>do:</w:t>
            </w:r>
          </w:p>
          <w:p w14:paraId="280AC923"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 xml:space="preserve">wstępu na teren nieruchomości, obiektu, lokalu lub ich części oraz środków transportu podmiotu gospodarczego lub posiadacza pojazdu, przedmiotu </w:t>
            </w:r>
            <w:r w:rsidRPr="00FB76A9">
              <w:rPr>
                <w:rFonts w:ascii="Times New Roman" w:hAnsi="Times New Roman" w:cs="Times New Roman"/>
                <w:szCs w:val="24"/>
              </w:rPr>
              <w:lastRenderedPageBreak/>
              <w:t>wyposażenia lub części niebędącego użytkownikiem końcowym;</w:t>
            </w:r>
          </w:p>
          <w:p w14:paraId="40D2F9F7"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dokonywania oględzin terenu nieruchomości, obiektu, lokalu lub ich części, pojazdów, przedmiotów wyposażenia i części, środków transportu i innych rzeczy związanych z przedmiotem kontroli;</w:t>
            </w:r>
          </w:p>
          <w:p w14:paraId="78CC3FAF"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żądania od podmiotu gospodarczego przedstawienia odpowiednich dokumentów, specyfikacji technicznych, danych lub informacji na potrzeby oceny zgodności pojazdu, przedmiotu wyposażenia lub części z wymaganiami technicznymi lub stwarzania przez nich ryzyka oraz innych aspektów technicznych pojazdu, przedmiotu wyposażenia lub części, w tym dostępu do wbudowanego oprogramowania w zakresie, w jakim dostęp ten jest niezbędny do oceny zgodności pojazdu, przedmiotu wyposażenia lub części z wymaganiami technicznymi lub stwarzania przez nich poważnego ryzyka, w każdej formie i formacie, niezależne od nośnika danych lub miejsca, w którym takie dokumenty, specyfikacje techniczne, dane lub informacje są przechowywane;</w:t>
            </w:r>
          </w:p>
          <w:p w14:paraId="4EB41D4D"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4)</w:t>
            </w:r>
            <w:r w:rsidRPr="00FB76A9">
              <w:rPr>
                <w:rFonts w:ascii="Times New Roman" w:hAnsi="Times New Roman" w:cs="Times New Roman"/>
                <w:szCs w:val="24"/>
              </w:rPr>
              <w:tab/>
              <w:t xml:space="preserve">żądania poświadczenia za zgodność z oryginałem przez podmiot gospodarczy lub posiadacza pojazdu, przedmiotu </w:t>
            </w:r>
            <w:r w:rsidRPr="00FB76A9">
              <w:rPr>
                <w:rFonts w:ascii="Times New Roman" w:hAnsi="Times New Roman" w:cs="Times New Roman"/>
                <w:szCs w:val="24"/>
              </w:rPr>
              <w:lastRenderedPageBreak/>
              <w:t>wyposażenia lub części niebędącego użytkownikiem końcowym, lub osobę przez niego upoważnioną, otrzymanych kopii dokumentów, specyfikacji technicznych, danych lub informacji lub urzędowego tłumaczenia na język polski dokumentów sporządzonych w języku obcym;</w:t>
            </w:r>
          </w:p>
          <w:p w14:paraId="6ED4EF35"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5)</w:t>
            </w:r>
            <w:r w:rsidRPr="00FB76A9">
              <w:rPr>
                <w:rFonts w:ascii="Times New Roman" w:hAnsi="Times New Roman" w:cs="Times New Roman"/>
                <w:szCs w:val="24"/>
              </w:rPr>
              <w:tab/>
              <w:t>żądania od podmiotu gospodarczego lub posiadacza pojazdu, przedmiotu wyposażenia lub części niebędącego użytkownikiem końcowym, przedstawienia informacji na temat łańcucha dostaw, szczegółów sieci dystrybucji, liczby pojazdów, przedmiotów wyposażenia lub części udostępnionych na rynku oraz innych modeli o takich samych właściwościach technicznych jak pojazdy, przedmioty wyposażenia lub części</w:t>
            </w:r>
            <w:r w:rsidRPr="00FB76A9" w:rsidDel="00C32ECF">
              <w:rPr>
                <w:rFonts w:ascii="Times New Roman" w:hAnsi="Times New Roman" w:cs="Times New Roman"/>
                <w:szCs w:val="24"/>
              </w:rPr>
              <w:t xml:space="preserve"> </w:t>
            </w:r>
            <w:r w:rsidRPr="00FB76A9">
              <w:rPr>
                <w:rFonts w:ascii="Times New Roman" w:hAnsi="Times New Roman" w:cs="Times New Roman"/>
                <w:szCs w:val="24"/>
              </w:rPr>
              <w:t>będące przedmiotem kontroli, o ile ma to znaczenie dla zgodności z wymaganiami technicznymi lub oceny, czy pojazd, przedmiot wyposażenia lub część stwarzają poważne ryzyko;</w:t>
            </w:r>
          </w:p>
          <w:p w14:paraId="79E9B518"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6)</w:t>
            </w:r>
            <w:r w:rsidRPr="00FB76A9">
              <w:rPr>
                <w:rFonts w:ascii="Times New Roman" w:hAnsi="Times New Roman" w:cs="Times New Roman"/>
                <w:szCs w:val="24"/>
              </w:rPr>
              <w:tab/>
              <w:t xml:space="preserve">żądania od podmiotu gospodarczego lub posiadacza pojazdu, przedmiotu wyposażenia lub części niebędącego użytkownikiem końcowym, przedstawienia informacji niezbędnych do ustalenia własności stron internetowych, jeżeli te informacje </w:t>
            </w:r>
            <w:r w:rsidRPr="00FB76A9">
              <w:rPr>
                <w:rFonts w:ascii="Times New Roman" w:hAnsi="Times New Roman" w:cs="Times New Roman"/>
                <w:szCs w:val="24"/>
              </w:rPr>
              <w:lastRenderedPageBreak/>
              <w:t>dotyczą pojazdu, przedmiotu wyposażenia lub części będących przedmiotem kontroli;</w:t>
            </w:r>
          </w:p>
          <w:p w14:paraId="15D548D7"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7)</w:t>
            </w:r>
            <w:r w:rsidRPr="00FB76A9">
              <w:rPr>
                <w:rFonts w:ascii="Times New Roman" w:hAnsi="Times New Roman" w:cs="Times New Roman"/>
                <w:szCs w:val="24"/>
              </w:rPr>
              <w:tab/>
              <w:t>legitymowania osób w celu potwierdzenia ich tożsamości;</w:t>
            </w:r>
          </w:p>
          <w:p w14:paraId="325821F8"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8)</w:t>
            </w:r>
            <w:r w:rsidRPr="00FB76A9">
              <w:rPr>
                <w:rFonts w:ascii="Times New Roman" w:hAnsi="Times New Roman" w:cs="Times New Roman"/>
                <w:szCs w:val="24"/>
              </w:rPr>
              <w:tab/>
              <w:t>żądania udzielenia, w wyznaczonym terminie, pisemnych lub ustnych wyjaśnień związanych z przedmiotem kontroli;</w:t>
            </w:r>
          </w:p>
          <w:p w14:paraId="7A1BF3F8"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9)</w:t>
            </w:r>
            <w:r w:rsidRPr="00FB76A9">
              <w:rPr>
                <w:rFonts w:ascii="Times New Roman" w:hAnsi="Times New Roman" w:cs="Times New Roman"/>
                <w:szCs w:val="24"/>
              </w:rPr>
              <w:tab/>
              <w:t>przesłuchiwania osoby w charakterze świadka na okoliczności związane z przedmiotem kontroli;</w:t>
            </w:r>
          </w:p>
          <w:p w14:paraId="1D6B58DF"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10)</w:t>
            </w:r>
            <w:r w:rsidRPr="00FB76A9">
              <w:rPr>
                <w:rFonts w:ascii="Times New Roman" w:hAnsi="Times New Roman" w:cs="Times New Roman"/>
                <w:szCs w:val="24"/>
              </w:rPr>
              <w:tab/>
            </w:r>
            <w:bookmarkStart w:id="27" w:name="_Hlk229560157"/>
            <w:r w:rsidRPr="00FB76A9">
              <w:rPr>
                <w:rFonts w:ascii="Times New Roman" w:hAnsi="Times New Roman" w:cs="Times New Roman"/>
                <w:szCs w:val="24"/>
              </w:rPr>
              <w:t>zasięgania z urzędu niezbędnych opinii eksperckich w toku kontroli dokumentów, fizycznej lub laboratoryjnej kontroli pojazdów, przedmiotów wyposażenia lub części lub prowadzonych postępowań</w:t>
            </w:r>
            <w:bookmarkEnd w:id="27"/>
            <w:r w:rsidRPr="00FB76A9">
              <w:rPr>
                <w:rFonts w:ascii="Times New Roman" w:hAnsi="Times New Roman" w:cs="Times New Roman"/>
                <w:szCs w:val="24"/>
              </w:rPr>
              <w:t>;</w:t>
            </w:r>
          </w:p>
          <w:p w14:paraId="3A3D2C84"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11)</w:t>
            </w:r>
            <w:r w:rsidRPr="00FB76A9">
              <w:rPr>
                <w:rFonts w:ascii="Times New Roman" w:hAnsi="Times New Roman" w:cs="Times New Roman"/>
                <w:szCs w:val="24"/>
              </w:rPr>
              <w:tab/>
              <w:t>zabezpieczania dowodów, pojazdów, przedmiotów wyposażenia lub części;</w:t>
            </w:r>
          </w:p>
          <w:p w14:paraId="57E1A50F"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12)</w:t>
            </w:r>
            <w:r w:rsidRPr="00FB76A9">
              <w:rPr>
                <w:rFonts w:ascii="Times New Roman" w:hAnsi="Times New Roman" w:cs="Times New Roman"/>
                <w:szCs w:val="24"/>
              </w:rPr>
              <w:tab/>
              <w:t>pobierania nieodpłatnie próbek pojazdów, przedmiotów wyposażenia lub części do kontroli lub badań;</w:t>
            </w:r>
          </w:p>
          <w:p w14:paraId="068619E1"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13)</w:t>
            </w:r>
            <w:r w:rsidRPr="00FB76A9">
              <w:rPr>
                <w:rFonts w:ascii="Times New Roman" w:hAnsi="Times New Roman" w:cs="Times New Roman"/>
                <w:szCs w:val="24"/>
              </w:rPr>
              <w:tab/>
              <w:t>gromadzenia innych niezbędnych dowodów związanych z przedmiotem kontroli, w tym dowodów w postaci elektronicznej.</w:t>
            </w:r>
          </w:p>
          <w:p w14:paraId="619B6FA7"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Osobie upoważnionej do udziału w kontroli, na podstawie art. 68zb ust. 2, przysługują uprawnienia kontrolującego w zakresie wstępu na teren nieruchomości, obiektu, lokalu lub ich części oraz środków </w:t>
            </w:r>
            <w:r w:rsidRPr="00FB76A9">
              <w:rPr>
                <w:rFonts w:ascii="Times New Roman" w:hAnsi="Times New Roman" w:cs="Times New Roman"/>
                <w:szCs w:val="24"/>
              </w:rPr>
              <w:lastRenderedPageBreak/>
              <w:t>transportu podmiotu gospodarczego, posiadacza pojazdu, przedmiotu wyposażenia lub części niebędącego użytkownikiem końcowym, oraz dostępu do dokumentów, specyfikacji technicznych, danych i informacji, o których mowa w ust. 1 pkt 3.</w:t>
            </w:r>
          </w:p>
          <w:p w14:paraId="23174C3C"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W celu zapewnienia właściwej dokumentacji przebiegu kontroli, po uprzednim poinformowaniu podmiotu gospodarczego lub posiadacza pojazdu, przedmiotu wyposażenia lub części niebędącego użytkownikiem końcowym, czynności kontrolne, o których mowa w ust. 1, mogą być utrwalane przy pomocy urządzeń rejestrujących obraz lub dźwięk.</w:t>
            </w:r>
          </w:p>
          <w:p w14:paraId="4FD46938"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Dane pozyskane w wyniku rejestracji obrazu lub dźwięku, o których mowa w ust. 3, mogą być przetwarzane przez Dyrektora TDT jako organ nadzoru rynku w celu realizacji zadań w zakresie nadzoru rynku.</w:t>
            </w:r>
          </w:p>
          <w:p w14:paraId="22D577DD"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Informatyczne nośniki danych w rozumieniu przepisów o informatyzacji działalności podmiotów realizujących zadania publiczne, na których zarejestrowano przebieg kontroli lub poszczególne czynności w jej toku, stanowią załącznik do protokołu kontroli.</w:t>
            </w:r>
          </w:p>
          <w:p w14:paraId="7264300D"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6. Dyrektor TDT jako organ nadzoru rynku przechowuje zapis z utrwalonych czynności kontrolnych, o których mowa w ust. 3 oraz informatyczne nośniki danych, o </w:t>
            </w:r>
            <w:r w:rsidRPr="00FB76A9">
              <w:rPr>
                <w:rFonts w:ascii="Times New Roman" w:hAnsi="Times New Roman" w:cs="Times New Roman"/>
                <w:szCs w:val="24"/>
              </w:rPr>
              <w:lastRenderedPageBreak/>
              <w:t xml:space="preserve">których mowa w ust. 5, przez okres pięciu lat od dnia zakończenia kontroli. </w:t>
            </w:r>
          </w:p>
          <w:p w14:paraId="0894499A" w14:textId="77777777" w:rsidR="00C076E7" w:rsidRPr="00FB76A9" w:rsidRDefault="00C076E7" w:rsidP="00FD5CD5">
            <w:pPr>
              <w:pStyle w:val="ZARTzmartartykuempunktem"/>
              <w:spacing w:line="240" w:lineRule="auto"/>
              <w:jc w:val="left"/>
              <w:rPr>
                <w:rFonts w:ascii="Times New Roman" w:hAnsi="Times New Roman" w:cs="Times New Roman"/>
                <w:szCs w:val="24"/>
              </w:rPr>
            </w:pPr>
            <w:r w:rsidRPr="00FB76A9">
              <w:rPr>
                <w:rStyle w:val="Ppogrubienie"/>
                <w:rFonts w:ascii="Times New Roman" w:hAnsi="Times New Roman" w:cs="Times New Roman"/>
                <w:szCs w:val="24"/>
              </w:rPr>
              <w:t xml:space="preserve">7. </w:t>
            </w:r>
            <w:r w:rsidRPr="00FB76A9">
              <w:rPr>
                <w:rFonts w:ascii="Times New Roman" w:hAnsi="Times New Roman" w:cs="Times New Roman"/>
                <w:szCs w:val="24"/>
              </w:rPr>
              <w:t>Kontrola dokumentów lub kontrola fizyczna pojazdu, przedmiotu wyposażenia lub części, może zostać przeprowadzona w siedzibie lub miejscu prowadzenia działalności podmiotu gospodarczego, posiadacza pojazdu, przedmiotu wyposażenia lub części niebędącego użytkownikiem końcowym, lub w siedzibie Transportowego Dozoru Technicznego.</w:t>
            </w:r>
          </w:p>
          <w:p w14:paraId="3BD85B8F" w14:textId="77777777" w:rsidR="00C076E7" w:rsidRPr="00FB76A9" w:rsidRDefault="00C076E7"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8. Kontrola laboratoryjna pojazdu, przedmiotu wyposażenia lub części może zostać przeprowadzona w siedzibie lub miejscu prowadzenia działalności podmiotu gospodarczego, posiadacza pojazdu, przedmiotu wyposażenia lub części niebędącego użytkownikiem końcowym, w laboratorium, o którym mowa w art. 68zi, lub w siedzibie Transportowego Dozoru Technicznego.</w:t>
            </w:r>
          </w:p>
          <w:p w14:paraId="763D42C8" w14:textId="77777777" w:rsidR="00C076E7" w:rsidRPr="00FB76A9" w:rsidRDefault="00C076E7"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68zb. 1. Czynności kontrolne o których mowa w art. 68za ust. 1, w imieniu Dyrektora TDT jako organu nadzoru rynku, wykonują pracownicy Transportowego Dozoru Technicznego lub osoby upoważnione przez Dyrektora TDT do kontroli w jego imieniu, zwani dalej „kontrolującymi”, na podstawie upoważnienia do przeprowadzania kontroli.</w:t>
            </w:r>
          </w:p>
          <w:p w14:paraId="2737D796"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 kontroli prowadzonej przez Dyrektora TDT jako organ nadzoru rynku </w:t>
            </w:r>
            <w:r w:rsidRPr="00FB76A9">
              <w:rPr>
                <w:rFonts w:ascii="Times New Roman" w:hAnsi="Times New Roman" w:cs="Times New Roman"/>
                <w:szCs w:val="24"/>
              </w:rPr>
              <w:lastRenderedPageBreak/>
              <w:t>może uczestniczyć upoważniony przedstawiciel właściwego organu nadzoru rynku państwa członkowskiego Unii Europejskiej, do czynności którego stosuje się przepisy dotyczące kontrolującego.</w:t>
            </w:r>
          </w:p>
          <w:p w14:paraId="245662BF"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Kontrolujący przed rozpoczęciem czynności kontrolnych, o których mowa w art. 68za ust. 1, doręcza podmiotowi gospodarczemu lub posiadaczowi pojazdu, przedmiotu wyposażenia lub części niebędącemu użytkownikiem końcowym, lub osobie przez nich upoważnionej, upoważnienie do przeprowadzenia kontroli oraz okazuje legitymację służbową, a osoby upoważnione do udziału w kontroli, o których mowa w ust. 2, dowód osobisty, paszport lub inny dokument potwierdzający tożsamość.</w:t>
            </w:r>
          </w:p>
          <w:p w14:paraId="2116F748" w14:textId="77777777" w:rsidR="00C076E7" w:rsidRPr="00FB76A9" w:rsidRDefault="00C076E7"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Upoważnienie do przeprowadzenia kontroli lub do udziału w kontroli zawiera: </w:t>
            </w:r>
          </w:p>
          <w:p w14:paraId="091939FC"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oznaczenie organu kontroli;</w:t>
            </w:r>
          </w:p>
          <w:p w14:paraId="27D22E33"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wskazanie podstawy prawnej;</w:t>
            </w:r>
          </w:p>
          <w:p w14:paraId="4543101A"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 xml:space="preserve">datę i miejsce wystawienia; </w:t>
            </w:r>
          </w:p>
          <w:p w14:paraId="38CD8A6A"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w:t>
            </w:r>
            <w:r w:rsidRPr="00FB76A9">
              <w:rPr>
                <w:rFonts w:ascii="Times New Roman" w:hAnsi="Times New Roman" w:cs="Times New Roman"/>
                <w:szCs w:val="24"/>
              </w:rPr>
              <w:tab/>
              <w:t>imię, nazwisko i stanowisko kontrolującego oraz numer jego legitymacji służbowej, a w przypadku upoważnienia do udziału w kontroli osób, o których mowa w ust. 2 – imiona i nazwiska tych osób oraz numer dowodu osobistego, paszportu lub innego dokumentu potwierdzającego tożsamość;</w:t>
            </w:r>
          </w:p>
          <w:p w14:paraId="4043DD99"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5)</w:t>
            </w:r>
            <w:r w:rsidRPr="00FB76A9">
              <w:rPr>
                <w:rFonts w:ascii="Times New Roman" w:hAnsi="Times New Roman" w:cs="Times New Roman"/>
                <w:szCs w:val="24"/>
              </w:rPr>
              <w:tab/>
              <w:t>oznaczenie podmiotu gospodarczego lub posiadacza pojazdu, przedmiotu wyposażenia lub części, niebędącego użytkownikiem końcowym, u którego przeprowadzona zostanie kontrola;</w:t>
            </w:r>
          </w:p>
          <w:p w14:paraId="06990F4D"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6) </w:t>
            </w:r>
            <w:r w:rsidRPr="00FB76A9">
              <w:rPr>
                <w:rFonts w:ascii="Times New Roman" w:hAnsi="Times New Roman" w:cs="Times New Roman"/>
                <w:szCs w:val="24"/>
              </w:rPr>
              <w:tab/>
              <w:t>oznaczenie pojazdu, przedmiotu wyposażenia lub części;</w:t>
            </w:r>
          </w:p>
          <w:p w14:paraId="38ECB2D9"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7) </w:t>
            </w:r>
            <w:r w:rsidRPr="00FB76A9">
              <w:rPr>
                <w:rFonts w:ascii="Times New Roman" w:hAnsi="Times New Roman" w:cs="Times New Roman"/>
                <w:szCs w:val="24"/>
              </w:rPr>
              <w:tab/>
              <w:t>określenie rodzaju, formy oraz zakresu przedmiotowego kontroli, w tym okresu objętego kontrolą;</w:t>
            </w:r>
          </w:p>
          <w:p w14:paraId="6B95F94F"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8) </w:t>
            </w:r>
            <w:r w:rsidRPr="00FB76A9">
              <w:rPr>
                <w:rFonts w:ascii="Times New Roman" w:hAnsi="Times New Roman" w:cs="Times New Roman"/>
                <w:szCs w:val="24"/>
              </w:rPr>
              <w:tab/>
              <w:t>określenie daty rozpoczęcia i przewidywanej daty zakończenia kontroli;</w:t>
            </w:r>
          </w:p>
          <w:p w14:paraId="738A3AAA"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9) </w:t>
            </w:r>
            <w:r w:rsidRPr="00FB76A9">
              <w:rPr>
                <w:rFonts w:ascii="Times New Roman" w:hAnsi="Times New Roman" w:cs="Times New Roman"/>
                <w:szCs w:val="24"/>
              </w:rPr>
              <w:tab/>
              <w:t>podpis osoby udzielającej upoważnienia, z podaniem zajmowanego przez nią stanowiska lub pełnionej funkcji;</w:t>
            </w:r>
          </w:p>
          <w:p w14:paraId="18F98C6A"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10) </w:t>
            </w:r>
            <w:r w:rsidRPr="00FB76A9">
              <w:rPr>
                <w:rFonts w:ascii="Times New Roman" w:hAnsi="Times New Roman" w:cs="Times New Roman"/>
                <w:szCs w:val="24"/>
              </w:rPr>
              <w:tab/>
              <w:t>pouczenie o prawach i obowiązkach podmiotu gospodarczego lub posiadacza pojazdu, przedmiotu wyposażenia lub części.</w:t>
            </w:r>
          </w:p>
          <w:p w14:paraId="388C6D57"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w:t>
            </w:r>
            <w:r w:rsidRPr="00FB76A9">
              <w:rPr>
                <w:rFonts w:ascii="Times New Roman" w:hAnsi="Times New Roman" w:cs="Times New Roman"/>
                <w:szCs w:val="24"/>
              </w:rPr>
              <w:tab/>
              <w:t>Kontrolujący podlega przepisom bezpieczeństwa i higieny pracy obowiązującym w miejscu przeprowadzania kontroli.</w:t>
            </w:r>
          </w:p>
          <w:p w14:paraId="7E4B6A3C"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6. Kontrolujący nie podlega przeszukaniu przewidzianemu w wewnętrznych regulaminach podmiotu gospodarczego lub posiadacza pojazdu, przedmiotu wyposażenia lub części niebędącego użytkownikiem końcowym, u którego wykonuje czynności kontrolne, o których mowa w art. 68za ust. 1.</w:t>
            </w:r>
          </w:p>
          <w:p w14:paraId="2E377283" w14:textId="77777777" w:rsidR="00C076E7" w:rsidRPr="00FB76A9" w:rsidRDefault="00C076E7" w:rsidP="00FD5CD5">
            <w:pPr>
              <w:pStyle w:val="USTustnpkodeksu"/>
              <w:spacing w:line="240" w:lineRule="auto"/>
              <w:ind w:left="510"/>
              <w:jc w:val="left"/>
              <w:rPr>
                <w:rFonts w:ascii="Times New Roman" w:hAnsi="Times New Roman" w:cs="Times New Roman"/>
                <w:szCs w:val="24"/>
              </w:rPr>
            </w:pPr>
            <w:r w:rsidRPr="00FB76A9">
              <w:rPr>
                <w:rFonts w:ascii="Times New Roman" w:hAnsi="Times New Roman" w:cs="Times New Roman"/>
                <w:szCs w:val="24"/>
              </w:rPr>
              <w:lastRenderedPageBreak/>
              <w:t>Art.</w:t>
            </w:r>
            <w:r w:rsidRPr="00FB76A9">
              <w:rPr>
                <w:rStyle w:val="Ppogrubienie"/>
                <w:rFonts w:ascii="Times New Roman" w:hAnsi="Times New Roman" w:cs="Times New Roman"/>
                <w:szCs w:val="24"/>
              </w:rPr>
              <w:t xml:space="preserve"> </w:t>
            </w:r>
            <w:r w:rsidRPr="00FB76A9">
              <w:rPr>
                <w:rFonts w:ascii="Times New Roman" w:hAnsi="Times New Roman" w:cs="Times New Roman"/>
                <w:szCs w:val="24"/>
              </w:rPr>
              <w:t>68zc. 1. Ustalenia kontroli zamieszcza się w protokole kontroli.</w:t>
            </w:r>
          </w:p>
          <w:p w14:paraId="2030E907" w14:textId="77777777" w:rsidR="00C076E7" w:rsidRPr="00FB76A9" w:rsidRDefault="00C076E7"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2. Protokół kontroli zawiera:</w:t>
            </w:r>
          </w:p>
          <w:p w14:paraId="0F68786E"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 xml:space="preserve">oznaczenie podmiotu gospodarczego lub posiadacza pojazdu, przedmiotu wyposażenia lub części niebędącego użytkownikiem końcowym, u którego przeprowadzona została kontrola; </w:t>
            </w:r>
          </w:p>
          <w:p w14:paraId="35E0C0FE"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określenie daty rozpoczęcia i zakończenia kontroli;</w:t>
            </w:r>
          </w:p>
          <w:p w14:paraId="0A58B07C"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oznaczenie pojazdu, przedmiotu wyposażenia lub części;</w:t>
            </w:r>
          </w:p>
          <w:p w14:paraId="07774138"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w:t>
            </w:r>
            <w:r w:rsidRPr="00FB76A9">
              <w:rPr>
                <w:rFonts w:ascii="Times New Roman" w:hAnsi="Times New Roman" w:cs="Times New Roman"/>
                <w:szCs w:val="24"/>
              </w:rPr>
              <w:tab/>
              <w:t xml:space="preserve">określenie rodzaju, formy oraz zakresu przedmiotowego kontroli, w tym przeprowadzonych w toku kontroli czynności kontrolnych oraz ich przebiegu; </w:t>
            </w:r>
          </w:p>
          <w:p w14:paraId="050DAF5B"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5) </w:t>
            </w:r>
            <w:r w:rsidRPr="00FB76A9">
              <w:rPr>
                <w:rFonts w:ascii="Times New Roman" w:hAnsi="Times New Roman" w:cs="Times New Roman"/>
                <w:szCs w:val="24"/>
              </w:rPr>
              <w:tab/>
              <w:t>opis stanu faktycznego ustalonego w toku kontroli;</w:t>
            </w:r>
          </w:p>
          <w:p w14:paraId="790CD766"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6)</w:t>
            </w:r>
            <w:r w:rsidRPr="00FB76A9">
              <w:rPr>
                <w:rFonts w:ascii="Times New Roman" w:hAnsi="Times New Roman" w:cs="Times New Roman"/>
                <w:szCs w:val="24"/>
              </w:rPr>
              <w:tab/>
              <w:t>wykaz załączników;</w:t>
            </w:r>
          </w:p>
          <w:p w14:paraId="7CB05DBC"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7)</w:t>
            </w:r>
            <w:r w:rsidRPr="00FB76A9">
              <w:rPr>
                <w:rFonts w:ascii="Times New Roman" w:hAnsi="Times New Roman" w:cs="Times New Roman"/>
                <w:szCs w:val="24"/>
              </w:rPr>
              <w:tab/>
              <w:t>pouczenie podmiotu gospodarczego lub posiadacza pojazdu, przedmiotu wyposażenia lub części, niebędącego użytkownikiem końcowym, o prawie zgłaszania zastrzeżeń do protokołu;</w:t>
            </w:r>
          </w:p>
          <w:p w14:paraId="1508F4E7"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9) </w:t>
            </w:r>
            <w:r w:rsidRPr="00FB76A9">
              <w:rPr>
                <w:rFonts w:ascii="Times New Roman" w:hAnsi="Times New Roman" w:cs="Times New Roman"/>
                <w:szCs w:val="24"/>
              </w:rPr>
              <w:tab/>
              <w:t>podpis osoby udzielającej upoważnienia, z podaniem zajmowanego przez nią stanowiska lub pełnionej funkcji;</w:t>
            </w:r>
          </w:p>
          <w:p w14:paraId="13A80249"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10)</w:t>
            </w:r>
            <w:r w:rsidRPr="00FB76A9">
              <w:rPr>
                <w:rFonts w:ascii="Times New Roman" w:hAnsi="Times New Roman" w:cs="Times New Roman"/>
                <w:szCs w:val="24"/>
              </w:rPr>
              <w:tab/>
              <w:t>imię, nazwisko i stanowisko służbowe kontrolującego.</w:t>
            </w:r>
          </w:p>
          <w:p w14:paraId="2F6C5F1F"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Protokół kontroli podpisuje kontrolujący.</w:t>
            </w:r>
          </w:p>
          <w:p w14:paraId="6B89EF5E" w14:textId="77777777" w:rsidR="00C076E7" w:rsidRPr="00FB76A9" w:rsidRDefault="00C076E7"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4. Protokół kontroli:</w:t>
            </w:r>
          </w:p>
          <w:p w14:paraId="25B0D173" w14:textId="77777777" w:rsidR="00C076E7" w:rsidRPr="00FB76A9" w:rsidRDefault="00C076E7" w:rsidP="00FD5CD5">
            <w:pPr>
              <w:pStyle w:val="ZPKTzmpk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doręcza się:</w:t>
            </w:r>
          </w:p>
          <w:p w14:paraId="0B5FFCA0" w14:textId="77777777" w:rsidR="00C076E7" w:rsidRPr="00FB76A9" w:rsidRDefault="00C076E7" w:rsidP="00FD5CD5">
            <w:pPr>
              <w:pStyle w:val="ZLITzmlitartykuempunktem"/>
              <w:spacing w:line="240" w:lineRule="auto"/>
              <w:ind w:left="1418"/>
              <w:jc w:val="left"/>
              <w:rPr>
                <w:rFonts w:ascii="Times New Roman" w:hAnsi="Times New Roman" w:cs="Times New Roman"/>
                <w:szCs w:val="24"/>
              </w:rPr>
            </w:pPr>
            <w:r w:rsidRPr="00FB76A9">
              <w:rPr>
                <w:rFonts w:ascii="Times New Roman" w:hAnsi="Times New Roman" w:cs="Times New Roman"/>
                <w:szCs w:val="24"/>
              </w:rPr>
              <w:t>a)</w:t>
            </w:r>
            <w:r w:rsidRPr="00FB76A9">
              <w:rPr>
                <w:rFonts w:ascii="Times New Roman" w:hAnsi="Times New Roman" w:cs="Times New Roman"/>
                <w:szCs w:val="24"/>
              </w:rPr>
              <w:tab/>
              <w:t>posiadaczowi pojazdu, przedmiotu wyposażenia lub części niebędącego użytkownikiem końcowym, lub osobie przez niego upoważnionej – bez załączników,</w:t>
            </w:r>
          </w:p>
          <w:p w14:paraId="7C6B436A" w14:textId="77777777" w:rsidR="00C076E7" w:rsidRPr="00FB76A9" w:rsidRDefault="00C076E7" w:rsidP="00FD5CD5">
            <w:pPr>
              <w:pStyle w:val="ZLITzmlitartykuempunktem"/>
              <w:spacing w:line="240" w:lineRule="auto"/>
              <w:ind w:left="1418"/>
              <w:jc w:val="left"/>
              <w:rPr>
                <w:rFonts w:ascii="Times New Roman" w:hAnsi="Times New Roman" w:cs="Times New Roman"/>
                <w:szCs w:val="24"/>
              </w:rPr>
            </w:pPr>
            <w:r w:rsidRPr="00FB76A9">
              <w:rPr>
                <w:rFonts w:ascii="Times New Roman" w:hAnsi="Times New Roman" w:cs="Times New Roman"/>
                <w:szCs w:val="24"/>
              </w:rPr>
              <w:t>b)</w:t>
            </w:r>
            <w:r w:rsidRPr="00FB76A9">
              <w:rPr>
                <w:rFonts w:ascii="Times New Roman" w:hAnsi="Times New Roman" w:cs="Times New Roman"/>
                <w:szCs w:val="24"/>
              </w:rPr>
              <w:tab/>
              <w:t>podmiotowi gospodarczemu – wraz z załącznikami;</w:t>
            </w:r>
          </w:p>
          <w:p w14:paraId="3A0629AD"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pozostawia się w aktach sprawy – wraz z załącznikami.</w:t>
            </w:r>
          </w:p>
          <w:p w14:paraId="1979A88B"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Podmiot gospodarczy oraz posiadacz pojazdu, przedmiotu wyposażenia lub części niebędący użytkownikiem końcowym, może zgłosić zastrzeżenia do protokołu kontroli w terminie 10 dni roboczych od dnia doręczenia protokołu.</w:t>
            </w:r>
          </w:p>
          <w:p w14:paraId="6B43960A"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6. Dyrektor TDT jako organ nadzoru rynku przedstawia stanowisko do zastrzeżeń zgłoszonych do protokołu kontroli, nie później niż w terminie 10 dni roboczych od dnia ich doręczenia.</w:t>
            </w:r>
          </w:p>
          <w:p w14:paraId="1ADFEAA8"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7. Kontrolujący z urzędu lub na wniosek podmiotu gospodarczego lub posiadacza pojazdu, przedmiotu wyposażenia lub części niebędącego użytkownikiem końcowym, może prostować w protokole kontroli, błędy pisarskie i rachunkowe lub inne oczywiste pomyłki.</w:t>
            </w:r>
          </w:p>
          <w:p w14:paraId="1B39ED99" w14:textId="77777777" w:rsidR="00C076E7" w:rsidRPr="00FB76A9" w:rsidRDefault="00C076E7" w:rsidP="00FD5CD5">
            <w:pPr>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Art. 68zd. 1 Dyrektor TDT jako organ nadzoru rynku może zwrócić się do właściwego ze względu na miejsce </w:t>
            </w:r>
            <w:r w:rsidRPr="00FB76A9">
              <w:rPr>
                <w:rFonts w:ascii="Times New Roman" w:eastAsiaTheme="minorEastAsia" w:hAnsi="Times New Roman" w:cs="Times New Roman"/>
                <w:sz w:val="24"/>
                <w:szCs w:val="24"/>
                <w:lang w:eastAsia="pl-PL"/>
              </w:rPr>
              <w:lastRenderedPageBreak/>
              <w:t>prowadzenia kontroli, komendanta Policji, zwanego dalej „właściwym miejscowo komendantem Policji”, o udzielenie pomocy, jeżeli istnieje uzasadnione przypuszczenie, że w toku kontroli Dyrektor TDT jako organ nadzoru rynku natrafi na opór, który utrudni lub uniemożliwi mu wykonywanie kontroli.</w:t>
            </w:r>
          </w:p>
          <w:p w14:paraId="185CD3C3"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Właściwy miejscowo komendant Policji</w:t>
            </w:r>
            <w:r w:rsidRPr="00FB76A9" w:rsidDel="00962D3D">
              <w:rPr>
                <w:rFonts w:ascii="Times New Roman" w:hAnsi="Times New Roman" w:cs="Times New Roman"/>
                <w:szCs w:val="24"/>
              </w:rPr>
              <w:t xml:space="preserve"> </w:t>
            </w:r>
            <w:r w:rsidRPr="00FB76A9">
              <w:rPr>
                <w:rFonts w:ascii="Times New Roman" w:hAnsi="Times New Roman" w:cs="Times New Roman"/>
                <w:szCs w:val="24"/>
              </w:rPr>
              <w:t xml:space="preserve">zapewnia pomoc w przeprowadzeniu kontroli. </w:t>
            </w:r>
          </w:p>
          <w:p w14:paraId="3C3496C3"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Pomoc udzielana przez Policję polega na zapewnieniu porządku w miejscu przeprowadzania kontroli i osobistego bezpieczeństwa osób obecnych w tym miejscu, a także na ustaleniu tożsamości tych osób.</w:t>
            </w:r>
          </w:p>
          <w:p w14:paraId="48889626"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Dyrektor TDT jako organ nadzoru rynku występuje z pisemnym wnioskiem o udzielenie pomocy do komendanta Policji właściwego ze względu na miejsce kontroli, co najmniej 7 dni przed planowanym dniem przeprowadzenia kontroli.</w:t>
            </w:r>
          </w:p>
          <w:p w14:paraId="3AF50B71"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W przypadkach niecierpiących zwłoki Dyrektor TDT jako organ nadzoru rynku występuje z wnioskiem, o którym mowa w ust 4, co najmniej 3 dni przed planowanym dniem przeprowadzenia kontroli.</w:t>
            </w:r>
          </w:p>
          <w:p w14:paraId="65C4CD82"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6. Jeżeli istnieje poważne zagrożenie dla życia, zdrowia ludzkiego lub bezpieczeństwa i porządku publicznego w miejscu przeprowadzania kontroli albo uzasadnione podejrzenie wystąpienia takiego zagrożenia, </w:t>
            </w:r>
            <w:r w:rsidRPr="00FB76A9">
              <w:rPr>
                <w:rFonts w:ascii="Times New Roman" w:hAnsi="Times New Roman" w:cs="Times New Roman"/>
                <w:szCs w:val="24"/>
              </w:rPr>
              <w:lastRenderedPageBreak/>
              <w:t xml:space="preserve">albo w toku wykonywania kontroli kontrolujący natrafił na opór, który utrudnia lub uniemożliwia mu wykonywanie kontroli, wniosek, o którym mowa w ust. 4, może być złożony ustnie przez kontrolującego w imieniu Dyrektora TDT jako organu nadzoru rynku, bez zachowania określonego terminu, po okazaniu upoważnienia do przeprowadzenia kontroli oraz legitymacji służbowej kontrolującego. </w:t>
            </w:r>
          </w:p>
          <w:p w14:paraId="4A0CDDCD"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7. W przypadku, o którym mowa w ust. 6, Dyrektor TDT jako organ nadzoru rynku, nie później niż w terminie 3 dni od dnia zakończenia kontroli, przekazuje na piśmie potwierdzenie złożonego ustnie wniosku.</w:t>
            </w:r>
          </w:p>
          <w:p w14:paraId="6AA5D8B0"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8. Koszty poniesione przez Policję z tytułu udzielonej pomocy w przeprowadzeniu kontroli ponosi podmiot gospodarczy lub posiadacz pojazdu, przedmiotu wyposażenia lub części, niebędący użytkownikiem końcowym, u którego przeprowadzana jest kontrola.</w:t>
            </w:r>
          </w:p>
          <w:p w14:paraId="7776C242"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9. Koszty pomocy udzielonej przez właściwego miejscowo komendanta Policji ustala się w wysokości rzeczywistych wydatków poniesionych na udzielenie pomocy.</w:t>
            </w:r>
          </w:p>
          <w:p w14:paraId="22075484"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10. W przypadku, gdy zwrócenie się o pomoc do właściwego miejscowo komendanta Policji było bezzasadne, koszty udzielonej pomocy ponosi Dyrektor TDT jako organ nadzoru rynku.</w:t>
            </w:r>
          </w:p>
          <w:p w14:paraId="0E420D38"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11. Dyrektor TDT jako organ nadzoru rynku, w drodze decyzji administracyjnej, obciąża podmiot gospodarczy lub posiadacza pojazdu, przedmiotu wyposażenia lub części niebędącego użytkownikiem końcowym, u którego przeprowadzana była kontrola,</w:t>
            </w:r>
            <w:r w:rsidRPr="00FB76A9" w:rsidDel="00714083">
              <w:rPr>
                <w:rFonts w:ascii="Times New Roman" w:hAnsi="Times New Roman" w:cs="Times New Roman"/>
                <w:szCs w:val="24"/>
              </w:rPr>
              <w:t xml:space="preserve"> </w:t>
            </w:r>
            <w:r w:rsidRPr="00FB76A9">
              <w:rPr>
                <w:rFonts w:ascii="Times New Roman" w:hAnsi="Times New Roman" w:cs="Times New Roman"/>
                <w:szCs w:val="24"/>
              </w:rPr>
              <w:t>kosztami pomocy udzielonej przez właściwego miejscowo komendanta Policji określając termin ich uiszczenia.</w:t>
            </w:r>
          </w:p>
          <w:p w14:paraId="1701D8D7" w14:textId="77777777" w:rsidR="00C076E7" w:rsidRPr="00FB76A9" w:rsidRDefault="00C076E7"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68ze. 1. Dyrektor TDT jako organ nadzoru rynku w ramach kontroli laboratoryjnej poddaje badaniom pojazdy, przedmioty wyposażenia lub części lub zleca przeprowadzenie tych badań w laboratoriach, o których mowa w art. 68zi, w celu stwierdzenia czy te pojazdy, przedmioty wyposażenia lub części spełniają wymagania techniczne lub stwarzają poważne ryzyko.</w:t>
            </w:r>
          </w:p>
          <w:p w14:paraId="3CE86C20"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 celu poddania pojazdu, przedmiotu wyposażenia lub części badaniom w ramach kontroli laboratoryjnej, o której mowa w ust. 1, Dyrektor TDT jako organ nadzoru rynku pobiera nieodpłatnie pojazdy, przedmioty wyposażenia lub części </w:t>
            </w:r>
            <w:r w:rsidRPr="00FB76A9">
              <w:rPr>
                <w:rFonts w:ascii="Times New Roman" w:hAnsi="Times New Roman" w:cs="Times New Roman"/>
                <w:szCs w:val="24"/>
              </w:rPr>
              <w:tab/>
              <w:t>nej do przeprowadzenia tych badań.</w:t>
            </w:r>
          </w:p>
          <w:p w14:paraId="3B88CE0F"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 celu poddania pojazdu, przedmiotu wyposażenia lub części oferowanych do sprzedaży na odległość, badaniom w ramach kontroli laboratoryjnej, o której mowa w ust. 1, Dyrektor TDT jako organ nadzoru rynku pobiera nieodpłatnie pojazdy przedmioty wyposażenia lub części lub dokonuje ich </w:t>
            </w:r>
            <w:r w:rsidRPr="00FB76A9">
              <w:rPr>
                <w:rFonts w:ascii="Times New Roman" w:hAnsi="Times New Roman" w:cs="Times New Roman"/>
                <w:szCs w:val="24"/>
              </w:rPr>
              <w:lastRenderedPageBreak/>
              <w:t>zakupu, w liczbie niezbędnej do przeprowadzenia tych badań, z uwzględnieniem przepisów art. 68zg.</w:t>
            </w:r>
          </w:p>
          <w:p w14:paraId="0A55E567"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Z badań pojazdu, przedmiotu wyposażenia lub części w ramach kontroli laboratoryjnej, o której mowa w ust. 1, sporządza się sprawozdanie. </w:t>
            </w:r>
          </w:p>
          <w:p w14:paraId="1C4E4CA1"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Koszty badań w ramach kontroli laboratoryjnej, o której mowa w ust. 1, ponosi Dyrektor TDT jako organ nadzoru rynku i pokrywa je z opłaty, o której mowa w art. 68zu ust.1.</w:t>
            </w:r>
          </w:p>
          <w:p w14:paraId="02DE7669"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6. Do kosztów badań w ramach kontroli laboratoryjnej, o której mowa w ust. 1, zalicza się koszty przeprowadzenia tych badań, koszty transportu do laboratorium oraz koszty przechowywania pojazdu, przedmiotu wyposażenia lub części objętego badaniami.</w:t>
            </w:r>
          </w:p>
          <w:p w14:paraId="2B715D48"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7. Dyrektor TDT jako organ nadzoru rynku wraz z pobraniem pojazdu, przedmiotu wyposażenia lub części pobiera i zabezpiecza, o ile jest to możliwe, dodatkowy pojazd, przedmiot wyposażenia lub część w liczbie odpowiadającej liczbie pobranej do badań w ramach kontroli laboratoryjnej, o której mowa w ust. 1, zwany dalej „próbką kontrolną”.</w:t>
            </w:r>
          </w:p>
          <w:p w14:paraId="37146368"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8. Podmiot gospodarczy lub posiadacz pojazdu, przedmiotu wyposażenia lub części niebędący użytkownikiem końcowym, jest obowiązany przechowywać próbkę kontrolną w warunkach uniemożliwiających zmianę jakości lub cech charakterystycznych tego </w:t>
            </w:r>
            <w:r w:rsidRPr="00FB76A9">
              <w:rPr>
                <w:rFonts w:ascii="Times New Roman" w:hAnsi="Times New Roman" w:cs="Times New Roman"/>
                <w:szCs w:val="24"/>
              </w:rPr>
              <w:lastRenderedPageBreak/>
              <w:t>pojazdu, przedmiotu wyposażenia lub części, do czasu zwolnienia z tego obowiązku przez Dyrektora TDT jako organu nadzoru rynku.</w:t>
            </w:r>
          </w:p>
          <w:p w14:paraId="24366BDE"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9. Badanie próbki kontrolnej w ramach kontroli laboratoryjnej, o której mowa w ust. 1, przeprowadza Dyrektor TDT jako organ nadzoru rynku z urzędu albo na wniosek podmiotu gospodarczego, o którym mowa w art. 68zc ust. 4 pkt 1 lit. b. </w:t>
            </w:r>
          </w:p>
          <w:p w14:paraId="56D4EA61"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10. W przypadku, gdy podmiot gospodarczy złożył wniosek, o którym mowa w ust. 9, koszty badania próbki kontrolnej w ramach kontroli laboratoryjnej, o której mowa w ust. 1, ponosi ten podmiot gospodarczy, w wysokości i terminie określonym w drodze decyzji administracyjnej wydanej przez Dyrektora TDT jako organu nadzoru rynku.</w:t>
            </w:r>
          </w:p>
          <w:p w14:paraId="4130770F"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11. W przypadku, gdy badanie próbki kontrolnej w ramach kontroli laboratoryjnej, o której mowa w ust. 1, zostało przeprowadzone przez Dyrektora TDT jako organ nadzoru rynku z urzędu, koszty tego badania ponosi Dyrektor TDT jako organ nadzoru rynku i pokrywa je z opłaty, o której mowa w art. 68zu ust. 1.</w:t>
            </w:r>
          </w:p>
          <w:p w14:paraId="7B5462E5"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12. Z badań próbki kontrolnej w ramach kontroli laboratoryjnej, o której mowa w ust. 1, sporządza się sprawozdanie.</w:t>
            </w:r>
          </w:p>
          <w:p w14:paraId="6F62F355" w14:textId="77777777" w:rsidR="00C076E7" w:rsidRPr="00FB76A9" w:rsidRDefault="00C076E7"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68zf. 1. W przypadku gdy przedmiotem kontroli, o której mowa w art. 68y ust. 1, są pojazdy, przedmioty wyposażenia oraz części oferowane do </w:t>
            </w:r>
            <w:r w:rsidRPr="00FB76A9">
              <w:rPr>
                <w:rFonts w:ascii="Times New Roman" w:hAnsi="Times New Roman" w:cs="Times New Roman"/>
                <w:szCs w:val="24"/>
              </w:rPr>
              <w:lastRenderedPageBreak/>
              <w:t xml:space="preserve">sprzedaży na odległość, kontrola lub poszczególne czynności kontrolne mogą być przeprowadzone w sposób zdalny za pośrednictwem operatora pocztowego w rozumieniu ustawy z dnia 23 listopada 2012 r. – Prawo pocztowe (Dz. U. </w:t>
            </w:r>
            <w:r w:rsidR="00FA7954">
              <w:rPr>
                <w:rFonts w:ascii="Times New Roman" w:hAnsi="Times New Roman" w:cs="Times New Roman"/>
                <w:szCs w:val="24"/>
              </w:rPr>
              <w:t xml:space="preserve">z </w:t>
            </w:r>
            <w:r w:rsidR="00FA7954" w:rsidRPr="00FB76A9">
              <w:rPr>
                <w:rFonts w:ascii="Times New Roman" w:hAnsi="Times New Roman" w:cs="Times New Roman"/>
                <w:szCs w:val="24"/>
              </w:rPr>
              <w:t>202</w:t>
            </w:r>
            <w:r w:rsidR="00FA7954">
              <w:rPr>
                <w:rFonts w:ascii="Times New Roman" w:hAnsi="Times New Roman" w:cs="Times New Roman"/>
                <w:szCs w:val="24"/>
              </w:rPr>
              <w:t>6</w:t>
            </w:r>
            <w:r w:rsidR="00FA7954" w:rsidRPr="00FB76A9">
              <w:rPr>
                <w:rFonts w:ascii="Times New Roman" w:hAnsi="Times New Roman" w:cs="Times New Roman"/>
                <w:szCs w:val="24"/>
              </w:rPr>
              <w:t xml:space="preserve"> r. poz. </w:t>
            </w:r>
            <w:r w:rsidR="00FA7954">
              <w:rPr>
                <w:rFonts w:ascii="Times New Roman" w:hAnsi="Times New Roman" w:cs="Times New Roman"/>
                <w:szCs w:val="24"/>
              </w:rPr>
              <w:t>558</w:t>
            </w:r>
            <w:r w:rsidRPr="00FB76A9">
              <w:rPr>
                <w:rFonts w:ascii="Times New Roman" w:hAnsi="Times New Roman" w:cs="Times New Roman"/>
                <w:szCs w:val="24"/>
              </w:rPr>
              <w:t>) lub za pomocą środków komunikacji elektronicznej w rozumieniu art. 2 pkt 5 ustawy z dnia 18 lipca 2002 r. o świadczeniu usług drogą elektroniczną (Dz. U. z 2024 r. poz. 1513).</w:t>
            </w:r>
          </w:p>
          <w:p w14:paraId="421E05BB"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Zgoda podmiotu gospodarczego lub posiadacza pojazdu, przedmiotu wyposażenia lub części, niebędącego użytkownikiem końcowym, o której mowa w art. 51 ust. 3a ustawy z dnia 6 marca 2018 r. – Prawo przedsiębiorców, nie jest wymagana w przypadku, gdy kontrola jest prowadzona zgodnie z przepisami niniejszego artykułu.</w:t>
            </w:r>
          </w:p>
          <w:p w14:paraId="14CEA889"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Upoważnienie do przeprowadzenia kontroli w sposób zdalny oraz legitymacja służbowa są okazywane podmiotowi gospodarczemu lub posiadaczowi pojazdu, przedmiotu wyposażenia lub części niebędącemu użytkownikiem końcowym przed podjęciem czynności kontrolnych.</w:t>
            </w:r>
          </w:p>
          <w:p w14:paraId="57243BD4"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W przypadku gdy co najmniej dwie próby nawiązania kontaktu z podmiotem gospodarczym lub posiadaczem pojazdu, przedmiotu wyposażenia lub części, niebędącym użytkownikiem końcowym za pomocą środków komunikacji elektronicznej </w:t>
            </w:r>
            <w:r w:rsidRPr="00FB76A9">
              <w:rPr>
                <w:rFonts w:ascii="Times New Roman" w:hAnsi="Times New Roman" w:cs="Times New Roman"/>
                <w:szCs w:val="24"/>
              </w:rPr>
              <w:lastRenderedPageBreak/>
              <w:t>okażą się nieskuteczne albo z innych powodów nie ma możliwości wypełnienia obowiązku, o którym mowa w art. 68zb ust. 3, upoważnienie do przeprowadzenia kontroli w sposób zdalny doręcza się za pośrednictwem operatora pocztowego, wraz z informacją, że legitymacja zostanie okazana podmiotowi gospodarczemu lub posiadaczowi pojazdu, przedmiotu wyposażenia lub części, niebędącego użytkownikiem końcowym na jego żądanie, w siedzibie Dyrektora TDT jako organu nadzoru rynku.</w:t>
            </w:r>
          </w:p>
          <w:p w14:paraId="2418065D"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Dyrektor TDT jako organ nadzoru rynku może żądać od podmiotu gospodarczego lub posiadacza pojazdu, przedmiotu wyposażenia lub części niebędącego użytkownikiem końcowym, który oferuje pojazdy, przedmioty wyposażenia oraz części do sprzedaży na odległość, nieodpłatnego udostępnienia tego pojazdu, przedmiotu wyposażenia lub części, w liczbie niezbędnej do przeprowadzenia kontroli fizycznej lub kontroli laboratoryjnej, w celu ustalenia czy pojazd, przedmiot wyposażenia oraz część są zgodne z wymaganiami technicznymi i nie stwarzają poważnego ryzyka, przy czym koszty transportu pokrywa Dyrektor TDT jako organ nadzoru rynku z opłaty, o której mowa w art. 68zu ust. 1.</w:t>
            </w:r>
          </w:p>
          <w:p w14:paraId="48B8E92A"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6. Podmiot gospodarczy lub posiadacz pojazdu, przedmiotu wyposażenia lub części niebędący użytkownikiem końcowym, ma obowiązek dołożenia należytych starań, aby zabezpieczyć pojazd, przedmiot wyposażenia oraz część na czas transportu w sposób uniemożliwiający zmianę jakości lub cech charakterystycznych pojazdu, przedmiotu wyposażenia lub części.</w:t>
            </w:r>
          </w:p>
          <w:p w14:paraId="78D5BFC1"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7. Przebieg kontroli prowadzonej w sposób zdalny jest utrwalany za pośrednictwem urządzenia rejestrującego obraz lub dźwięk, w zależności od formy przeprowadzenia czynności kontrolnych na odległość.</w:t>
            </w:r>
          </w:p>
          <w:p w14:paraId="3B2A449A"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8. Obraz lub dźwięk są rejestrowane w sposób umożliwiający identyfikację danych podmiotu gospodarczego lub posiadacza pojazdu, przedmiotu wyposażenia lub części, niebędącego użytkownikiem końcowym, oraz nieodpłatnie dostarczonego pojazdu, przedmiotu wyposażenia lub części.</w:t>
            </w:r>
          </w:p>
          <w:p w14:paraId="5F969A97" w14:textId="77777777" w:rsidR="00C076E7" w:rsidRPr="00FB76A9" w:rsidRDefault="00C076E7"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9. W celu identyfikacji podmiotu gospodarczego lub posiadacza pojazdu, przedmiotu wyposażenia lub części niebędącego użytkownikiem końcowym, gromadzone są dane:</w:t>
            </w:r>
          </w:p>
          <w:p w14:paraId="2FB57A1C"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nazwa lub firma albo imię i nazwisko;</w:t>
            </w:r>
          </w:p>
          <w:p w14:paraId="601A432F"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adres prowadzenia działalności i adres siedziby;</w:t>
            </w:r>
          </w:p>
          <w:p w14:paraId="6A90590F"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 xml:space="preserve">adres strony internetowej i adres poczty elektronicznej – w przypadku gdy </w:t>
            </w:r>
            <w:r w:rsidRPr="00FB76A9">
              <w:rPr>
                <w:rFonts w:ascii="Times New Roman" w:hAnsi="Times New Roman" w:cs="Times New Roman"/>
                <w:szCs w:val="24"/>
              </w:rPr>
              <w:lastRenderedPageBreak/>
              <w:t>kontrola zdalna jest dokonywana za pośrednictwem tej strony;</w:t>
            </w:r>
          </w:p>
          <w:p w14:paraId="3EB57F5F"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4)</w:t>
            </w:r>
            <w:r w:rsidRPr="00FB76A9">
              <w:rPr>
                <w:rFonts w:ascii="Times New Roman" w:hAnsi="Times New Roman" w:cs="Times New Roman"/>
                <w:szCs w:val="24"/>
              </w:rPr>
              <w:tab/>
              <w:t>numer telefonu – w przypadku gdy kontrola zdalna jest dokonywana za pośrednictwem tego urządzenia;</w:t>
            </w:r>
          </w:p>
          <w:p w14:paraId="53E44111"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5)</w:t>
            </w:r>
            <w:r w:rsidRPr="00FB76A9">
              <w:rPr>
                <w:rFonts w:ascii="Times New Roman" w:hAnsi="Times New Roman" w:cs="Times New Roman"/>
                <w:szCs w:val="24"/>
              </w:rPr>
              <w:tab/>
              <w:t>identyfikator podmiotu gospodarczego lub posiadacza pojazdu, przedmiotu wyposażenia lub części niebędącego użytkownikiem końcowym, w innych środkach komunikacji na odległość, za pośrednictwem których dokonywana jest kontrola zdalna.</w:t>
            </w:r>
          </w:p>
          <w:p w14:paraId="76A1160B"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10. Utrwalony obraz lub dźwięk stanowią załącznik do protokołu kontroli, o którym mowa w art. 68zc ust. 1.</w:t>
            </w:r>
          </w:p>
          <w:p w14:paraId="1CD7A147"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11. Pojazd, przedmiot wyposażenia lub część pozyskane podczas kontroli prowadzonej w sposób zdalny są poddawane kontroli fizycznej lub kontroli laboratoryjnej.</w:t>
            </w:r>
          </w:p>
          <w:p w14:paraId="1752EF3F" w14:textId="77777777" w:rsidR="00C076E7" w:rsidRPr="00FB76A9" w:rsidRDefault="00C076E7"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12. Jeżeli kontrolujący stwierdzi, że:</w:t>
            </w:r>
          </w:p>
          <w:p w14:paraId="63B0FE2E"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otrzymał pojazd, przedmiot wyposażenia lub część zgodnie z żądaniem, o którym mowa w ust. 5 oraz</w:t>
            </w:r>
          </w:p>
          <w:p w14:paraId="181410B1" w14:textId="77777777" w:rsidR="00C076E7" w:rsidRPr="00FB76A9" w:rsidRDefault="00C076E7" w:rsidP="00FD5CD5">
            <w:pPr>
              <w:pStyle w:val="ZPKTzmpk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stan pojazdu, przedmiotu wyposażenia lub części umożliwiają poddanie go kontroli fizycznej lub kontroli laboratoryjnej</w:t>
            </w:r>
          </w:p>
          <w:p w14:paraId="54D111F1" w14:textId="77777777" w:rsidR="00C076E7" w:rsidRPr="00FB76A9" w:rsidRDefault="00C076E7" w:rsidP="00FD5CD5">
            <w:pPr>
              <w:pStyle w:val="ZCZWSPPKTzmczciwsp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kwalifikuje ten pojazd, przedmiot wyposażenia lub część jako próbkę.</w:t>
            </w:r>
          </w:p>
          <w:p w14:paraId="73AA3ADE" w14:textId="77777777" w:rsidR="00C076E7" w:rsidRPr="00FB76A9" w:rsidRDefault="00C076E7"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13. Jeżeli kontrolujący stwierdzi, że pojazd, przedmiot wyposażenia lub część nie spełniają warunków określonych w ust. 12 </w:t>
            </w:r>
            <w:r w:rsidRPr="00FB76A9">
              <w:rPr>
                <w:rFonts w:ascii="Times New Roman" w:hAnsi="Times New Roman" w:cs="Times New Roman"/>
                <w:szCs w:val="24"/>
              </w:rPr>
              <w:lastRenderedPageBreak/>
              <w:t>pkt 2, nie kwalifikuje tego pojazdu, przedmiotu wyposażenia lub części  jako próbki i ponownie zwraca się do podmiotu gospodarczego lub posiadacza pojazdu, przedmiotu wyposażenia lub części, niebędącego użytkownikiem końcowym, z żądaniem, o którym mowa w ust. 5.</w:t>
            </w:r>
          </w:p>
          <w:p w14:paraId="64A13B33"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14. Dyrektor TDT jako organ nadzoru rynku poddaje próbkę pojazdu, przedmiotu wyposażenia lub część kontroli fizycznej, kontroli laboratoryjnej lub zleca przeprowadzenie badań tej próbki w ramach kontroli laboratoryjnej w laboratorium, o którym mowa w art. 68zi.</w:t>
            </w:r>
          </w:p>
          <w:p w14:paraId="18690ABE"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15. Z badań w ramach kontroli laboratoryjnej, o których mowa w ust. 14, jest sporządzane sprawozdanie z badań.</w:t>
            </w:r>
          </w:p>
          <w:p w14:paraId="10CDCE21"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16. Do kontroli prowadzonej w sposób zdalny w zakresie nieuregulowanym w niniejszym artykule stosuje się odpowiednio przepisy art. 68y, art. 68za, art. 68zb oraz art. 68zc.</w:t>
            </w:r>
          </w:p>
          <w:p w14:paraId="426976D2"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68zg. 1. Dyrektor TDT jako organ nadzoru rynku może dokonać zakupu kontrolnego poprzez złożenie zamówienia za pośrednictwem operatora pocztowego lub za pomocą środków komunikacji elektronicznej z adresu uniemożliwiającego ustalenie kontrolującego jako organu nadzoru rynku dokonującego zakupu, zwanego dalej „zakupem kontrolnym”, w celu ustalenia czy pojazd, przedmiot wyposażenia lub część są </w:t>
            </w:r>
            <w:r w:rsidRPr="00FB76A9">
              <w:rPr>
                <w:rFonts w:ascii="Times New Roman" w:hAnsi="Times New Roman" w:cs="Times New Roman"/>
                <w:szCs w:val="24"/>
              </w:rPr>
              <w:lastRenderedPageBreak/>
              <w:t>zgodne z wymaganiami technicznymi lub nie stwarzają poważnego ryzyka.</w:t>
            </w:r>
          </w:p>
          <w:p w14:paraId="63001DEB"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Zgoda podmiotu gospodarczego lub posiadacza pojazdu, przedmiotu wyposażenia lub części, niebędącego użytkownikiem końcowym, o której mowa w art. 51 ust. 3a ustawy z dnia 6 marca 2018 r. – Prawo przedsiębiorców, nie jest wymagana w przypadku, gdy kontrola jest prowadzona zgodnie z przepisami niniejszego artykułu.</w:t>
            </w:r>
          </w:p>
          <w:p w14:paraId="1688B317"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Dyrektor TDT jako organ nadzoru rynku dokonuje zakupu kontrolnego pojazdu, przedmiotu wyposażenia oraz części oferowanych do sprzedaży na odległość w liczbie niezbędnej do przeprowadzenia kontroli fizycznej lub kontroli laboratoryjnej.</w:t>
            </w:r>
          </w:p>
          <w:p w14:paraId="154B305B"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W przypadku, gdy Dyrektor TDT jako organ nadzoru rynku dokonuje zakupu kontrolnego, czynność ta rozpoczyna kontrolę.</w:t>
            </w:r>
          </w:p>
          <w:p w14:paraId="008AD2FA" w14:textId="77777777" w:rsidR="00C076E7" w:rsidRPr="00FB76A9" w:rsidRDefault="00C076E7"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5. Jeżeli kontrolujący stwierdzi, że:</w:t>
            </w:r>
          </w:p>
          <w:p w14:paraId="68CC71F9"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otrzymał pojazd, przedmiot wyposażenia lub część pozyskany w ramach zakupu kontrolnego, oraz</w:t>
            </w:r>
          </w:p>
          <w:p w14:paraId="063D3D4C" w14:textId="77777777" w:rsidR="00C076E7" w:rsidRPr="00FB76A9" w:rsidRDefault="00C076E7" w:rsidP="00FD5CD5">
            <w:pPr>
              <w:pStyle w:val="ZPKTzmpk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stan pojazdu, przedmiotu wyposażenia lub części umożliwiają poddanie go kontroli fizycznej lub kontroli laboratoryjnej</w:t>
            </w:r>
          </w:p>
          <w:p w14:paraId="76653165" w14:textId="77777777" w:rsidR="00C076E7" w:rsidRPr="00FB76A9" w:rsidRDefault="00C076E7" w:rsidP="00FD5CD5">
            <w:pPr>
              <w:pStyle w:val="ZCZWSPPKTzmczciwsp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kwalifikuje ten pojazd, przedmiot wyposażenia lub część jako próbkę.</w:t>
            </w:r>
          </w:p>
          <w:p w14:paraId="2324F704" w14:textId="77777777" w:rsidR="00C076E7" w:rsidRPr="00FB76A9" w:rsidRDefault="00C076E7"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6. Jeżeli kontrolujący stwierdzi, że pojazd, przedmiot wyposażenia lub część nie </w:t>
            </w:r>
            <w:r w:rsidRPr="00FB76A9">
              <w:rPr>
                <w:rFonts w:ascii="Times New Roman" w:hAnsi="Times New Roman" w:cs="Times New Roman"/>
                <w:szCs w:val="24"/>
              </w:rPr>
              <w:lastRenderedPageBreak/>
              <w:t>spełniają warunku określonego w ust. 5 pkt 2, nie kwalifikuje ich jako próbki pojazdu, przedmiotu wyposażenia lub części i kończy kontrolę.</w:t>
            </w:r>
          </w:p>
          <w:p w14:paraId="5C2509BA" w14:textId="77777777" w:rsidR="00C076E7" w:rsidRPr="00FB76A9" w:rsidRDefault="00C076E7"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7. W przypadku, gdy pojazd, przedmiot wyposażenia lub część pozyskane w ramach zakupu kontrolnego nie zostaną zakwalifikowane jako próbka pojazdu, przedmiotu wyposażenia lub części, upoważnienie do przeprowadzenia kontroli oraz legitymacja służbowa są okazywane podmiotowi gospodarczemu lub posiadaczowi pojazdu, przedmiotu wyposażenia lub części, niebędącego użytkownikiem końcowym, w terminie 7 dni od dnia sporządzenia protokołu z kontroli.</w:t>
            </w:r>
          </w:p>
          <w:p w14:paraId="13F30408"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8. W przypadku gdy pojazd, przedmiot wyposażenia lub część pozyskane w ramach zakupu kontrolnego zostaną zakwalifikowane jako próbka, upoważnienie do przeprowadzenia kontroli oraz legitymacja służbowa są okazywane podmiotowi gospodarczemu lub posiadaczowi pojazdu, przedmiotu wyposażenia lub części, niebędącego użytkownikiem końcowym,  w terminie 7 dni od dnia sporządzenia protokołu z kontroli lub otrzymania przez Dyrektora TDT jako organ nadzoru rynku sprawozdania z badań  w ramach kontroli laboratoryjnej, o której mowa w art. 68z ust. 1.</w:t>
            </w:r>
          </w:p>
          <w:p w14:paraId="6CEE6A1D"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9. Upoważnienie do przeprowadzenia kontroli rozpoczętej po dokonaniu zakupu </w:t>
            </w:r>
            <w:r w:rsidRPr="00FB76A9">
              <w:rPr>
                <w:rFonts w:ascii="Times New Roman" w:hAnsi="Times New Roman" w:cs="Times New Roman"/>
                <w:szCs w:val="24"/>
              </w:rPr>
              <w:lastRenderedPageBreak/>
              <w:t>kontrolnego, poza danymi wskazanymi w art. 68zb ust. 4 pkt 1-3, 5-8 i 10, zawiera także dane dotyczące kontrolującego, o których mowa w ust. 12.</w:t>
            </w:r>
          </w:p>
          <w:p w14:paraId="1169D81E"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10. Do czasu trwania kontroli nie wlicza się okresu po dokonaniu zakupu kontrolnego, a przed okazaniem podmiotowi gospodarczemu lub posiadaczowi pojazdu, przedmiotu wyposażenia lub części upoważnienia do przeprowadzenia kontroli oraz legitymacji służbowej.</w:t>
            </w:r>
          </w:p>
          <w:p w14:paraId="2494BADC"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11. W celu zapewnienia anonimowości kontrolujący jest uprawniony do posługiwania się innym niż rzeczywiste imieniem i nazwiskiem oraz adresem zamieszkania, a także innym niż służbowy adresem mailowym, którego login nie ujawnia tożsamości kontrolującego.</w:t>
            </w:r>
          </w:p>
          <w:p w14:paraId="78D15A18"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12. Dyrektor TDT jako organ nadzoru rynku prowadzi bazę fikcyjnych imion i nazwisk, adresów zamieszkania oraz adresów mailowych, spośród których losowo jest wybierane imię i nazwisko, adres zamieszkania oraz adres mailowy, o których mowa w ust. 11.</w:t>
            </w:r>
          </w:p>
          <w:p w14:paraId="127A3233"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13. Pojazd, przedmiot wyposażenia lub część pozyskane podczas kontroli prowadzonej poprzez zakup kontrolny, są poddawane kontroli fizycznej.</w:t>
            </w:r>
          </w:p>
          <w:p w14:paraId="74E47C28"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14. Do zakupu kontrolnego, w zakresie nieuregulowanym w niniejszym artykule, stosuje się odpowiednio przepisy art. 68y, art. </w:t>
            </w:r>
            <w:r w:rsidRPr="00FB76A9">
              <w:rPr>
                <w:rFonts w:ascii="Times New Roman" w:hAnsi="Times New Roman" w:cs="Times New Roman"/>
                <w:szCs w:val="24"/>
              </w:rPr>
              <w:lastRenderedPageBreak/>
              <w:t xml:space="preserve">68za, art. 68zb, art. 68zc oraz art. 68zf ust. 7–10, 14 i 15.  </w:t>
            </w:r>
            <w:r w:rsidRPr="00FB76A9">
              <w:rPr>
                <w:rFonts w:ascii="Times New Roman" w:hAnsi="Times New Roman" w:cs="Times New Roman"/>
                <w:szCs w:val="24"/>
              </w:rPr>
              <w:tab/>
            </w:r>
          </w:p>
          <w:p w14:paraId="7C7BFC1F" w14:textId="77777777" w:rsidR="00C076E7" w:rsidRPr="00FB76A9" w:rsidRDefault="00C076E7"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68zh. 1. Dyrektor TDT jako organ nadzoru rynku planuje działania w zakresie nadzoru rynku zgodnie z kryteriami określonymi w art. 1 rozporządzenia wykonawczego Komisji (UE) 2022/163 z dnia 7 lutego 2022 r. ustanawiającego przepisy dotyczące stosowania rozporządzenia Parlamentu Europejskiego i Rady (UE) 2018/858 w odniesieniu do wymogów funkcjonalnych dotyczących nadzoru rynku w zakresie pojazdów, układów, komponentów i oddzielnych zespołów technicznych (Dz. Urz. UE L 27 z 08.02.2022, str. 1) oraz przeprowadza regularne badania laboratoryjne pojazdów, przedmiotów wyposażenia lub części, o których mowa w art. 7 ust. 2 rozporządzenia 167/2013, art. 8 ust. 2 rozporządzenia 168/2013 oraz art. 8 rozporządzenia 2018/858.</w:t>
            </w:r>
          </w:p>
          <w:p w14:paraId="3B841930"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Pojazdy, przedmioty wyposażenia lub części są pobierane nieodpłatnie przez Dyrektora TDT jako organ nadzoru rynku do badań, o których mowa w ust. 1, od podmiotu gospodarczego lub posiadacza pojazdu, przedmiotu wyposażenia lub części, niebędącego użytkownikiem końcowym.</w:t>
            </w:r>
          </w:p>
          <w:p w14:paraId="55C71DE1"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Do pobrania pojazdu, przedmiotu wyposażenia lub części do badań </w:t>
            </w:r>
            <w:r w:rsidRPr="00FB76A9">
              <w:rPr>
                <w:rFonts w:ascii="Times New Roman" w:hAnsi="Times New Roman" w:cs="Times New Roman"/>
                <w:szCs w:val="24"/>
              </w:rPr>
              <w:lastRenderedPageBreak/>
              <w:t>laboratoryjnych, o którym mowa w ust. 1, stosuje się odpowiednio przepisy art. 68zb.</w:t>
            </w:r>
          </w:p>
          <w:p w14:paraId="52D2199A"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Dyrektor TDT jako organ nadzoru rynku przeprowadza kontrolę fizyczną pojazdu, przedmiotu wyposażenia lub części, a następnie poddaje pobrany pojazd, przedmiot wyposażenia lub część, badaniom laboratoryjnym, zlecając ich przeprowadzenie laboratorium badawczemu, o którym mowa w art. 68zi.</w:t>
            </w:r>
          </w:p>
          <w:p w14:paraId="612D131E"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Z badań laboratoryjnych, o których mowa w ust. 4, sporządza się sprawozdanie z badań.</w:t>
            </w:r>
          </w:p>
          <w:p w14:paraId="19434E80"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6. Po przeprowadzeniu badań laboratoryjnych, o których mowa w ust. 4, Dyrektor TDT jako organ nadzoru rynku zwraca podmiotowi gospodarczemu lub posiadaczowi pojazdu, przedmiotu wyposażenia lub części, niebędącego użytkownikiem końcowym, pojazd, przedmiot wyposażenia lub część wraz z protokołem z kontroli oraz ze sprawozdaniem z badań.</w:t>
            </w:r>
          </w:p>
          <w:p w14:paraId="46274DDB" w14:textId="77777777" w:rsidR="00C076E7" w:rsidRPr="00FB76A9" w:rsidRDefault="00703BF5"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68zi.</w:t>
            </w:r>
            <w:r w:rsidRPr="00FB76A9">
              <w:rPr>
                <w:rStyle w:val="Ppogrubienie"/>
                <w:rFonts w:ascii="Times New Roman" w:hAnsi="Times New Roman" w:cs="Times New Roman"/>
                <w:szCs w:val="24"/>
              </w:rPr>
              <w:t xml:space="preserve"> </w:t>
            </w:r>
            <w:r w:rsidRPr="00FB76A9">
              <w:rPr>
                <w:rFonts w:ascii="Times New Roman" w:hAnsi="Times New Roman" w:cs="Times New Roman"/>
                <w:szCs w:val="24"/>
              </w:rPr>
              <w:t>Laboratorium badawcze</w:t>
            </w:r>
            <w:r w:rsidR="00B52C69">
              <w:rPr>
                <w:rFonts w:ascii="Times New Roman" w:hAnsi="Times New Roman" w:cs="Times New Roman"/>
                <w:strike/>
                <w:szCs w:val="24"/>
                <w:highlight w:val="yellow"/>
              </w:rPr>
              <w:t xml:space="preserve"> </w:t>
            </w:r>
            <w:r w:rsidRPr="00FB76A9">
              <w:rPr>
                <w:rFonts w:ascii="Times New Roman" w:hAnsi="Times New Roman" w:cs="Times New Roman"/>
                <w:szCs w:val="24"/>
              </w:rPr>
              <w:t>powinno:</w:t>
            </w:r>
          </w:p>
          <w:p w14:paraId="6CE29DBA"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być krajowym laboratorium badawczym lub laboratorium sieci Unii Europejskiej;</w:t>
            </w:r>
          </w:p>
          <w:p w14:paraId="4CC9DA3C"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być osobą prawną ustanowioną na mocy prawa państwa członkowskiego Unii Europejskiej;</w:t>
            </w:r>
          </w:p>
          <w:p w14:paraId="76C61EC3"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posiadać akredytację zgodnie z wymogami określonymi w normie PN-</w:t>
            </w:r>
            <w:r w:rsidRPr="00FB76A9">
              <w:rPr>
                <w:rFonts w:ascii="Times New Roman" w:hAnsi="Times New Roman" w:cs="Times New Roman"/>
                <w:szCs w:val="24"/>
              </w:rPr>
              <w:lastRenderedPageBreak/>
              <w:t>EN ISO/IEC 17025 lub EN ISO/IEC 17025 w sprawie ogólnych wymagań dotyczących kompetencji laboratoriów badawczych i wzorcujących, w zakresie badań przeprowadzanych na wniosek Dyrektora TDT jako organu nadzoru rynku;</w:t>
            </w:r>
          </w:p>
          <w:p w14:paraId="29971F6B"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w:t>
            </w:r>
            <w:r w:rsidRPr="00FB76A9">
              <w:rPr>
                <w:rFonts w:ascii="Times New Roman" w:hAnsi="Times New Roman" w:cs="Times New Roman"/>
                <w:szCs w:val="24"/>
              </w:rPr>
              <w:tab/>
              <w:t>nie być zaangażowane w proces projektowania, produkcji, dostaw lub konserwacji pojazdów, przedmiotów wyposażenia lub części, które ocenia lub bada;</w:t>
            </w:r>
          </w:p>
          <w:p w14:paraId="259D1A06"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5) </w:t>
            </w:r>
            <w:r w:rsidRPr="00FB76A9">
              <w:rPr>
                <w:rFonts w:ascii="Times New Roman" w:hAnsi="Times New Roman" w:cs="Times New Roman"/>
                <w:szCs w:val="24"/>
              </w:rPr>
              <w:tab/>
              <w:t>być w pełni bezstronne i niezależne w zakresie organizacji i sposobu działania wynikającego z prawa własności, podległości, zarządzania, personelu, współdzielonych zasobów, finansów, umów, działalności marketingowej, łącznie z promowaniem marki, prowizji od sprzedaży lub innych środków motywacyjnych w celu pozyskania nowych klientów;</w:t>
            </w:r>
          </w:p>
          <w:p w14:paraId="16FC1CF7"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6) </w:t>
            </w:r>
            <w:r w:rsidRPr="00FB76A9">
              <w:rPr>
                <w:rFonts w:ascii="Times New Roman" w:hAnsi="Times New Roman" w:cs="Times New Roman"/>
                <w:szCs w:val="24"/>
              </w:rPr>
              <w:tab/>
              <w:t>identyfikować oraz nadzorować ryzyka związane z działalnością, bezstronnością, niezależnością oraz poufnością;</w:t>
            </w:r>
          </w:p>
          <w:p w14:paraId="60EFFFD4"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7) </w:t>
            </w:r>
            <w:r w:rsidRPr="00FB76A9">
              <w:rPr>
                <w:rFonts w:ascii="Times New Roman" w:hAnsi="Times New Roman" w:cs="Times New Roman"/>
                <w:szCs w:val="24"/>
              </w:rPr>
              <w:tab/>
              <w:t xml:space="preserve">przedstawić oświadczenie stwierdzające, że przestrzega poufności w kontekście ochrony tajemnicy handlowej i ochrony danych osobowych oraz że jego pracownicy przestrzegają tajemnicy zawodowej w odniesieniu do wszystkich </w:t>
            </w:r>
            <w:r w:rsidRPr="00FB76A9">
              <w:rPr>
                <w:rFonts w:ascii="Times New Roman" w:hAnsi="Times New Roman" w:cs="Times New Roman"/>
                <w:szCs w:val="24"/>
              </w:rPr>
              <w:lastRenderedPageBreak/>
              <w:t>informacji przekazywanych przez producentów, w tym świadectw homologacji typu i załączników do nich oraz danych udostępnianych przez Dyrektora TDT jako organu nadzoru rynku.</w:t>
            </w:r>
          </w:p>
          <w:p w14:paraId="72364885" w14:textId="77777777" w:rsidR="00C076E7" w:rsidRPr="00FB76A9" w:rsidRDefault="00C076E7"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Art. 68zj. 1. Na podstawie negatywnych wyników przeprowadzonych czynności wyjaśniających lub kontroli pojazdu, przedmiotu wyposażenia lub części w zakresie spełnienia wymagań technicznych lub stwarzania poważnego ryzyka, przeprowadzonej u podmiotu gospodarczego lub posiadacza pojazdu, przedmiotu wyposażenia lub części  niebędącego użytkownikiem końcowym, lub negatywnych wyników badań laboratoryjnych, o których mowa w art. 68zh ust. 1, Dyrektor TDT jako organ nadzoru rynku wszczyna z urzędu postępowanie administracyjne, zakończone wydaniem decyzji administracyjnej w sprawie stwierdzenia niezgodności pojazdu, przedmiotu wyposażenia lub części z wymaganiami technicznymi lub stwarzania przez nie poważnego ryzyka.</w:t>
            </w:r>
          </w:p>
          <w:p w14:paraId="278914B9" w14:textId="77777777" w:rsidR="00C076E7" w:rsidRPr="00FB76A9" w:rsidRDefault="00C076E7"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2. Użytkownik końcowy, o którym mowa w art. 68y ust. 1 pkt 3, nie jest stroną postępowania, o którym mowa w ust. 1.</w:t>
            </w:r>
          </w:p>
          <w:p w14:paraId="50ECC12B" w14:textId="77777777" w:rsidR="00C076E7" w:rsidRPr="00FB76A9" w:rsidRDefault="00C076E7" w:rsidP="00FD5CD5">
            <w:pPr>
              <w:suppressAutoHyphens/>
              <w:autoSpaceDE w:val="0"/>
              <w:autoSpaceDN w:val="0"/>
              <w:adjustRightInd w:val="0"/>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3. Raport z czynności wyjaśniających, o którym mowa w art. 68z ust. 7, protokół z kontroli, o którym mowa w art. 68zc ust. 1 wraz z aktami kontroli, lub sprawozdanie z </w:t>
            </w:r>
            <w:r w:rsidRPr="00FB76A9">
              <w:rPr>
                <w:rFonts w:ascii="Times New Roman" w:eastAsiaTheme="minorEastAsia" w:hAnsi="Times New Roman" w:cs="Times New Roman"/>
                <w:sz w:val="24"/>
                <w:szCs w:val="24"/>
                <w:lang w:eastAsia="pl-PL"/>
              </w:rPr>
              <w:lastRenderedPageBreak/>
              <w:t xml:space="preserve">badań, o którym mowa w art. 68zh ust. 5, stanowią dowody w sprawie. </w:t>
            </w:r>
          </w:p>
          <w:p w14:paraId="25BB5ECC" w14:textId="77777777" w:rsidR="00C076E7" w:rsidRPr="00FB76A9" w:rsidRDefault="00C076E7"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4. Do zawiadomienie o wszczęciu postępowania, o którym mowa w ust. 1, dołącza się dokumenty, o których mowa w ust. 3.</w:t>
            </w:r>
          </w:p>
          <w:p w14:paraId="20307939" w14:textId="77777777" w:rsidR="00C076E7" w:rsidRPr="00FB76A9" w:rsidRDefault="00C076E7"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Art. 68zk. 1. Dyrektor TDT jako organ nadzoru rynku w decyzji, o której mowa w art. 68zj ust. 1, nakazuje podmiotowi gospodarczemu w określonym terminie:</w:t>
            </w:r>
          </w:p>
          <w:p w14:paraId="7EA753A0"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podać do publicznej wiadomości w sposób wskazany w decyzji informację o pojeździe, przedmiocie wyposażenia lub części objętych obowiązkiem wycofania z obrotu lub użytkowania oraz</w:t>
            </w:r>
          </w:p>
          <w:p w14:paraId="74400BBF"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 xml:space="preserve">usunięcie niezgodności z wymaganiami technicznymi lub usunięcie ryzyka, a w przypadku gdy ich usunięcie nie jest możliwe, zakazuje udostępniania na rynku pojazdu, przedmiotu wyposażenia lub części; w przypadku gdy pojazd, przedmiot wyposażenia lub część zostały już udostępnione, nakazuje ich wycofanie z obrotu lub użytkowania oraz nakazuje odkupienie pojazdu, przedmiotu wyposażenia lub części od użytkowników końcowych albo wymianę na nowy pojazd, przedmiot wyposażenia lub część zgodne z wymaganiami technicznymi. </w:t>
            </w:r>
          </w:p>
          <w:p w14:paraId="580F8A82"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2. W decyzji, o której mowa w art. 68zj ust. 1, Dyrektor TDT jako organ nadzoru rynku może:</w:t>
            </w:r>
          </w:p>
          <w:p w14:paraId="67417B42"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określić warunki na jakich pojazd, przedmiot wyposażenia lub część mogą być udostępniane na rynku;</w:t>
            </w:r>
          </w:p>
          <w:p w14:paraId="5622919B"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nakazać umieszczenie na pojeździe, przedmiocie wyposażenia lub części ostrzeżeń o ryzyku jakie pojazd, przedmiot wyposażenia lub część mogą stwarzać;</w:t>
            </w:r>
          </w:p>
          <w:p w14:paraId="0738C01A"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r>
            <w:r w:rsidR="00CF3C6A" w:rsidRPr="00B52C69">
              <w:t>nakazać zniszczenie pojazdu, przedmiotu wyposażenia lub części, w przypadku, gdy pojazd, przedmiot wyposażenia lub część stwarzają poważne ryzyko i nie da się tego ryzyka usunąć – w określonym terminie po odkupieniu pojazdu, przedmiotu wyposażenia lub części od użytkownika końcowego albo wymianie na nowy pojazd, przedmiot wyposażenia lub część zgodną z wymaganiami technicznymi,</w:t>
            </w:r>
          </w:p>
          <w:p w14:paraId="272E624A"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4)</w:t>
            </w:r>
            <w:r w:rsidRPr="00FB76A9">
              <w:rPr>
                <w:rFonts w:ascii="Times New Roman" w:hAnsi="Times New Roman" w:cs="Times New Roman"/>
                <w:szCs w:val="24"/>
              </w:rPr>
              <w:tab/>
              <w:t>nakazać usunięcie lub zablokowanie dostępu do ofert dotyczących pojazdu, przedmiotu wyposażenia i części</w:t>
            </w:r>
          </w:p>
          <w:p w14:paraId="397D773E"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 w zależności od rodzaju stwierdzonych niezgodności z wymaganiami technicznymi lub stopnia ryzyka stwarzanego przez pojazd, przedmiot wyposażenia lub część. </w:t>
            </w:r>
          </w:p>
          <w:p w14:paraId="1D544E82"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3. Podmiot lub osoba posiadająca tytuł prawny do pojazdu, przedmiotu wyposażenia lub części objętego decyzją, o której mowa w art. 68zj ust. 1, ma prawo żądać od podmiotu gospodarczego, który wprowadził do obrotu ten pojazd, przedmiot wyposażenia lub część, odkupienia po cenie sprzedaży albo wymiany na nowy pojazd, przedmiot wyposażenia lub część spełniające wymagania techniczne lub niestwarzające poważnego ryzyka.</w:t>
            </w:r>
          </w:p>
          <w:p w14:paraId="4654818E"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W przypadku braku realizacji żądania, o którym mowa w ust. 3, podmiot lub osoba posiadająca tytuł prawny, o której mowa w ust. 3, powiadamia o tym Dyrektora TDT jako organ nadzoru rynku. </w:t>
            </w:r>
          </w:p>
          <w:p w14:paraId="32FB047F"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5. Podmiot gospodarczy powiadamia Dyrektora TDT jako organ nadzoru rynku o wykonaniu decyzji, o której mowa w art. 68zj ust. 1, w terminie 14 dni od dnia upływu terminu wskazanego w tej decyzji. </w:t>
            </w:r>
          </w:p>
          <w:p w14:paraId="62E842CB" w14:textId="77777777" w:rsidR="00C076E7" w:rsidRPr="00FB76A9" w:rsidRDefault="00C076E7" w:rsidP="00FD5CD5">
            <w:pPr>
              <w:pStyle w:val="USTustnpkodeksu"/>
              <w:spacing w:line="240" w:lineRule="auto"/>
              <w:ind w:left="510"/>
              <w:jc w:val="left"/>
              <w:rPr>
                <w:rFonts w:ascii="Times New Roman" w:hAnsi="Times New Roman" w:cs="Times New Roman"/>
                <w:szCs w:val="24"/>
              </w:rPr>
            </w:pPr>
            <w:r w:rsidRPr="00FB76A9">
              <w:rPr>
                <w:rFonts w:ascii="Times New Roman" w:hAnsi="Times New Roman" w:cs="Times New Roman"/>
                <w:szCs w:val="24"/>
              </w:rPr>
              <w:t xml:space="preserve">6. Jeżeli podmiot gospodarczy nie wykonał decyzji, o której mowa w art. 68zj ust. 1, w zakresie określonym w art. 68zk ust. 2 pkt 4, Dyrektor TDT jako organ nadzoru rynku, w drodze decyzji administracyjnej nakazuje operatorowi platformy usunięcie z interfejsu online treści odnoszących się do oferty pojazdów, przedmiotów wyposażenia lub części, zawieszenie konta podmiotu gospodarczego na platformie lub wyświetlanie wyraźnego ostrzeżenia dla użytkowników końcowych uzyskujących </w:t>
            </w:r>
            <w:r w:rsidRPr="00FB76A9">
              <w:rPr>
                <w:rFonts w:ascii="Times New Roman" w:hAnsi="Times New Roman" w:cs="Times New Roman"/>
                <w:szCs w:val="24"/>
              </w:rPr>
              <w:lastRenderedPageBreak/>
              <w:t>dostęp do oferty tego pojazdu, przedmiotu wyposażenia lub części.</w:t>
            </w:r>
          </w:p>
          <w:p w14:paraId="03574A9B" w14:textId="77777777" w:rsidR="00C076E7" w:rsidRPr="00FB76A9" w:rsidRDefault="00C076E7" w:rsidP="00FD5CD5">
            <w:pPr>
              <w:pStyle w:val="USTustnpkodeksu"/>
              <w:spacing w:line="240" w:lineRule="auto"/>
              <w:ind w:left="510"/>
              <w:jc w:val="left"/>
              <w:rPr>
                <w:rFonts w:ascii="Times New Roman" w:hAnsi="Times New Roman" w:cs="Times New Roman"/>
                <w:szCs w:val="24"/>
              </w:rPr>
            </w:pPr>
            <w:r w:rsidRPr="00FB76A9">
              <w:rPr>
                <w:rFonts w:ascii="Times New Roman" w:hAnsi="Times New Roman" w:cs="Times New Roman"/>
                <w:szCs w:val="24"/>
              </w:rPr>
              <w:t>7. W decyzji, o której mowa w ust. 6, określa się:</w:t>
            </w:r>
          </w:p>
          <w:p w14:paraId="46D5BC27" w14:textId="77777777" w:rsidR="00C076E7" w:rsidRPr="00FB76A9" w:rsidRDefault="00C076E7" w:rsidP="00FD5CD5">
            <w:pPr>
              <w:pStyle w:val="PKTpunkt"/>
              <w:spacing w:line="240" w:lineRule="auto"/>
              <w:ind w:left="102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nazwę podmiotu gospodarczego, wobec którego wydano decyzję, o której mowa w art. 68zj ust. 1;</w:t>
            </w:r>
          </w:p>
          <w:p w14:paraId="10A00594" w14:textId="77777777" w:rsidR="00C076E7" w:rsidRPr="00FB76A9" w:rsidRDefault="00C076E7" w:rsidP="00FD5CD5">
            <w:pPr>
              <w:pStyle w:val="PKTpunkt"/>
              <w:spacing w:line="240" w:lineRule="auto"/>
              <w:ind w:left="102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określenie treści odnoszących się do oferty dotyczących pojazdu, przedmiotu wyposażenia lub części objętego decyzją, o której mowa w art. 68zj ust. 1;</w:t>
            </w:r>
          </w:p>
          <w:p w14:paraId="6602B756" w14:textId="77777777" w:rsidR="00C076E7" w:rsidRPr="00FB76A9" w:rsidRDefault="00C076E7" w:rsidP="00FD5CD5">
            <w:pPr>
              <w:pStyle w:val="PKTpunkt"/>
              <w:spacing w:line="240" w:lineRule="auto"/>
              <w:ind w:left="1020"/>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określenie treści nakazu, w tym treść ostrzeżenia dla użytkowników końcowych;</w:t>
            </w:r>
          </w:p>
          <w:p w14:paraId="11403D67" w14:textId="77777777" w:rsidR="00C076E7" w:rsidRPr="00FB76A9" w:rsidRDefault="00C076E7" w:rsidP="00FD5CD5">
            <w:pPr>
              <w:pStyle w:val="ZUSTzmustartykuempunktem"/>
              <w:keepNext/>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4)</w:t>
            </w:r>
            <w:r w:rsidRPr="00FB76A9">
              <w:rPr>
                <w:rFonts w:ascii="Times New Roman" w:hAnsi="Times New Roman" w:cs="Times New Roman"/>
                <w:szCs w:val="24"/>
              </w:rPr>
              <w:tab/>
              <w:t>termin wykonania decyzji.</w:t>
            </w:r>
          </w:p>
          <w:p w14:paraId="6880661E" w14:textId="77777777" w:rsidR="00C076E7" w:rsidRPr="00FB76A9" w:rsidRDefault="00C076E7"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8. Jeżeli podmiot gospodarczy nie wykonał decyzji, o której mowa w art. 68zj ust. 1 w zakresie określonym w art. 68zk ust. 2 pkt 4, oraz jeżeli jest konieczne podjęcie natychmiastowego działania mającego na celu usunięcie poważnego ryzyka stwarzanego przez pojazd, przedmiot wyposażenia lub część objętego decyzją lub doprowadzenie ich do stanu zgodności z wymaganiami technicznymi, Dyrektor TDT jako organ nadzoru rynku w drodze decyzji administracyjnej, nakazuje dostawcy usług społeczeństwa informacyjnego nieodpłatne ograniczenie temu podmiotowi, dostępu do interfejsu online lub wyłączenie dostępu do interfejsu online.</w:t>
            </w:r>
          </w:p>
          <w:p w14:paraId="20DA749A" w14:textId="77777777" w:rsidR="00C076E7" w:rsidRPr="00FB76A9" w:rsidRDefault="00C076E7" w:rsidP="00FD5CD5">
            <w:pPr>
              <w:pStyle w:val="USTustnpkodeksu"/>
              <w:spacing w:line="240" w:lineRule="auto"/>
              <w:ind w:left="510"/>
              <w:jc w:val="left"/>
              <w:rPr>
                <w:rFonts w:ascii="Times New Roman" w:hAnsi="Times New Roman" w:cs="Times New Roman"/>
                <w:szCs w:val="24"/>
              </w:rPr>
            </w:pPr>
            <w:r w:rsidRPr="00FB76A9">
              <w:rPr>
                <w:rFonts w:ascii="Times New Roman" w:hAnsi="Times New Roman" w:cs="Times New Roman"/>
                <w:szCs w:val="24"/>
              </w:rPr>
              <w:lastRenderedPageBreak/>
              <w:t>9. W decyzji, o której mowa w ust. 8, określa się:</w:t>
            </w:r>
          </w:p>
          <w:p w14:paraId="77B7FA67" w14:textId="77777777" w:rsidR="00C076E7" w:rsidRPr="00FB76A9" w:rsidRDefault="00C076E7" w:rsidP="00FD5CD5">
            <w:pPr>
              <w:pStyle w:val="PKTpunkt"/>
              <w:spacing w:line="240" w:lineRule="auto"/>
              <w:ind w:left="102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nazwę podmiotu gospodarczego, wobec którego wydano decyzję, o której mowa w art. 68zj ust. 1;</w:t>
            </w:r>
          </w:p>
          <w:p w14:paraId="680E460A" w14:textId="77777777" w:rsidR="00C076E7" w:rsidRPr="00FB76A9" w:rsidRDefault="00C076E7" w:rsidP="00FD5CD5">
            <w:pPr>
              <w:pStyle w:val="PKTpunkt"/>
              <w:spacing w:line="240" w:lineRule="auto"/>
              <w:ind w:left="102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szczegółowe dane dotyczące interfejsu online, do którego dostęp podlega ograniczeniu lub wyłączeniu;</w:t>
            </w:r>
          </w:p>
          <w:p w14:paraId="06A1DAF5" w14:textId="77777777" w:rsidR="00C076E7" w:rsidRPr="00FB76A9" w:rsidRDefault="00C076E7" w:rsidP="00FD5CD5">
            <w:pPr>
              <w:pStyle w:val="ZUSTzmustartykuempunktem"/>
              <w:keepNext/>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termin wykonania decyzji.</w:t>
            </w:r>
          </w:p>
          <w:p w14:paraId="0A599D02" w14:textId="77777777" w:rsidR="00C076E7" w:rsidRPr="00FB76A9" w:rsidRDefault="00C076E7" w:rsidP="00FD5CD5">
            <w:pPr>
              <w:pStyle w:val="ZUSTzmustartykuempunktem"/>
              <w:tabs>
                <w:tab w:val="left" w:pos="3969"/>
              </w:tabs>
              <w:spacing w:line="240" w:lineRule="auto"/>
              <w:jc w:val="left"/>
              <w:rPr>
                <w:rFonts w:ascii="Times New Roman" w:hAnsi="Times New Roman" w:cs="Times New Roman"/>
                <w:szCs w:val="24"/>
              </w:rPr>
            </w:pPr>
            <w:r w:rsidRPr="00FB76A9">
              <w:rPr>
                <w:rFonts w:ascii="Times New Roman" w:hAnsi="Times New Roman" w:cs="Times New Roman"/>
                <w:szCs w:val="24"/>
              </w:rPr>
              <w:t xml:space="preserve">10. Decyzje, o których mowa w ust. 6 i 8, podlegają natychmiastowemu  wykonaniu. </w:t>
            </w:r>
          </w:p>
          <w:p w14:paraId="2AE90B74"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11. Operator platformy oraz dostawca usług społeczeństwa informacyjnego powiadamia Dyrektora TDT jako organ nadzoru rynku o wykonaniu decyzji, o której mowa w ust. 6 i 8, w terminie 14 dni od upływu tego termin wskazanego w tej decyzji.</w:t>
            </w:r>
          </w:p>
          <w:p w14:paraId="49691DAF" w14:textId="77777777" w:rsidR="00C076E7" w:rsidRPr="00FB76A9" w:rsidRDefault="00C076E7" w:rsidP="00FD5CD5">
            <w:pPr>
              <w:pStyle w:val="ZUSTzmustartykuempunktem"/>
              <w:tabs>
                <w:tab w:val="left" w:pos="3969"/>
              </w:tabs>
              <w:spacing w:line="240" w:lineRule="auto"/>
              <w:jc w:val="left"/>
              <w:rPr>
                <w:rFonts w:ascii="Times New Roman" w:hAnsi="Times New Roman" w:cs="Times New Roman"/>
                <w:szCs w:val="24"/>
              </w:rPr>
            </w:pPr>
            <w:r w:rsidRPr="00FB76A9">
              <w:rPr>
                <w:rFonts w:ascii="Times New Roman" w:hAnsi="Times New Roman" w:cs="Times New Roman"/>
                <w:szCs w:val="24"/>
              </w:rPr>
              <w:t>12. W przypadku, gdy organ nadzoru rynku innego państwa członkowskiego Unii Europejskiej lub Komisja Europejska wyda decyzję o wycofaniu z obrotu lub użytkowania pojazdu, przedmiotu wyposażenia lub części, Dyrektor TDT jako organ nadzoru rynku z urzędu wszczyna postępowanie administracyjne w tej sprawie i wydaje decyzję administracyjną o wycofaniu z obrotu lub użytkowania takiego pojazdu, przedmiotu wyposażenia lub części na terytorium Rzeczypospolitej Polskiej.</w:t>
            </w:r>
          </w:p>
          <w:p w14:paraId="60A4936C" w14:textId="77777777" w:rsidR="00C076E7" w:rsidRPr="00FB76A9" w:rsidRDefault="00C076E7" w:rsidP="00FD5CD5">
            <w:pPr>
              <w:pStyle w:val="ZUSTzmustartykuempunktem"/>
              <w:tabs>
                <w:tab w:val="left" w:pos="3969"/>
              </w:tabs>
              <w:spacing w:line="240" w:lineRule="auto"/>
              <w:jc w:val="left"/>
              <w:rPr>
                <w:rFonts w:ascii="Times New Roman" w:hAnsi="Times New Roman" w:cs="Times New Roman"/>
                <w:szCs w:val="24"/>
              </w:rPr>
            </w:pPr>
            <w:r w:rsidRPr="00FB76A9">
              <w:rPr>
                <w:rFonts w:ascii="Times New Roman" w:hAnsi="Times New Roman" w:cs="Times New Roman"/>
                <w:szCs w:val="24"/>
              </w:rPr>
              <w:t xml:space="preserve">13. W przypadku, gdy decyzja, o której mowa w art. 68zj ust. 1, dotyczy </w:t>
            </w:r>
            <w:r w:rsidRPr="00FB76A9">
              <w:rPr>
                <w:rFonts w:ascii="Times New Roman" w:hAnsi="Times New Roman" w:cs="Times New Roman"/>
                <w:szCs w:val="24"/>
              </w:rPr>
              <w:lastRenderedPageBreak/>
              <w:t xml:space="preserve">dystrybutora, środki naprawcze przewidziane w decyzji mają zastosowanie wyłącznie wobec pojazdów, przedmiotów wyposażenia lub części, które zostały przez niego udostępnione na rynku. </w:t>
            </w:r>
          </w:p>
          <w:p w14:paraId="24B86FB3" w14:textId="77777777" w:rsidR="00C076E7" w:rsidRPr="00FB76A9" w:rsidRDefault="00C076E7" w:rsidP="00FD5CD5">
            <w:pPr>
              <w:suppressAutoHyphens/>
              <w:autoSpaceDE w:val="0"/>
              <w:autoSpaceDN w:val="0"/>
              <w:adjustRightInd w:val="0"/>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Art. 68zl. 1. Dyrektor TDT jako organ nadzoru rynku po wydaniu decyzji, o której mowa w art. 68zj ust. 1 lub art. 68zk ust. 12, informuje organ właściwy w sprawach homologacji, który przeprowadził ocenę zgodności pojazdu, przedmiotu wyposażenia lub części, o stwierdzeniu niezgodności z wymaganiami technicznymi lub stwarzaniu przez pojazd, przedmiot wyposażenia lub część poważnego ryzyka, wskazując stwierdzone niezgodności lub ryzyka.</w:t>
            </w:r>
          </w:p>
          <w:p w14:paraId="52A1FB38"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Dyrektor TDT jako organ nadzoru rynku powiadamia o wydaniu decyzji, o której mowa w art. 68zj ust. 1 lub art. 68zk ust. 12, w tym podjętych środków naprawczych, opinię publiczną w trybie określonym w art. 68zt oraz przekazuje informację o wydaniu decyzji Komisji Europejskiej oraz organom nadzoru rynku w państwach członkowskich Unii Europejskiej za pomocą systemu Safety Gate oraz systemu ICSMS.</w:t>
            </w:r>
          </w:p>
          <w:p w14:paraId="2B2F8157" w14:textId="77777777" w:rsidR="00C076E7" w:rsidRPr="00FB76A9" w:rsidRDefault="00C076E7"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3. Dyrektor TDT jako organ nadzoru rynku przekazuje do ewidencji informacje, o wydaniu decyzji, o której mowa w art. 68zj ust. 1 lub art. 68zk ust. 12, w zakresie wycofania pojazdu z obrotu lub użytkowania.</w:t>
            </w:r>
          </w:p>
          <w:p w14:paraId="5881B2F5" w14:textId="77777777" w:rsidR="00C076E7" w:rsidRPr="00FB76A9" w:rsidRDefault="00C076E7"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Art. 68zm. Dyrektor TDT jako organ nadzoru rynku wydaje decyzję o umorzeniu postępowania, o którym mowa w art. 68zj  ust. 1, w przypadku gdy:</w:t>
            </w:r>
          </w:p>
          <w:p w14:paraId="02BB3E5E"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stwierdzi, że pojazd, przedmiot wyposażenia lub część są zgodne z wymaganiami technicznymi lub nie stwarzają poważnego ryzyka;</w:t>
            </w:r>
          </w:p>
          <w:p w14:paraId="64545C0F"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postępowanie z innych przyczyn stało się bezprzedmiotowe.</w:t>
            </w:r>
          </w:p>
          <w:p w14:paraId="135CA956"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68zn. W przypadku wydania decyzji, o której mowa w art. 68zj ust. 1, w której stwierdzono, iż pojazd, przedmiot wyposażenia lub część stwarzają poważne ryzyko oraz znajdują się w posiadaniu użytkowników końcowych, Dyrektor TDT jako organ nadzoru rynku publikuje na stronie podmiotowej Transportowego Dozoru Technicznego informację o możliwości zwrotu pojazdu, przedmiotu wyposażenia lub części do podmiotu gospodarczego, który wprowadził do obrotu ten pojazd, przedmiot wyposażenia lub część oraz informację o poważnych ryzykach dotyczących tego pojazdu, przedmiotu wyposażenia lub części.</w:t>
            </w:r>
          </w:p>
          <w:p w14:paraId="64D8F25A" w14:textId="77777777" w:rsidR="00C076E7" w:rsidRPr="00FB76A9" w:rsidRDefault="00C076E7" w:rsidP="00FD5CD5">
            <w:pPr>
              <w:spacing w:after="0" w:line="240" w:lineRule="auto"/>
              <w:ind w:left="510" w:firstLine="510"/>
              <w:rPr>
                <w:rFonts w:ascii="Times New Roman" w:hAnsi="Times New Roman" w:cs="Times New Roman"/>
                <w:sz w:val="24"/>
                <w:szCs w:val="24"/>
              </w:rPr>
            </w:pPr>
            <w:r w:rsidRPr="00FB76A9">
              <w:rPr>
                <w:rFonts w:ascii="Times New Roman" w:hAnsi="Times New Roman" w:cs="Times New Roman"/>
                <w:sz w:val="24"/>
                <w:szCs w:val="24"/>
              </w:rPr>
              <w:t>Art. 68zo.</w:t>
            </w:r>
            <w:r w:rsidRPr="00FB76A9">
              <w:rPr>
                <w:rFonts w:ascii="Times New Roman" w:hAnsi="Times New Roman" w:cs="Times New Roman"/>
                <w:b/>
                <w:sz w:val="24"/>
                <w:szCs w:val="24"/>
              </w:rPr>
              <w:t xml:space="preserve"> </w:t>
            </w:r>
            <w:r w:rsidRPr="00FB76A9">
              <w:rPr>
                <w:rFonts w:ascii="Times New Roman" w:hAnsi="Times New Roman" w:cs="Times New Roman"/>
                <w:sz w:val="24"/>
                <w:szCs w:val="24"/>
              </w:rPr>
              <w:t>Opinie eksperckie, o których mowa art. 68s ust. 1 pkt 5, mogą być sporządzane przez:</w:t>
            </w:r>
          </w:p>
          <w:p w14:paraId="71D643AE" w14:textId="77777777" w:rsidR="00C076E7" w:rsidRPr="00FB76A9" w:rsidRDefault="00C076E7" w:rsidP="00FD5CD5">
            <w:pPr>
              <w:pStyle w:val="ZUSTzmustartykuempunktem"/>
              <w:keepNext/>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osoby będące:</w:t>
            </w:r>
          </w:p>
          <w:p w14:paraId="43EF5403" w14:textId="77777777" w:rsidR="00C076E7" w:rsidRPr="00FB76A9" w:rsidRDefault="00C076E7" w:rsidP="00FD5CD5">
            <w:pPr>
              <w:pStyle w:val="ZLITzmlitartykuempunktem"/>
              <w:spacing w:line="240" w:lineRule="auto"/>
              <w:ind w:left="1418"/>
              <w:jc w:val="left"/>
              <w:rPr>
                <w:rFonts w:ascii="Times New Roman" w:hAnsi="Times New Roman" w:cs="Times New Roman"/>
                <w:szCs w:val="24"/>
              </w:rPr>
            </w:pPr>
            <w:r w:rsidRPr="00FB76A9">
              <w:rPr>
                <w:rFonts w:ascii="Times New Roman" w:hAnsi="Times New Roman" w:cs="Times New Roman"/>
                <w:szCs w:val="24"/>
              </w:rPr>
              <w:t xml:space="preserve">a) </w:t>
            </w:r>
            <w:r w:rsidRPr="00FB76A9">
              <w:rPr>
                <w:rFonts w:ascii="Times New Roman" w:hAnsi="Times New Roman" w:cs="Times New Roman"/>
                <w:szCs w:val="24"/>
              </w:rPr>
              <w:tab/>
              <w:t xml:space="preserve">rzeczoznawcami samochodowymi, o których mowa w art. 79a ustawy z dnia 20 czerwca 1997 r. – Prawo o </w:t>
            </w:r>
            <w:r w:rsidRPr="00FB76A9">
              <w:rPr>
                <w:rFonts w:ascii="Times New Roman" w:hAnsi="Times New Roman" w:cs="Times New Roman"/>
                <w:szCs w:val="24"/>
              </w:rPr>
              <w:lastRenderedPageBreak/>
              <w:t>ruchu drogowym lub biegłymi sądowymi z dziedziny mechanika, maszyny, urządzenia, o którym mowa w art. 157 ustawy z dnia 27 lipca 2001 r. – Prawo o ustroju sądów powszechnych (Dz. U. z 2024 r. poz. 334, z późn. zm.</w:t>
            </w:r>
            <w:r w:rsidRPr="00FB76A9">
              <w:rPr>
                <w:rStyle w:val="Odwoanieprzypisudolnego"/>
                <w:rFonts w:ascii="Times New Roman" w:hAnsi="Times New Roman"/>
                <w:szCs w:val="24"/>
              </w:rPr>
              <w:footnoteReference w:id="1"/>
            </w:r>
            <w:r w:rsidRPr="00FB76A9">
              <w:rPr>
                <w:rFonts w:ascii="Times New Roman" w:hAnsi="Times New Roman" w:cs="Times New Roman"/>
                <w:szCs w:val="24"/>
                <w:vertAlign w:val="superscript"/>
              </w:rPr>
              <w:t>)</w:t>
            </w:r>
            <w:r w:rsidRPr="00FB76A9">
              <w:rPr>
                <w:rFonts w:ascii="Times New Roman" w:hAnsi="Times New Roman" w:cs="Times New Roman"/>
                <w:szCs w:val="24"/>
              </w:rPr>
              <w:t>), oraz</w:t>
            </w:r>
          </w:p>
          <w:p w14:paraId="4F76BCD9" w14:textId="77777777" w:rsidR="00C076E7" w:rsidRPr="00FB76A9" w:rsidRDefault="00C076E7" w:rsidP="00FD5CD5">
            <w:pPr>
              <w:pStyle w:val="ZLITzmlitartykuempunktem"/>
              <w:spacing w:line="240" w:lineRule="auto"/>
              <w:ind w:left="1418"/>
              <w:jc w:val="left"/>
              <w:rPr>
                <w:rFonts w:ascii="Times New Roman" w:hAnsi="Times New Roman" w:cs="Times New Roman"/>
                <w:szCs w:val="24"/>
              </w:rPr>
            </w:pPr>
            <w:r w:rsidRPr="00FB76A9">
              <w:rPr>
                <w:rFonts w:ascii="Times New Roman" w:hAnsi="Times New Roman" w:cs="Times New Roman"/>
                <w:szCs w:val="24"/>
              </w:rPr>
              <w:t xml:space="preserve">b)  </w:t>
            </w:r>
            <w:r w:rsidRPr="00FB76A9">
              <w:rPr>
                <w:rFonts w:ascii="Times New Roman" w:hAnsi="Times New Roman" w:cs="Times New Roman"/>
                <w:szCs w:val="24"/>
              </w:rPr>
              <w:tab/>
              <w:t>posiadające co najmniej 6-letnią praktykę zawodową w dziedzinie związanej z motoryzacją;</w:t>
            </w:r>
          </w:p>
          <w:p w14:paraId="1937AECB" w14:textId="77777777" w:rsidR="00C076E7" w:rsidRPr="00FB76A9" w:rsidRDefault="00C076E7" w:rsidP="00FD5CD5">
            <w:pPr>
              <w:pStyle w:val="PKTpunkt"/>
              <w:spacing w:line="240" w:lineRule="auto"/>
              <w:ind w:left="1020"/>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 xml:space="preserve">instytuty naukowe lub naukowo-badawcze oraz inne podmioty posiadające specjalistyczną wiedzę w dziedzinie związanej z motoryzacją. </w:t>
            </w:r>
          </w:p>
          <w:p w14:paraId="0839730C"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68zp. 1. Pojazd, przedmiot wyposażenia lub część pobrana w ramach kontroli lub badań, o których mowa w art. 68za ust. 1 pkt 12 albo art. 68zh ust. 1, lub nabyta w ramach zakupu kontrolnego, o którym mowa w art. 68zg ust. 1, podlega zwrotowi po zakończeniu kontroli lub badań, a jeżeli w związku z ustaleniami z kontroli lub badań zostało wszczęte postępowanie administracyjne, po zakończeniu tego postępowania, jeżeli pojazd, przedmiot wyposażenia lub część nadal mogą być użytkowane zgodnie z przeznaczeniem.</w:t>
            </w:r>
          </w:p>
          <w:p w14:paraId="1EFF49E9"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Podmiot gospodarczy lub posiadacz pojazdu, przedmiotu wyposażenia lub części </w:t>
            </w:r>
            <w:r w:rsidRPr="00FB76A9">
              <w:rPr>
                <w:rFonts w:ascii="Times New Roman" w:hAnsi="Times New Roman" w:cs="Times New Roman"/>
                <w:szCs w:val="24"/>
              </w:rPr>
              <w:lastRenderedPageBreak/>
              <w:t xml:space="preserve">niebędący użytkownikiem końcowym, od którego pobrano lub nabyto pojazd, przedmiot wyposażenia lub część w ramach kontroli, badań lub zakupu kontrolnego, jest obowiązany do przyjęcia zwracanego pojazdu, przedmiotu wyposażenia lub części, a w przypadku zakupu kontrolnego również do zwrotu </w:t>
            </w:r>
            <w:r w:rsidR="001E1AF0">
              <w:rPr>
                <w:rFonts w:ascii="Times New Roman" w:hAnsi="Times New Roman" w:cs="Times New Roman"/>
                <w:szCs w:val="24"/>
              </w:rPr>
              <w:t>za</w:t>
            </w:r>
            <w:r w:rsidRPr="00FB76A9">
              <w:rPr>
                <w:rFonts w:ascii="Times New Roman" w:hAnsi="Times New Roman" w:cs="Times New Roman"/>
                <w:szCs w:val="24"/>
              </w:rPr>
              <w:t>płaty za zwracany pojazd, przedmiot wyposażenia lub część.</w:t>
            </w:r>
          </w:p>
          <w:p w14:paraId="42C32C1D" w14:textId="77777777" w:rsidR="00C076E7" w:rsidRPr="00FB76A9" w:rsidRDefault="00C076E7" w:rsidP="00FD5CD5">
            <w:pPr>
              <w:pStyle w:val="ZUSTzmustartykuempunktem"/>
              <w:spacing w:line="240" w:lineRule="auto"/>
              <w:jc w:val="left"/>
              <w:rPr>
                <w:rFonts w:ascii="Times New Roman" w:hAnsi="Times New Roman" w:cs="Times New Roman"/>
                <w:szCs w:val="24"/>
              </w:rPr>
            </w:pPr>
            <w:bookmarkStart w:id="28" w:name="_Hlk229668580"/>
            <w:r w:rsidRPr="00FB76A9">
              <w:rPr>
                <w:rFonts w:ascii="Times New Roman" w:hAnsi="Times New Roman" w:cs="Times New Roman"/>
                <w:szCs w:val="24"/>
              </w:rPr>
              <w:t xml:space="preserve">3. W przypadku zakwalifikowania pojazdu, przedmiotu wyposażenia lub części jako próbki, po zakończeniu kontroli lub badań, o których mowa w art. 68za ust. 1 pkt 12 albo art. 68zh ust. 1, Dyrektor TDT jako organ nadzoru rynku, w drodze postanowienia, rozstrzyga o obowiązku przyjęcia zwracanego pojazdu, przedmiotu wyposażenia lub części, a w przypadku zakupu kontrolnego również o obowiązku zwrotu w określonym terminie </w:t>
            </w:r>
            <w:r w:rsidR="008031F8">
              <w:rPr>
                <w:rFonts w:ascii="Times New Roman" w:hAnsi="Times New Roman" w:cs="Times New Roman"/>
                <w:szCs w:val="24"/>
              </w:rPr>
              <w:t>za</w:t>
            </w:r>
            <w:r w:rsidRPr="00FB76A9">
              <w:rPr>
                <w:rFonts w:ascii="Times New Roman" w:hAnsi="Times New Roman" w:cs="Times New Roman"/>
                <w:szCs w:val="24"/>
              </w:rPr>
              <w:t>płaty za zwracany pojazd, przedmiot wyposażenia lub część. Na postanowienie, o którym mowa w zdaniu pierwszym służy zażalenie.</w:t>
            </w:r>
          </w:p>
          <w:p w14:paraId="54801E6A"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W przypadku niezakwalifikowania pojazdu, przedmiotu wyposażenia lub części jako próbki, podlega ona niezwłocznemu zwrotowi.</w:t>
            </w:r>
          </w:p>
          <w:p w14:paraId="521BA618"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5. W przypadku, o którym mowa w ust. 4, Dyrektor TDT jako organ nadzoru rynku, w drodze postanowienia, rozstrzyga o obowiązku przyjęcia zwracanego pojazdu, przedmiotu wyposażenia lub części, a w </w:t>
            </w:r>
            <w:r w:rsidRPr="00FB76A9">
              <w:rPr>
                <w:rFonts w:ascii="Times New Roman" w:hAnsi="Times New Roman" w:cs="Times New Roman"/>
                <w:szCs w:val="24"/>
              </w:rPr>
              <w:lastRenderedPageBreak/>
              <w:t xml:space="preserve">przypadku zakupu kontrolnego również o obowiązku zwrotu </w:t>
            </w:r>
            <w:r w:rsidR="008031F8">
              <w:rPr>
                <w:rFonts w:ascii="Times New Roman" w:hAnsi="Times New Roman" w:cs="Times New Roman"/>
                <w:szCs w:val="24"/>
              </w:rPr>
              <w:t xml:space="preserve">zapłaty </w:t>
            </w:r>
            <w:r w:rsidRPr="00FB76A9">
              <w:rPr>
                <w:rFonts w:ascii="Times New Roman" w:hAnsi="Times New Roman" w:cs="Times New Roman"/>
                <w:szCs w:val="24"/>
              </w:rPr>
              <w:t>w określonym terminie opłaty za zwracany pojazd, przedmiot wyposażenia lub część. Na postanowienie, o którym mowa w zdaniu pierwszym, służy zażalenie.</w:t>
            </w:r>
          </w:p>
          <w:bookmarkEnd w:id="28"/>
          <w:p w14:paraId="09BFBB8B" w14:textId="77777777" w:rsidR="00C076E7" w:rsidRPr="00FB76A9" w:rsidRDefault="00C076E7"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Art. 68zr. 1. W przypadku odmowy przyjęcia zwracanego pojazdu, przedmiotu wyposażenia lub części podlega on zniszczeniu, o którym mowa w art. 68zs ust. 1, albo może być przedmiotem:</w:t>
            </w:r>
          </w:p>
          <w:p w14:paraId="1B8A684A"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nieodpłatnego przekazania lub darowizny na rzecz jednostek sektora finansów publicznych lub państwowych osób prawnych, które nie są jednostkami sektora finansów publicznych;</w:t>
            </w:r>
          </w:p>
          <w:p w14:paraId="27CF997B"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 xml:space="preserve">darowizny na rzecz jednostek organizacyjnych, o których mowa w art. 2 ustawy z dnia 14 grudnia 2016 r. – Prawo oświatowe (Dz. U. </w:t>
            </w:r>
            <w:r w:rsidR="00074CD7" w:rsidRPr="00FB76A9">
              <w:rPr>
                <w:rFonts w:ascii="Times New Roman" w:hAnsi="Times New Roman" w:cs="Times New Roman"/>
                <w:szCs w:val="24"/>
              </w:rPr>
              <w:t xml:space="preserve"> z 202</w:t>
            </w:r>
            <w:r w:rsidR="00074CD7">
              <w:rPr>
                <w:rFonts w:ascii="Times New Roman" w:hAnsi="Times New Roman" w:cs="Times New Roman"/>
                <w:szCs w:val="24"/>
              </w:rPr>
              <w:t>6</w:t>
            </w:r>
            <w:r w:rsidR="00074CD7" w:rsidRPr="00FB76A9">
              <w:rPr>
                <w:rFonts w:ascii="Times New Roman" w:hAnsi="Times New Roman" w:cs="Times New Roman"/>
                <w:szCs w:val="24"/>
              </w:rPr>
              <w:t xml:space="preserve"> r. poz. </w:t>
            </w:r>
            <w:r w:rsidR="00074CD7">
              <w:rPr>
                <w:rFonts w:ascii="Times New Roman" w:hAnsi="Times New Roman" w:cs="Times New Roman"/>
                <w:szCs w:val="24"/>
              </w:rPr>
              <w:t>820</w:t>
            </w:r>
            <w:r w:rsidRPr="00FB76A9">
              <w:rPr>
                <w:rFonts w:ascii="Times New Roman" w:hAnsi="Times New Roman" w:cs="Times New Roman"/>
                <w:szCs w:val="24"/>
              </w:rPr>
              <w:t>), niebędących jednostkami sektora finansów publicznych, oraz fundacji lub organizacji pożytku publicznego, które prowadzą działalność charytatywną, opiekuńczą, kulturalną, leczniczą, oświatową, naukową, badawczo</w:t>
            </w:r>
            <w:r w:rsidRPr="00FB76A9">
              <w:rPr>
                <w:rFonts w:ascii="Times New Roman" w:hAnsi="Times New Roman" w:cs="Times New Roman"/>
                <w:szCs w:val="24"/>
              </w:rPr>
              <w:noBreakHyphen/>
              <w:t>rozwojową, wychowawczą, sportową lub turystyczną, z przeznaczeniem na realizację ich celów statutowych.</w:t>
            </w:r>
          </w:p>
          <w:p w14:paraId="623FB8CE" w14:textId="77777777" w:rsidR="00C076E7" w:rsidRPr="00FB76A9" w:rsidRDefault="00C076E7" w:rsidP="00FD5CD5">
            <w:pPr>
              <w:pStyle w:val="ZPKTzmpktartykuempunktem"/>
              <w:spacing w:line="240" w:lineRule="auto"/>
              <w:ind w:left="510" w:firstLine="510"/>
              <w:jc w:val="left"/>
              <w:rPr>
                <w:rFonts w:ascii="Times New Roman" w:hAnsi="Times New Roman" w:cs="Times New Roman"/>
                <w:szCs w:val="24"/>
              </w:rPr>
            </w:pPr>
            <w:r w:rsidRPr="00FB76A9">
              <w:rPr>
                <w:rFonts w:ascii="Times New Roman" w:hAnsi="Times New Roman" w:cs="Times New Roman"/>
                <w:szCs w:val="24"/>
              </w:rPr>
              <w:t xml:space="preserve">2. Dyrektor TDT jako organ nadzory rynku dokonuje oceny, czy pojazd, przedmiot </w:t>
            </w:r>
            <w:r w:rsidRPr="00FB76A9">
              <w:rPr>
                <w:rFonts w:ascii="Times New Roman" w:hAnsi="Times New Roman" w:cs="Times New Roman"/>
                <w:szCs w:val="24"/>
              </w:rPr>
              <w:lastRenderedPageBreak/>
              <w:t>wyposażenia lub część może być użytkowana zgodnie z przeznaczeniem oraz czy jest zgodna z wymaganiami technicznymi oraz nie stwarza poważnego ryzyka i może zostać przekazana lub darowana podmiotom, o których mowa w ust. 1.</w:t>
            </w:r>
          </w:p>
          <w:p w14:paraId="41A1AEB9" w14:textId="77777777" w:rsidR="00C076E7" w:rsidRPr="00FB76A9" w:rsidRDefault="00C076E7" w:rsidP="00FD5CD5">
            <w:pPr>
              <w:pStyle w:val="ZPKTzmpktartykuempunktem"/>
              <w:spacing w:line="240" w:lineRule="auto"/>
              <w:ind w:left="510" w:firstLine="510"/>
              <w:jc w:val="left"/>
              <w:rPr>
                <w:rFonts w:ascii="Times New Roman" w:hAnsi="Times New Roman" w:cs="Times New Roman"/>
                <w:szCs w:val="24"/>
              </w:rPr>
            </w:pPr>
            <w:r w:rsidRPr="00FB76A9">
              <w:rPr>
                <w:rFonts w:ascii="Times New Roman" w:hAnsi="Times New Roman" w:cs="Times New Roman"/>
                <w:szCs w:val="24"/>
              </w:rPr>
              <w:t xml:space="preserve">3. Dyrektor TDT jako organ nadzoru rynku po dokonaniu oceny, o której mowa </w:t>
            </w:r>
            <w:r w:rsidRPr="00FB76A9">
              <w:rPr>
                <w:rFonts w:ascii="Times New Roman" w:hAnsi="Times New Roman" w:cs="Times New Roman"/>
                <w:szCs w:val="24"/>
              </w:rPr>
              <w:br/>
              <w:t xml:space="preserve">w ust. 2, zamieszcza w Biuletynie Informacji Publicznej Transportowego Dozoru Technicznego informacje o pojazdach, przedmiotach wyposażenia lub częściach, które mogą być przedmiotem przekazania lub darowizny podmiotom, o których mowa </w:t>
            </w:r>
            <w:r w:rsidRPr="00FB76A9">
              <w:rPr>
                <w:rFonts w:ascii="Times New Roman" w:hAnsi="Times New Roman" w:cs="Times New Roman"/>
                <w:szCs w:val="24"/>
              </w:rPr>
              <w:br/>
              <w:t>w ust. 1.</w:t>
            </w:r>
          </w:p>
          <w:p w14:paraId="72B8BAA8" w14:textId="77777777" w:rsidR="00C076E7" w:rsidRPr="00FB76A9" w:rsidRDefault="00C076E7" w:rsidP="00FD5CD5">
            <w:pPr>
              <w:autoSpaceDE w:val="0"/>
              <w:autoSpaceDN w:val="0"/>
              <w:adjustRightInd w:val="0"/>
              <w:spacing w:after="0" w:line="240" w:lineRule="auto"/>
              <w:ind w:left="510" w:firstLine="510"/>
              <w:rPr>
                <w:rFonts w:ascii="Times New Roman" w:eastAsiaTheme="minorEastAsia" w:hAnsi="Times New Roman" w:cs="Times New Roman"/>
                <w:bCs/>
                <w:sz w:val="24"/>
                <w:szCs w:val="24"/>
                <w:lang w:eastAsia="pl-PL"/>
              </w:rPr>
            </w:pPr>
            <w:r w:rsidRPr="00FB76A9">
              <w:rPr>
                <w:rFonts w:ascii="Times New Roman" w:eastAsiaTheme="minorEastAsia" w:hAnsi="Times New Roman" w:cs="Times New Roman"/>
                <w:bCs/>
                <w:sz w:val="24"/>
                <w:szCs w:val="24"/>
                <w:lang w:eastAsia="pl-PL"/>
              </w:rPr>
              <w:t>4. Dyrektor TDT dokonuje przekazania lub darowizny pojazdu, przedmiotu wyposażenia lub części podmiotowi, o którym mowa w ust. 1, na podstawie kolejności dokonanych zgłoszeń.</w:t>
            </w:r>
          </w:p>
          <w:p w14:paraId="33DDBBDD" w14:textId="77777777" w:rsidR="00C076E7" w:rsidRPr="00FB76A9" w:rsidRDefault="00C076E7" w:rsidP="00FD5CD5">
            <w:pPr>
              <w:pStyle w:val="ZPKTzmpktartykuempunktem"/>
              <w:spacing w:line="240" w:lineRule="auto"/>
              <w:ind w:left="510" w:firstLine="510"/>
              <w:jc w:val="left"/>
              <w:rPr>
                <w:rFonts w:ascii="Times New Roman" w:hAnsi="Times New Roman" w:cs="Times New Roman"/>
                <w:szCs w:val="24"/>
              </w:rPr>
            </w:pPr>
            <w:r w:rsidRPr="00FB76A9">
              <w:rPr>
                <w:rFonts w:ascii="Times New Roman" w:hAnsi="Times New Roman" w:cs="Times New Roman"/>
                <w:bCs w:val="0"/>
                <w:szCs w:val="24"/>
              </w:rPr>
              <w:t xml:space="preserve">5. Dyrektor TDT </w:t>
            </w:r>
            <w:r w:rsidRPr="00FB76A9">
              <w:rPr>
                <w:rFonts w:ascii="Times New Roman" w:hAnsi="Times New Roman" w:cs="Times New Roman"/>
                <w:szCs w:val="24"/>
              </w:rPr>
              <w:t xml:space="preserve">jako organ nadzoru rynku zamieszcza w Biuletynie Informacji Publicznej Transportowego Dozoru Technicznego informacje o przekazaniach lub darowiznach, o których mowa w ust. 1. </w:t>
            </w:r>
          </w:p>
          <w:p w14:paraId="5C7CD870" w14:textId="77777777" w:rsidR="00C076E7" w:rsidRPr="00FB76A9" w:rsidRDefault="00C076E7" w:rsidP="00FD5CD5">
            <w:pPr>
              <w:pStyle w:val="ZPKTzmpktartykuempunktem"/>
              <w:spacing w:line="240" w:lineRule="auto"/>
              <w:ind w:left="510" w:firstLine="510"/>
              <w:jc w:val="left"/>
              <w:rPr>
                <w:rFonts w:ascii="Times New Roman" w:hAnsi="Times New Roman" w:cs="Times New Roman"/>
                <w:szCs w:val="24"/>
              </w:rPr>
            </w:pPr>
            <w:r w:rsidRPr="00FB76A9">
              <w:rPr>
                <w:rFonts w:ascii="Times New Roman" w:hAnsi="Times New Roman" w:cs="Times New Roman"/>
                <w:szCs w:val="24"/>
              </w:rPr>
              <w:t xml:space="preserve">6. Do przekazania lub darowizny stosuje się odpowiednio przepisy wydane na podstawie art. 5 ust. 2 ustawy z dnia 16 grudnia 2016 r. o zasadach zarządzania mieniem państwowym (Dz. U. z 2026 r. poz. 373). </w:t>
            </w:r>
          </w:p>
          <w:p w14:paraId="3C8821A5" w14:textId="77777777" w:rsidR="00C076E7" w:rsidRPr="00FB76A9" w:rsidRDefault="00C076E7" w:rsidP="00FD5CD5">
            <w:pPr>
              <w:pStyle w:val="ZARTzmartartykuempunktem"/>
              <w:keepNext/>
              <w:spacing w:line="240" w:lineRule="auto"/>
              <w:jc w:val="left"/>
              <w:rPr>
                <w:rFonts w:ascii="Times New Roman" w:hAnsi="Times New Roman" w:cs="Times New Roman"/>
                <w:szCs w:val="24"/>
              </w:rPr>
            </w:pPr>
            <w:r w:rsidRPr="00FB76A9">
              <w:rPr>
                <w:rFonts w:ascii="Times New Roman" w:eastAsiaTheme="minorHAnsi" w:hAnsi="Times New Roman" w:cs="Times New Roman"/>
                <w:szCs w:val="24"/>
              </w:rPr>
              <w:lastRenderedPageBreak/>
              <w:t xml:space="preserve">Art. 68zs. 1. W przypadku wydania przez Dyrektora TDT jako organ nadzoru rynku  decyzji, o której mowa w art. 68zj ust. 1 lub art. 68zk ust. 12, zobowiązującej podmiot gospodarczy, który wprowadził do obrotu lub udostępnił na rynku pojazd, przedmiot wyposażenia lub część do dokonania ich zniszczenia, </w:t>
            </w:r>
            <w:r w:rsidRPr="00FB76A9">
              <w:rPr>
                <w:rFonts w:ascii="Times New Roman" w:hAnsi="Times New Roman" w:cs="Times New Roman"/>
                <w:szCs w:val="24"/>
              </w:rPr>
              <w:t>zniszczenie to przeprowadza się w zakładzie posiadającym:</w:t>
            </w:r>
          </w:p>
          <w:p w14:paraId="4D7F926E" w14:textId="77777777" w:rsidR="00C076E7" w:rsidRPr="00FB76A9" w:rsidRDefault="00C076E7" w:rsidP="005E0F9D">
            <w:pPr>
              <w:pStyle w:val="ZPKTzmpktartykuempunktem"/>
              <w:numPr>
                <w:ilvl w:val="0"/>
                <w:numId w:val="4"/>
              </w:numPr>
              <w:spacing w:line="240" w:lineRule="auto"/>
              <w:jc w:val="left"/>
              <w:rPr>
                <w:rFonts w:ascii="Times New Roman" w:hAnsi="Times New Roman" w:cs="Times New Roman"/>
                <w:szCs w:val="24"/>
              </w:rPr>
            </w:pPr>
            <w:r w:rsidRPr="00FB76A9">
              <w:rPr>
                <w:rFonts w:ascii="Times New Roman" w:hAnsi="Times New Roman" w:cs="Times New Roman"/>
                <w:szCs w:val="24"/>
              </w:rPr>
              <w:t>zezwolenie na prowadzenie stacji demontażu pojazdów, o którym mowa w ustawie z dnia 20 stycznia 2005 r. o recyklingu pojazdów wycofanych z eksploatacji (Dz. U. z 2020 r. poz. 2056 i z 2022 r. poz. 1517), lub</w:t>
            </w:r>
          </w:p>
          <w:p w14:paraId="3221577C" w14:textId="77777777" w:rsidR="00C076E7" w:rsidRPr="00FB76A9" w:rsidRDefault="00C076E7" w:rsidP="005E0F9D">
            <w:pPr>
              <w:pStyle w:val="ZPKTzmpktartykuempunktem"/>
              <w:numPr>
                <w:ilvl w:val="0"/>
                <w:numId w:val="4"/>
              </w:numPr>
              <w:spacing w:line="240" w:lineRule="auto"/>
              <w:jc w:val="left"/>
              <w:rPr>
                <w:rFonts w:ascii="Times New Roman" w:hAnsi="Times New Roman" w:cs="Times New Roman"/>
                <w:szCs w:val="24"/>
              </w:rPr>
            </w:pPr>
            <w:r w:rsidRPr="00FB76A9">
              <w:rPr>
                <w:rFonts w:ascii="Times New Roman" w:hAnsi="Times New Roman" w:cs="Times New Roman"/>
                <w:szCs w:val="24"/>
              </w:rPr>
              <w:t>inne uprawnienie wydane przez organ właściwy w zakresie gospodarowania odpadami niebezpiecznymi.</w:t>
            </w:r>
          </w:p>
          <w:p w14:paraId="4425FB80"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Zakład, o którym mowa w ust. 1, obowiązany jest stosować technologie zapewniające nieodwracalność zniszczenia pojazdu, przedmiotu wyposażenia lub części oraz wyeliminowanie ich ponownego udostępnienia na rynku.</w:t>
            </w:r>
          </w:p>
          <w:p w14:paraId="002E33F9"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Zniszczenie pojazdu, przedmiotu wyposażenia lub części odbywa się z zachowaniem przepisów dotyczących ochrony środowiska, w tym w zakresie postępowania z odpadami niebezpiecznymi oraz przepisów bezpieczeństwa i higieny pracy.</w:t>
            </w:r>
          </w:p>
          <w:p w14:paraId="078C7C1A"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4. Zniszczenie pojazdu, przedmiotu wyposażenia lub części odbywa się pod nadzorem Dyrektora TDT jako organu nadzoru rynku, z uwzględnieniem ust. 5.</w:t>
            </w:r>
          </w:p>
          <w:p w14:paraId="33819E1B"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Dyrektor TDT jako organ nadzoru rynku może odstąpić od nadzoru nad zniszczeniem pojazdu,  jeżeli czynności tej dokonują zakłady, o których mowa w ust. 1 pkt 1.</w:t>
            </w:r>
          </w:p>
          <w:p w14:paraId="0E9B3D8E"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6. Dyrektor TDT jako organ nadzoru rynku może zezwolić na przemieszczenie pojazdu, przedmiotu wyposażenia lub części objętego obowiązkiem zniszczenia, pod nadzorem Dyrektora TDT jako organu nadzoru rynku między różnymi miejscami na obszarze państw członkowskich Unii Europejskiej w celu ich zniszczenia pod nadzorem organów nadzoru rynku innego państwa członkowskiego Unii Europejskiej.</w:t>
            </w:r>
          </w:p>
          <w:p w14:paraId="74952D50"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7. Zakład, o którym mowa w ust. 1, sporządza protokół ze zniszczenia zawierający:</w:t>
            </w:r>
          </w:p>
          <w:p w14:paraId="19F84B84" w14:textId="77777777" w:rsidR="00C076E7" w:rsidRPr="00FB76A9" w:rsidRDefault="00C076E7" w:rsidP="005E0F9D">
            <w:pPr>
              <w:pStyle w:val="ZPKTzmpktartykuempunktem"/>
              <w:numPr>
                <w:ilvl w:val="0"/>
                <w:numId w:val="5"/>
              </w:numPr>
              <w:spacing w:line="240" w:lineRule="auto"/>
              <w:jc w:val="left"/>
              <w:rPr>
                <w:rFonts w:ascii="Times New Roman" w:hAnsi="Times New Roman" w:cs="Times New Roman"/>
                <w:szCs w:val="24"/>
              </w:rPr>
            </w:pPr>
            <w:r w:rsidRPr="00FB76A9">
              <w:rPr>
                <w:rFonts w:ascii="Times New Roman" w:hAnsi="Times New Roman" w:cs="Times New Roman"/>
                <w:szCs w:val="24"/>
              </w:rPr>
              <w:t>nazwę i adres zakładu;</w:t>
            </w:r>
          </w:p>
          <w:p w14:paraId="6575C2F8" w14:textId="77777777" w:rsidR="00C076E7" w:rsidRPr="00FB76A9" w:rsidRDefault="00C076E7" w:rsidP="005E0F9D">
            <w:pPr>
              <w:pStyle w:val="ZPKTzmpktartykuempunktem"/>
              <w:numPr>
                <w:ilvl w:val="0"/>
                <w:numId w:val="5"/>
              </w:numPr>
              <w:spacing w:line="240" w:lineRule="auto"/>
              <w:jc w:val="left"/>
              <w:rPr>
                <w:rFonts w:ascii="Times New Roman" w:hAnsi="Times New Roman" w:cs="Times New Roman"/>
                <w:szCs w:val="24"/>
              </w:rPr>
            </w:pPr>
            <w:r w:rsidRPr="00FB76A9">
              <w:rPr>
                <w:rFonts w:ascii="Times New Roman" w:hAnsi="Times New Roman" w:cs="Times New Roman"/>
                <w:szCs w:val="24"/>
              </w:rPr>
              <w:t>datę i miejsce zniszczenia;</w:t>
            </w:r>
          </w:p>
          <w:p w14:paraId="71C590E3" w14:textId="77777777" w:rsidR="00C076E7" w:rsidRPr="00FB76A9" w:rsidRDefault="00C076E7" w:rsidP="005E0F9D">
            <w:pPr>
              <w:pStyle w:val="ZPKTzmpktartykuempunktem"/>
              <w:numPr>
                <w:ilvl w:val="0"/>
                <w:numId w:val="5"/>
              </w:numPr>
              <w:spacing w:line="240" w:lineRule="auto"/>
              <w:jc w:val="left"/>
              <w:rPr>
                <w:rFonts w:ascii="Times New Roman" w:hAnsi="Times New Roman" w:cs="Times New Roman"/>
                <w:szCs w:val="24"/>
              </w:rPr>
            </w:pPr>
            <w:r w:rsidRPr="00FB76A9">
              <w:rPr>
                <w:rFonts w:ascii="Times New Roman" w:hAnsi="Times New Roman" w:cs="Times New Roman"/>
                <w:szCs w:val="24"/>
              </w:rPr>
              <w:t>nazwę i adres podmiotu gospodarczego zlecającego zniszczenie;</w:t>
            </w:r>
          </w:p>
          <w:p w14:paraId="43544AC7" w14:textId="77777777" w:rsidR="00C076E7" w:rsidRPr="00FB76A9" w:rsidRDefault="00C076E7" w:rsidP="005E0F9D">
            <w:pPr>
              <w:pStyle w:val="ZPKTzmpktartykuempunktem"/>
              <w:numPr>
                <w:ilvl w:val="0"/>
                <w:numId w:val="5"/>
              </w:numPr>
              <w:spacing w:line="240" w:lineRule="auto"/>
              <w:jc w:val="left"/>
              <w:rPr>
                <w:rFonts w:ascii="Times New Roman" w:hAnsi="Times New Roman" w:cs="Times New Roman"/>
                <w:szCs w:val="24"/>
              </w:rPr>
            </w:pPr>
            <w:r w:rsidRPr="00FB76A9">
              <w:rPr>
                <w:rFonts w:ascii="Times New Roman" w:hAnsi="Times New Roman" w:cs="Times New Roman"/>
                <w:szCs w:val="24"/>
              </w:rPr>
              <w:t>oznaczenie pojazdu, przedmiotu wyposażenia lub części, w tym numer VIN lub inny numer umożliwiający identyfikację pojazdu, przedmiotu wyposażenia lub części;</w:t>
            </w:r>
          </w:p>
          <w:p w14:paraId="13C586F1" w14:textId="77777777" w:rsidR="00C076E7" w:rsidRPr="00FB76A9" w:rsidRDefault="00C076E7" w:rsidP="005E0F9D">
            <w:pPr>
              <w:pStyle w:val="ZPKTzmpktartykuempunktem"/>
              <w:numPr>
                <w:ilvl w:val="0"/>
                <w:numId w:val="5"/>
              </w:numPr>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liczbę oraz wagę zniszczonych pojazdów, przedmiotów wyposażenia lub części;</w:t>
            </w:r>
          </w:p>
          <w:p w14:paraId="1BD68C71" w14:textId="77777777" w:rsidR="00C076E7" w:rsidRPr="00FB76A9" w:rsidRDefault="00C076E7" w:rsidP="005E0F9D">
            <w:pPr>
              <w:pStyle w:val="ZPKTzmpktartykuempunktem"/>
              <w:numPr>
                <w:ilvl w:val="0"/>
                <w:numId w:val="5"/>
              </w:numPr>
              <w:spacing w:line="240" w:lineRule="auto"/>
              <w:jc w:val="left"/>
              <w:rPr>
                <w:rFonts w:ascii="Times New Roman" w:hAnsi="Times New Roman" w:cs="Times New Roman"/>
                <w:szCs w:val="24"/>
              </w:rPr>
            </w:pPr>
            <w:r w:rsidRPr="00FB76A9">
              <w:rPr>
                <w:rFonts w:ascii="Times New Roman" w:hAnsi="Times New Roman" w:cs="Times New Roman"/>
                <w:szCs w:val="24"/>
              </w:rPr>
              <w:t>opis zastosowanej metody zniszczenia;</w:t>
            </w:r>
          </w:p>
          <w:p w14:paraId="10D68A12" w14:textId="77777777" w:rsidR="00C076E7" w:rsidRPr="00FB76A9" w:rsidRDefault="00C076E7" w:rsidP="005E0F9D">
            <w:pPr>
              <w:pStyle w:val="ZPKTzmpktartykuempunktem"/>
              <w:numPr>
                <w:ilvl w:val="0"/>
                <w:numId w:val="5"/>
              </w:numPr>
              <w:spacing w:line="240" w:lineRule="auto"/>
              <w:jc w:val="left"/>
              <w:rPr>
                <w:rFonts w:ascii="Times New Roman" w:hAnsi="Times New Roman" w:cs="Times New Roman"/>
                <w:szCs w:val="24"/>
              </w:rPr>
            </w:pPr>
            <w:r w:rsidRPr="00FB76A9">
              <w:rPr>
                <w:rFonts w:ascii="Times New Roman" w:hAnsi="Times New Roman" w:cs="Times New Roman"/>
                <w:szCs w:val="24"/>
              </w:rPr>
              <w:t>podpis osoby odpowiedzialnej za przeprowadzenie zniszczenia.</w:t>
            </w:r>
          </w:p>
          <w:p w14:paraId="117B7ECD"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8. Protokół, o którym mowa w ust. 7, przekazywany jest w terminie 7 dni od dnia zniszczenia:</w:t>
            </w:r>
          </w:p>
          <w:p w14:paraId="49BC4308" w14:textId="77777777" w:rsidR="00C076E7" w:rsidRPr="00FB76A9" w:rsidRDefault="00C076E7" w:rsidP="005E0F9D">
            <w:pPr>
              <w:pStyle w:val="ZPKTzmpktartykuempunktem"/>
              <w:numPr>
                <w:ilvl w:val="0"/>
                <w:numId w:val="6"/>
              </w:numPr>
              <w:spacing w:line="240" w:lineRule="auto"/>
              <w:jc w:val="left"/>
              <w:rPr>
                <w:rFonts w:ascii="Times New Roman" w:hAnsi="Times New Roman" w:cs="Times New Roman"/>
                <w:szCs w:val="24"/>
              </w:rPr>
            </w:pPr>
            <w:r w:rsidRPr="00FB76A9">
              <w:rPr>
                <w:rFonts w:ascii="Times New Roman" w:hAnsi="Times New Roman" w:cs="Times New Roman"/>
                <w:szCs w:val="24"/>
              </w:rPr>
              <w:t>Dyrektorowi Transportowego Dozoru Technicznego jako organowi nadzoru rynku – w celu potwierdzenia wykonania decyzji,</w:t>
            </w:r>
            <w:r w:rsidRPr="00FB76A9">
              <w:rPr>
                <w:rFonts w:ascii="Times New Roman" w:eastAsiaTheme="minorHAnsi" w:hAnsi="Times New Roman" w:cs="Times New Roman"/>
                <w:szCs w:val="24"/>
              </w:rPr>
              <w:t xml:space="preserve"> o której mowa w art. 68zj ust. 1 w zakresie art. 68zk ust. 2 pkt 3 lub art. 68zk ust. 12</w:t>
            </w:r>
            <w:r w:rsidRPr="00FB76A9">
              <w:rPr>
                <w:rFonts w:ascii="Times New Roman" w:hAnsi="Times New Roman" w:cs="Times New Roman"/>
                <w:szCs w:val="24"/>
              </w:rPr>
              <w:t>;</w:t>
            </w:r>
          </w:p>
          <w:p w14:paraId="56646B76" w14:textId="77777777" w:rsidR="00C076E7" w:rsidRPr="00FB76A9" w:rsidRDefault="00C076E7" w:rsidP="005E0F9D">
            <w:pPr>
              <w:pStyle w:val="ZPKTzmpktartykuempunktem"/>
              <w:numPr>
                <w:ilvl w:val="0"/>
                <w:numId w:val="6"/>
              </w:numPr>
              <w:spacing w:line="240" w:lineRule="auto"/>
              <w:jc w:val="left"/>
              <w:rPr>
                <w:rFonts w:ascii="Times New Roman" w:hAnsi="Times New Roman" w:cs="Times New Roman"/>
                <w:szCs w:val="24"/>
              </w:rPr>
            </w:pPr>
            <w:r w:rsidRPr="00FB76A9">
              <w:rPr>
                <w:rFonts w:ascii="Times New Roman" w:hAnsi="Times New Roman" w:cs="Times New Roman"/>
                <w:szCs w:val="24"/>
              </w:rPr>
              <w:t>podmiotowi gospodarczemu, na którego nałożono obowiązek wykonania decyzji,</w:t>
            </w:r>
            <w:r w:rsidRPr="00FB76A9">
              <w:rPr>
                <w:rFonts w:ascii="Times New Roman" w:eastAsiaTheme="minorHAnsi" w:hAnsi="Times New Roman" w:cs="Times New Roman"/>
                <w:szCs w:val="24"/>
              </w:rPr>
              <w:t xml:space="preserve"> o której mowa w art. 68zj ust. 1 w zakresie art. 68zk ust. 2 pkt 3 lub art. 68zk ust. 12</w:t>
            </w:r>
            <w:r w:rsidRPr="00FB76A9">
              <w:rPr>
                <w:rFonts w:ascii="Times New Roman" w:hAnsi="Times New Roman" w:cs="Times New Roman"/>
                <w:szCs w:val="24"/>
              </w:rPr>
              <w:t>.</w:t>
            </w:r>
          </w:p>
          <w:p w14:paraId="657B7ABC" w14:textId="77777777" w:rsidR="00C076E7" w:rsidRPr="00B52C6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9. Podmiot gospodarczy, o którym mowa w ust. 1, informuje Dyrektora TDT jako organ nadzoru rynku o wykonaniu decyzji, o której mowa w art. 68zj ust. 1</w:t>
            </w:r>
            <w:r w:rsidRPr="00FB76A9">
              <w:rPr>
                <w:rFonts w:ascii="Times New Roman" w:eastAsiaTheme="minorHAnsi" w:hAnsi="Times New Roman" w:cs="Times New Roman"/>
                <w:szCs w:val="24"/>
              </w:rPr>
              <w:t xml:space="preserve"> lub art. 68zk ust. 12, w zakresie </w:t>
            </w:r>
            <w:r w:rsidRPr="00FB76A9">
              <w:rPr>
                <w:rFonts w:ascii="Times New Roman" w:hAnsi="Times New Roman" w:cs="Times New Roman"/>
                <w:szCs w:val="24"/>
              </w:rPr>
              <w:t>zniszczenia pojazdu, przedmiotu wyposażenia lub części, w terminie 14 dni od dnia upływu terminu ws</w:t>
            </w:r>
            <w:r w:rsidRPr="00B52C69">
              <w:rPr>
                <w:rFonts w:ascii="Times New Roman" w:hAnsi="Times New Roman" w:cs="Times New Roman"/>
                <w:szCs w:val="24"/>
              </w:rPr>
              <w:t xml:space="preserve">kazanego w tej decyzji. </w:t>
            </w:r>
          </w:p>
          <w:p w14:paraId="4D207B94" w14:textId="77777777" w:rsidR="00C076E7" w:rsidRPr="00FB76A9" w:rsidRDefault="00CF3C6A" w:rsidP="00FD5CD5">
            <w:pPr>
              <w:pStyle w:val="ZUSTzmustartykuempunktem"/>
              <w:spacing w:line="240" w:lineRule="auto"/>
              <w:jc w:val="left"/>
              <w:rPr>
                <w:rFonts w:ascii="Times New Roman" w:hAnsi="Times New Roman" w:cs="Times New Roman"/>
                <w:szCs w:val="24"/>
              </w:rPr>
            </w:pPr>
            <w:r w:rsidRPr="00B52C69">
              <w:t xml:space="preserve">10. W przypadku gdy podmiot gospodarczy nie wykonał decyzji, o której mowa w art. 68zj lub art. 68zk ust. 12, </w:t>
            </w:r>
            <w:r w:rsidRPr="00B52C69">
              <w:rPr>
                <w:rFonts w:eastAsiaTheme="minorHAnsi"/>
              </w:rPr>
              <w:t xml:space="preserve">w </w:t>
            </w:r>
            <w:r w:rsidRPr="00B52C69">
              <w:rPr>
                <w:rFonts w:eastAsiaTheme="minorHAnsi"/>
              </w:rPr>
              <w:lastRenderedPageBreak/>
              <w:t>zakresie zniszczenia w terminie określonym w tej decyzji pojazdu, przedmiotu wyposażenia lub części</w:t>
            </w:r>
            <w:r w:rsidRPr="00B52C69">
              <w:t>, Dyrektor TDT jako organ nadzoru rynku ma prawo wstępu na teren nieruchomości, obiektu, lokalu lub ich części tego podmiotu gospodarczego celem odebrania mu pojazdu, przedmiotu wyposażenia lub części objętego decyzją i dokonania ich zniszczenia na koszt tego podmiotu. Przepisy art. 68zd stosuje się odpowiednio.</w:t>
            </w:r>
          </w:p>
          <w:p w14:paraId="7231AB36"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11. Dyrektor TDT jako organ nadzoru rynku w drodze decyzji administracyjnej określa wysokość oraz termin uiszczenia opłaty stanowiącej równowartość kosztów zniszczenia pojazdu, wyposażenia lub części oraz innych poniesionych przez Dyrektora TDT kosztów związanych z ich zniszczeniem, w tym kosztów transportu i przechowywania. </w:t>
            </w:r>
          </w:p>
          <w:p w14:paraId="76823DA3"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12. Opłata, o której mowa w ust. 11, stanowi przychód Dyrektora TDT jako organu nadzoru rynku. </w:t>
            </w:r>
          </w:p>
          <w:p w14:paraId="7D837C57" w14:textId="77777777" w:rsidR="00C076E7" w:rsidRPr="00FB76A9" w:rsidRDefault="00C076E7"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13. Minister właściwy do spraw transportu określi, w drodze rozporządzenia, wzór protokołu ze zniszczenia pojazdu, przedmiotu wyposażenia lub części, mając na względzie jednolitość dokumentacji i danych w nich zawartych. </w:t>
            </w:r>
          </w:p>
          <w:p w14:paraId="384605A0" w14:textId="77777777" w:rsidR="00C076E7" w:rsidRPr="00FB76A9" w:rsidRDefault="00C076E7" w:rsidP="00FD5CD5">
            <w:pPr>
              <w:pStyle w:val="ZARTzmartartykuempunktem"/>
              <w:keepNext/>
              <w:spacing w:line="240" w:lineRule="auto"/>
              <w:jc w:val="left"/>
              <w:rPr>
                <w:rFonts w:ascii="Times New Roman" w:hAnsi="Times New Roman" w:cs="Times New Roman"/>
                <w:szCs w:val="24"/>
              </w:rPr>
            </w:pPr>
            <w:bookmarkStart w:id="29" w:name="_Hlk136244655"/>
            <w:bookmarkStart w:id="30" w:name="_Hlk219290652"/>
            <w:r w:rsidRPr="00FB76A9">
              <w:rPr>
                <w:rFonts w:ascii="Times New Roman" w:hAnsi="Times New Roman" w:cs="Times New Roman"/>
                <w:szCs w:val="24"/>
              </w:rPr>
              <w:t xml:space="preserve">Art. 68zt. 1. Dyrektor TDT jako organ nadzoru rynku podaje do publicznej wiadomości, w tym poprzez publikację na </w:t>
            </w:r>
            <w:r w:rsidRPr="00FB76A9">
              <w:rPr>
                <w:rFonts w:ascii="Times New Roman" w:hAnsi="Times New Roman" w:cs="Times New Roman"/>
                <w:szCs w:val="24"/>
              </w:rPr>
              <w:lastRenderedPageBreak/>
              <w:t>stronie podmiotowej Transportowego Dozoru Technicznego:</w:t>
            </w:r>
          </w:p>
          <w:p w14:paraId="715293E1"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komunikaty i ostrzeżenia dotyczące pojazdów, przedmiotów wyposażenia lub części, które są niezgodne z wymaganiami technicznymi lub stwarzają poważne ryzyko;</w:t>
            </w:r>
          </w:p>
          <w:p w14:paraId="080006E4" w14:textId="77777777" w:rsidR="00C076E7" w:rsidRPr="00FB76A9" w:rsidRDefault="00C076E7" w:rsidP="00FD5CD5">
            <w:pPr>
              <w:pStyle w:val="ZPKTzmpk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informacje o przeprowadzonych kontrolach i ich wynikach zawierające dane identyfikujące:</w:t>
            </w:r>
          </w:p>
          <w:p w14:paraId="04151EE4" w14:textId="77777777" w:rsidR="00C076E7" w:rsidRPr="00FB76A9" w:rsidRDefault="00C076E7"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a)</w:t>
            </w:r>
            <w:r w:rsidRPr="00FB76A9">
              <w:rPr>
                <w:rFonts w:ascii="Times New Roman" w:hAnsi="Times New Roman" w:cs="Times New Roman"/>
                <w:szCs w:val="24"/>
              </w:rPr>
              <w:tab/>
              <w:t>podmiot gospodarczy udostępniający na rynku pojazd, przedmiot wyposażenia lub część  w zakresie nazwy i adresu siedziby,</w:t>
            </w:r>
          </w:p>
          <w:p w14:paraId="394EBDF0" w14:textId="77777777" w:rsidR="00C076E7" w:rsidRPr="00FB76A9" w:rsidRDefault="00C076E7"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b)</w:t>
            </w:r>
            <w:r w:rsidRPr="00FB76A9">
              <w:rPr>
                <w:rFonts w:ascii="Times New Roman" w:hAnsi="Times New Roman" w:cs="Times New Roman"/>
                <w:szCs w:val="24"/>
              </w:rPr>
              <w:tab/>
              <w:t>pojazd, przedmiot wyposażenia lub część</w:t>
            </w:r>
            <w:r w:rsidRPr="00FB76A9" w:rsidDel="00A31BBF">
              <w:rPr>
                <w:rFonts w:ascii="Times New Roman" w:hAnsi="Times New Roman" w:cs="Times New Roman"/>
                <w:szCs w:val="24"/>
              </w:rPr>
              <w:t xml:space="preserve"> </w:t>
            </w:r>
            <w:r w:rsidRPr="00FB76A9">
              <w:rPr>
                <w:rFonts w:ascii="Times New Roman" w:hAnsi="Times New Roman" w:cs="Times New Roman"/>
                <w:szCs w:val="24"/>
              </w:rPr>
              <w:t>poddany kontroli oraz ich producenta – w zakresie jego nazwy i adresu siedziby;</w:t>
            </w:r>
          </w:p>
          <w:p w14:paraId="1CD96101"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decyzje, o których mowa w 68zj ust. 1 lub art. 68zk ust, 12, ze wskazaniem czy decyzja jest prawomocna, pomijając informacje stanowiące tajemnice podlegające ochronie na podstawie przepisów odrębnych.</w:t>
            </w:r>
          </w:p>
          <w:p w14:paraId="5A6B1B69" w14:textId="77777777" w:rsidR="00C076E7" w:rsidRPr="00FB76A9" w:rsidRDefault="00C076E7" w:rsidP="00FD5CD5">
            <w:pPr>
              <w:spacing w:after="0" w:line="240" w:lineRule="auto"/>
              <w:ind w:left="510" w:firstLine="510"/>
              <w:rPr>
                <w:rFonts w:ascii="Times New Roman" w:hAnsi="Times New Roman" w:cs="Times New Roman"/>
                <w:sz w:val="24"/>
                <w:szCs w:val="24"/>
              </w:rPr>
            </w:pPr>
            <w:r w:rsidRPr="00FB76A9">
              <w:rPr>
                <w:rFonts w:ascii="Times New Roman" w:hAnsi="Times New Roman" w:cs="Times New Roman"/>
                <w:sz w:val="24"/>
                <w:szCs w:val="24"/>
              </w:rPr>
              <w:t>2. W przypadku, gdy podmiotem którego dotyczy publikacja, o której mowa w ust. 1 pkt 2 lub 3, jest osoba fizyczna wykonująca działalność gospodarczą, dane identyfikujące ten podmiot, obejmują firmę i miejsce wykonywania działalności gospodarczej.</w:t>
            </w:r>
          </w:p>
          <w:p w14:paraId="5A075FE3" w14:textId="77777777" w:rsidR="00C076E7" w:rsidRPr="00FB76A9" w:rsidRDefault="00C076E7"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3. Dyrektor TDT jako organ nadzoru rynku prowadzi wykaz pojazdów, przedmiotów wyposażenia oraz części niezgodnych z wymaganiami technicznymi lub które stwarzają poważne ryzyko, zwany dalej „wykazem niezgodności”, oraz wykaz akcji serwisowych, zwany dalej „wykazem akcji”.</w:t>
            </w:r>
          </w:p>
          <w:p w14:paraId="67F67203" w14:textId="77777777" w:rsidR="00C076E7" w:rsidRPr="00FB76A9" w:rsidRDefault="00C076E7"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4. W wykazie niezgodności</w:t>
            </w:r>
            <w:r w:rsidRPr="00FB76A9" w:rsidDel="00F720AF">
              <w:rPr>
                <w:rFonts w:ascii="Times New Roman" w:hAnsi="Times New Roman" w:cs="Times New Roman"/>
                <w:szCs w:val="24"/>
              </w:rPr>
              <w:t xml:space="preserve"> </w:t>
            </w:r>
            <w:r w:rsidRPr="00FB76A9">
              <w:rPr>
                <w:rFonts w:ascii="Times New Roman" w:hAnsi="Times New Roman" w:cs="Times New Roman"/>
                <w:szCs w:val="24"/>
              </w:rPr>
              <w:t>są gromadzone:</w:t>
            </w:r>
          </w:p>
          <w:p w14:paraId="7480C22A" w14:textId="77777777" w:rsidR="00C076E7" w:rsidRPr="00FB76A9" w:rsidRDefault="00C076E7"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dane umożliwiające identyfikację pojazdu, przedmiotu wyposażenia lub części;</w:t>
            </w:r>
          </w:p>
          <w:p w14:paraId="0AA5C6BD" w14:textId="77777777" w:rsidR="00C076E7" w:rsidRPr="00FB76A9" w:rsidRDefault="00C076E7"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informacje o:</w:t>
            </w:r>
          </w:p>
          <w:p w14:paraId="14C5EF58" w14:textId="77777777" w:rsidR="00C076E7" w:rsidRPr="00FB76A9" w:rsidRDefault="00C076E7" w:rsidP="00FD5CD5">
            <w:pPr>
              <w:pStyle w:val="ZARTzmartartykuempunktem"/>
              <w:spacing w:line="240" w:lineRule="auto"/>
              <w:ind w:left="1497" w:hanging="476"/>
              <w:jc w:val="left"/>
              <w:rPr>
                <w:rFonts w:ascii="Times New Roman" w:hAnsi="Times New Roman" w:cs="Times New Roman"/>
                <w:szCs w:val="24"/>
              </w:rPr>
            </w:pPr>
            <w:r w:rsidRPr="00FB76A9">
              <w:rPr>
                <w:rFonts w:ascii="Times New Roman" w:hAnsi="Times New Roman" w:cs="Times New Roman"/>
                <w:szCs w:val="24"/>
              </w:rPr>
              <w:t>a)</w:t>
            </w:r>
            <w:r w:rsidRPr="00FB76A9">
              <w:rPr>
                <w:rFonts w:ascii="Times New Roman" w:hAnsi="Times New Roman" w:cs="Times New Roman"/>
                <w:szCs w:val="24"/>
              </w:rPr>
              <w:tab/>
              <w:t>rodzaju i zakresie niezgodności z wymaganiami technicznymi lub stwarzanym poważnym ryzykiem przez pojazd, przedmiot wyposażenia lub część,</w:t>
            </w:r>
          </w:p>
          <w:p w14:paraId="087BBCAB" w14:textId="77777777" w:rsidR="00C076E7" w:rsidRPr="00FB76A9" w:rsidRDefault="00C076E7" w:rsidP="00FD5CD5">
            <w:pPr>
              <w:pStyle w:val="ZARTzmartartykuempunktem"/>
              <w:spacing w:line="240" w:lineRule="auto"/>
              <w:ind w:left="1497" w:hanging="476"/>
              <w:jc w:val="left"/>
              <w:rPr>
                <w:rFonts w:ascii="Times New Roman" w:hAnsi="Times New Roman" w:cs="Times New Roman"/>
                <w:szCs w:val="24"/>
              </w:rPr>
            </w:pPr>
            <w:r w:rsidRPr="00FB76A9">
              <w:rPr>
                <w:rFonts w:ascii="Times New Roman" w:hAnsi="Times New Roman" w:cs="Times New Roman"/>
                <w:szCs w:val="24"/>
              </w:rPr>
              <w:t>b)</w:t>
            </w:r>
            <w:r w:rsidRPr="00FB76A9">
              <w:rPr>
                <w:rFonts w:ascii="Times New Roman" w:hAnsi="Times New Roman" w:cs="Times New Roman"/>
                <w:szCs w:val="24"/>
              </w:rPr>
              <w:tab/>
              <w:t>środkach naprawczych, jakie zastosowano w odniesieniu do pojazdu, przedmiotu wyposażenia lub części.</w:t>
            </w:r>
          </w:p>
          <w:p w14:paraId="0E019A5B" w14:textId="77777777" w:rsidR="00C076E7" w:rsidRPr="00FB76A9" w:rsidRDefault="00C076E7"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5. Dyrektor TDT jako organ nadzoru rynku dokonuje wpisu do wykazu niezgodności</w:t>
            </w:r>
            <w:r w:rsidRPr="00FB76A9" w:rsidDel="00F720AF">
              <w:rPr>
                <w:rFonts w:ascii="Times New Roman" w:hAnsi="Times New Roman" w:cs="Times New Roman"/>
                <w:szCs w:val="24"/>
              </w:rPr>
              <w:t xml:space="preserve"> </w:t>
            </w:r>
            <w:r w:rsidRPr="00FB76A9">
              <w:rPr>
                <w:rFonts w:ascii="Times New Roman" w:eastAsia="Times New Roman" w:hAnsi="Times New Roman" w:cs="Times New Roman"/>
                <w:color w:val="333333"/>
                <w:szCs w:val="24"/>
              </w:rPr>
              <w:t xml:space="preserve">niezwłocznie po dniu, w którym decyzja, o której mowa w 68zj ust. 1 lub art. 68zk ust. 12, stała się prawomocna, lub niezwłocznie po otrzymaniu zawiadomienia w systemie </w:t>
            </w:r>
            <w:r w:rsidRPr="00FB76A9">
              <w:rPr>
                <w:rFonts w:ascii="Times New Roman" w:hAnsi="Times New Roman" w:cs="Times New Roman"/>
                <w:szCs w:val="24"/>
              </w:rPr>
              <w:t>Safety Gate</w:t>
            </w:r>
            <w:r w:rsidRPr="00FB76A9">
              <w:rPr>
                <w:rFonts w:ascii="Times New Roman" w:eastAsia="Times New Roman" w:hAnsi="Times New Roman" w:cs="Times New Roman"/>
                <w:color w:val="333333"/>
                <w:szCs w:val="24"/>
              </w:rPr>
              <w:t xml:space="preserve"> o wydaniu prawomocnej decyzji przez organ nadzoru </w:t>
            </w:r>
            <w:r w:rsidRPr="00FB76A9">
              <w:rPr>
                <w:rFonts w:ascii="Times New Roman" w:eastAsia="Times New Roman" w:hAnsi="Times New Roman" w:cs="Times New Roman"/>
                <w:color w:val="333333"/>
                <w:szCs w:val="24"/>
              </w:rPr>
              <w:lastRenderedPageBreak/>
              <w:t>rynku innego państwa członkowskiego Unii Europejskiej.</w:t>
            </w:r>
          </w:p>
          <w:p w14:paraId="6E8B4B4E" w14:textId="77777777" w:rsidR="00C076E7" w:rsidRPr="00FB76A9" w:rsidRDefault="00C076E7"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6. Dyrektor TDT jako organ nadzoru rynku, z urzędu lub na wniosek innego organu nadzoru rynku, usuwa wpis z wykazu niezgodności, w przypadku gdy:</w:t>
            </w:r>
          </w:p>
          <w:p w14:paraId="70D4DCA7" w14:textId="77777777" w:rsidR="00C076E7" w:rsidRPr="00FB76A9" w:rsidRDefault="00C076E7"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 xml:space="preserve">strona postępowania, o którym mowa w art. 68zj ust. 1 lub art. 68zk ust. 12 wykaże, że wykonała decyzję, o której mowa w tym przepisie; wpis usuwa się nie wcześniej niż po upływie 3 miesięcy od dnia tego wykazania; </w:t>
            </w:r>
          </w:p>
          <w:p w14:paraId="3121F379" w14:textId="77777777" w:rsidR="00C076E7" w:rsidRPr="00FB76A9" w:rsidRDefault="00C076E7"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podmiot gospodarczy, będący stroną postępowania, o którym mowa w art. 68zj ust. 1 lub art. 68zk ust. 12, zaprzestał prowadzenia działalności gospodarczej; wpis usuwa się nie wcześniej niż po upływie 24 miesięcy od dnia zaprzestania prowadzenia działalności gospodarczej przez ten podmiot.</w:t>
            </w:r>
          </w:p>
          <w:p w14:paraId="7E8625B8" w14:textId="77777777" w:rsidR="00C076E7" w:rsidRPr="00FB76A9" w:rsidRDefault="00C076E7"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7. Dyrektor TDT jako organ nadzoru rynku może w każdym czasie podać do publicznej wiadomości informacje zawarte w wykazie niezgodności.</w:t>
            </w:r>
          </w:p>
          <w:p w14:paraId="7B620FF5" w14:textId="77777777" w:rsidR="00C076E7" w:rsidRPr="00FB76A9" w:rsidRDefault="00C076E7" w:rsidP="00FD5CD5">
            <w:pPr>
              <w:shd w:val="clear" w:color="auto" w:fill="FFFFFF"/>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imes New Roman" w:hAnsi="Times New Roman" w:cs="Times New Roman"/>
                <w:color w:val="333333"/>
                <w:sz w:val="24"/>
                <w:szCs w:val="24"/>
                <w:lang w:eastAsia="pl-PL"/>
              </w:rPr>
              <w:t xml:space="preserve">8. </w:t>
            </w:r>
            <w:r w:rsidRPr="00FB76A9">
              <w:rPr>
                <w:rFonts w:ascii="Times New Roman" w:eastAsiaTheme="minorEastAsia" w:hAnsi="Times New Roman" w:cs="Times New Roman"/>
                <w:sz w:val="24"/>
                <w:szCs w:val="24"/>
                <w:lang w:eastAsia="pl-PL"/>
              </w:rPr>
              <w:t>Wykaz niezgodności jest prowadzony z wykorzystaniem systemu teleinformatycznego.</w:t>
            </w:r>
          </w:p>
          <w:p w14:paraId="7C0B1D9D" w14:textId="77777777" w:rsidR="00C076E7" w:rsidRPr="00FB76A9" w:rsidRDefault="00C076E7"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 xml:space="preserve">9. Każdy wpis do </w:t>
            </w:r>
            <w:r w:rsidRPr="00FB76A9">
              <w:rPr>
                <w:rFonts w:ascii="Times New Roman" w:hAnsi="Times New Roman" w:cs="Times New Roman"/>
                <w:sz w:val="24"/>
                <w:szCs w:val="24"/>
              </w:rPr>
              <w:t>wykazu niezgodności</w:t>
            </w:r>
            <w:r w:rsidRPr="00FB76A9" w:rsidDel="00F720AF">
              <w:rPr>
                <w:rFonts w:ascii="Times New Roman" w:eastAsia="Times New Roman" w:hAnsi="Times New Roman" w:cs="Times New Roman"/>
                <w:color w:val="333333"/>
                <w:sz w:val="24"/>
                <w:szCs w:val="24"/>
                <w:lang w:eastAsia="pl-PL"/>
              </w:rPr>
              <w:t xml:space="preserve"> </w:t>
            </w:r>
            <w:r w:rsidRPr="00FB76A9">
              <w:rPr>
                <w:rFonts w:ascii="Times New Roman" w:eastAsia="Times New Roman" w:hAnsi="Times New Roman" w:cs="Times New Roman"/>
                <w:color w:val="333333"/>
                <w:sz w:val="24"/>
                <w:szCs w:val="24"/>
                <w:lang w:eastAsia="pl-PL"/>
              </w:rPr>
              <w:t>dotyczy jednego pojazdu, przedmiotu wyposażenia lub części.</w:t>
            </w:r>
          </w:p>
          <w:p w14:paraId="517C1ABA" w14:textId="77777777" w:rsidR="00C076E7" w:rsidRPr="00FB76A9" w:rsidRDefault="00C076E7"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lastRenderedPageBreak/>
              <w:t>10. W</w:t>
            </w:r>
            <w:r w:rsidRPr="00FB76A9">
              <w:rPr>
                <w:rFonts w:ascii="Times New Roman" w:hAnsi="Times New Roman" w:cs="Times New Roman"/>
                <w:sz w:val="24"/>
                <w:szCs w:val="24"/>
              </w:rPr>
              <w:t>ykaz niezgodności</w:t>
            </w:r>
            <w:r w:rsidRPr="00FB76A9">
              <w:rPr>
                <w:rFonts w:ascii="Times New Roman" w:eastAsia="Times New Roman" w:hAnsi="Times New Roman" w:cs="Times New Roman"/>
                <w:color w:val="333333"/>
                <w:sz w:val="24"/>
                <w:szCs w:val="24"/>
                <w:lang w:eastAsia="pl-PL"/>
              </w:rPr>
              <w:t xml:space="preserve"> umożliwia niezwłoczne wyszukanie, odczytanie oraz wydrukowanie całości albo części zapisanych danych.</w:t>
            </w:r>
          </w:p>
          <w:p w14:paraId="211A33CE" w14:textId="77777777" w:rsidR="00C076E7" w:rsidRPr="00FB76A9" w:rsidRDefault="00C076E7"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11. W w</w:t>
            </w:r>
            <w:r w:rsidRPr="00FB76A9">
              <w:rPr>
                <w:rFonts w:ascii="Times New Roman" w:hAnsi="Times New Roman" w:cs="Times New Roman"/>
                <w:sz w:val="24"/>
                <w:szCs w:val="24"/>
              </w:rPr>
              <w:t>ykazie niezgodności</w:t>
            </w:r>
            <w:r w:rsidRPr="00FB76A9">
              <w:rPr>
                <w:rFonts w:ascii="Times New Roman" w:eastAsia="Times New Roman" w:hAnsi="Times New Roman" w:cs="Times New Roman"/>
                <w:color w:val="333333"/>
                <w:sz w:val="24"/>
                <w:szCs w:val="24"/>
                <w:lang w:eastAsia="pl-PL"/>
              </w:rPr>
              <w:t xml:space="preserve"> umieszcza się następujące dane:</w:t>
            </w:r>
          </w:p>
          <w:p w14:paraId="05421E56" w14:textId="77777777" w:rsidR="00C076E7" w:rsidRPr="00FB76A9" w:rsidRDefault="00C076E7"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w:t>
            </w:r>
            <w:r w:rsidRPr="00FB76A9">
              <w:rPr>
                <w:rFonts w:ascii="Times New Roman" w:eastAsia="Times New Roman" w:hAnsi="Times New Roman" w:cs="Times New Roman"/>
                <w:color w:val="333333"/>
                <w:sz w:val="24"/>
                <w:szCs w:val="24"/>
                <w:lang w:eastAsia="pl-PL"/>
              </w:rPr>
              <w:tab/>
              <w:t>datę wpisu do w</w:t>
            </w:r>
            <w:r w:rsidRPr="00FB76A9">
              <w:rPr>
                <w:rFonts w:ascii="Times New Roman" w:hAnsi="Times New Roman" w:cs="Times New Roman"/>
                <w:sz w:val="24"/>
                <w:szCs w:val="24"/>
              </w:rPr>
              <w:t>ykazu niezgodności</w:t>
            </w:r>
            <w:r w:rsidRPr="00FB76A9">
              <w:rPr>
                <w:rFonts w:ascii="Times New Roman" w:eastAsia="Times New Roman" w:hAnsi="Times New Roman" w:cs="Times New Roman"/>
                <w:color w:val="333333"/>
                <w:sz w:val="24"/>
                <w:szCs w:val="24"/>
                <w:lang w:eastAsia="pl-PL"/>
              </w:rPr>
              <w:t>;</w:t>
            </w:r>
          </w:p>
          <w:p w14:paraId="54927B12" w14:textId="77777777" w:rsidR="00C076E7" w:rsidRPr="00FB76A9" w:rsidRDefault="00C076E7"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2)</w:t>
            </w:r>
            <w:r w:rsidRPr="00FB76A9">
              <w:rPr>
                <w:rFonts w:ascii="Times New Roman" w:eastAsia="Times New Roman" w:hAnsi="Times New Roman" w:cs="Times New Roman"/>
                <w:color w:val="333333"/>
                <w:sz w:val="24"/>
                <w:szCs w:val="24"/>
                <w:lang w:eastAsia="pl-PL"/>
              </w:rPr>
              <w:tab/>
              <w:t>numer identyfikacyjny wpisu;</w:t>
            </w:r>
          </w:p>
          <w:p w14:paraId="1288335D" w14:textId="77777777" w:rsidR="00C076E7" w:rsidRPr="00FB76A9" w:rsidRDefault="00C076E7"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3)</w:t>
            </w:r>
            <w:r w:rsidRPr="00FB76A9">
              <w:rPr>
                <w:rFonts w:ascii="Times New Roman" w:eastAsia="Times New Roman" w:hAnsi="Times New Roman" w:cs="Times New Roman"/>
                <w:color w:val="333333"/>
                <w:sz w:val="24"/>
                <w:szCs w:val="24"/>
                <w:lang w:eastAsia="pl-PL"/>
              </w:rPr>
              <w:tab/>
              <w:t>oznaczenie decyzji, o której mowa w art. 68zj ust. 1 lub art. 68zk ust. 12;</w:t>
            </w:r>
          </w:p>
          <w:p w14:paraId="0E2737C0"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color w:val="333333"/>
                <w:szCs w:val="24"/>
              </w:rPr>
              <w:t xml:space="preserve">4)      oznaczenie pojazdu, przedmiotu wyposażenia lub części, </w:t>
            </w:r>
            <w:r w:rsidRPr="00FB76A9">
              <w:rPr>
                <w:rFonts w:ascii="Times New Roman" w:hAnsi="Times New Roman" w:cs="Times New Roman"/>
                <w:szCs w:val="24"/>
              </w:rPr>
              <w:t>w tym numer VIN lub inny numer umożliwiający identyfikację pojazdu, przedmiotu wyposażenia lub części;</w:t>
            </w:r>
          </w:p>
          <w:p w14:paraId="119286BC" w14:textId="77777777" w:rsidR="00C076E7" w:rsidRPr="00FB76A9" w:rsidRDefault="00C076E7"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5)</w:t>
            </w:r>
            <w:r w:rsidRPr="00FB76A9">
              <w:rPr>
                <w:rFonts w:ascii="Times New Roman" w:eastAsia="Times New Roman" w:hAnsi="Times New Roman" w:cs="Times New Roman"/>
                <w:color w:val="333333"/>
                <w:sz w:val="24"/>
                <w:szCs w:val="24"/>
                <w:lang w:eastAsia="pl-PL"/>
              </w:rPr>
              <w:tab/>
              <w:t>Europejski Kod Towarowy (kod EAN) wyrobu, jeżeli kod taki w przypadku danego pojazdu, przedmiotu wyposażenia lub części występuje;</w:t>
            </w:r>
          </w:p>
          <w:p w14:paraId="3D47A6CD" w14:textId="77777777" w:rsidR="00C076E7" w:rsidRPr="00FB76A9" w:rsidRDefault="00C076E7"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6)</w:t>
            </w:r>
            <w:r w:rsidRPr="00FB76A9">
              <w:rPr>
                <w:rFonts w:ascii="Times New Roman" w:eastAsia="Times New Roman" w:hAnsi="Times New Roman" w:cs="Times New Roman"/>
                <w:color w:val="333333"/>
                <w:sz w:val="24"/>
                <w:szCs w:val="24"/>
                <w:lang w:eastAsia="pl-PL"/>
              </w:rPr>
              <w:tab/>
              <w:t>kraj produkcji pojazdu, przedmiotu wyposażenia lub części;</w:t>
            </w:r>
          </w:p>
          <w:p w14:paraId="00D6CB69" w14:textId="77777777" w:rsidR="00C076E7" w:rsidRPr="00FB76A9" w:rsidRDefault="00C076E7"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7)</w:t>
            </w:r>
            <w:r w:rsidRPr="00FB76A9">
              <w:rPr>
                <w:rFonts w:ascii="Times New Roman" w:eastAsia="Times New Roman" w:hAnsi="Times New Roman" w:cs="Times New Roman"/>
                <w:color w:val="333333"/>
                <w:sz w:val="24"/>
                <w:szCs w:val="24"/>
                <w:lang w:eastAsia="pl-PL"/>
              </w:rPr>
              <w:tab/>
              <w:t>firmę lub nazwę oraz adres podmiotu gospodarczego, który wprowadził do obrotu lub udostępnił pojazd, przedmiot wyposażenia lub część na rynku Rzeczypospolitej Polskiej, wraz ze wskazaniem czy działał on jako producent, przedstawiciel producenta, importer czy dystrybutor;</w:t>
            </w:r>
          </w:p>
          <w:p w14:paraId="4B4632D1" w14:textId="77777777" w:rsidR="00C076E7" w:rsidRPr="00FB76A9" w:rsidRDefault="00C076E7"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sz w:val="24"/>
                <w:szCs w:val="24"/>
                <w:lang w:eastAsia="pl-PL"/>
              </w:rPr>
              <w:t>8)</w:t>
            </w:r>
            <w:r w:rsidRPr="00FB76A9">
              <w:rPr>
                <w:rFonts w:ascii="Times New Roman" w:eastAsia="Times New Roman" w:hAnsi="Times New Roman" w:cs="Times New Roman"/>
                <w:color w:val="333333"/>
                <w:sz w:val="24"/>
                <w:szCs w:val="24"/>
                <w:lang w:eastAsia="pl-PL"/>
              </w:rPr>
              <w:tab/>
              <w:t xml:space="preserve">opis stwierdzonych </w:t>
            </w:r>
            <w:r w:rsidRPr="00FB76A9">
              <w:rPr>
                <w:rFonts w:ascii="Times New Roman" w:hAnsi="Times New Roman" w:cs="Times New Roman"/>
                <w:sz w:val="24"/>
                <w:szCs w:val="24"/>
              </w:rPr>
              <w:t>niezgodności z wymaganiami technicznymi lub stwarzanego poważnego ryzyka przez</w:t>
            </w:r>
            <w:r w:rsidRPr="00FB76A9">
              <w:rPr>
                <w:rFonts w:ascii="Times New Roman" w:eastAsia="Times New Roman" w:hAnsi="Times New Roman" w:cs="Times New Roman"/>
                <w:color w:val="333333"/>
                <w:sz w:val="24"/>
                <w:szCs w:val="24"/>
                <w:lang w:eastAsia="pl-PL"/>
              </w:rPr>
              <w:t xml:space="preserve"> </w:t>
            </w:r>
            <w:r w:rsidRPr="00FB76A9">
              <w:rPr>
                <w:rFonts w:ascii="Times New Roman" w:eastAsia="Times New Roman" w:hAnsi="Times New Roman" w:cs="Times New Roman"/>
                <w:color w:val="333333"/>
                <w:sz w:val="24"/>
                <w:szCs w:val="24"/>
                <w:lang w:eastAsia="pl-PL"/>
              </w:rPr>
              <w:lastRenderedPageBreak/>
              <w:t>pojazd, przedmiot wyposażenia lub część;</w:t>
            </w:r>
          </w:p>
          <w:p w14:paraId="5F185431" w14:textId="77777777" w:rsidR="00C076E7" w:rsidRPr="00FB76A9" w:rsidRDefault="00C076E7"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9)</w:t>
            </w:r>
            <w:r w:rsidRPr="00FB76A9">
              <w:rPr>
                <w:rFonts w:ascii="Times New Roman" w:eastAsia="Times New Roman" w:hAnsi="Times New Roman" w:cs="Times New Roman"/>
                <w:color w:val="333333"/>
                <w:sz w:val="24"/>
                <w:szCs w:val="24"/>
                <w:lang w:eastAsia="pl-PL"/>
              </w:rPr>
              <w:tab/>
              <w:t xml:space="preserve">określenie środków naprawczych, jakie zastosowano w odniesieniu do pojazdu, przedmiotu wyposażenia lub części </w:t>
            </w:r>
            <w:r w:rsidRPr="00FB76A9">
              <w:rPr>
                <w:rFonts w:ascii="Times New Roman" w:hAnsi="Times New Roman" w:cs="Times New Roman"/>
                <w:sz w:val="24"/>
                <w:szCs w:val="24"/>
              </w:rPr>
              <w:t>niezgodnego z wymaganiami technicznymi lub stwarzającego poważne ryzyko</w:t>
            </w:r>
            <w:r w:rsidRPr="00FB76A9">
              <w:rPr>
                <w:rFonts w:ascii="Times New Roman" w:eastAsia="Times New Roman" w:hAnsi="Times New Roman" w:cs="Times New Roman"/>
                <w:color w:val="333333"/>
                <w:sz w:val="24"/>
                <w:szCs w:val="24"/>
                <w:lang w:eastAsia="pl-PL"/>
              </w:rPr>
              <w:t>;</w:t>
            </w:r>
          </w:p>
          <w:p w14:paraId="4362C00E" w14:textId="77777777" w:rsidR="00C076E7" w:rsidRPr="00FB76A9" w:rsidRDefault="00C076E7"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10)</w:t>
            </w:r>
            <w:r w:rsidRPr="00FB76A9">
              <w:rPr>
                <w:rFonts w:ascii="Times New Roman" w:eastAsia="Times New Roman" w:hAnsi="Times New Roman" w:cs="Times New Roman"/>
                <w:color w:val="333333"/>
                <w:sz w:val="24"/>
                <w:szCs w:val="24"/>
                <w:lang w:eastAsia="pl-PL"/>
              </w:rPr>
              <w:tab/>
              <w:t>inne informacje wynikające z decyzji, o której mowa w art. 68zj ust. 1 lub art. 68zk ust. 12, których umieszczenie w rejestrze może mieć wpływ na zapewnienie bezpieczeństwa użytkownikom końcowym.</w:t>
            </w:r>
          </w:p>
          <w:p w14:paraId="3E6EB446" w14:textId="77777777" w:rsidR="00C076E7" w:rsidRPr="00FB76A9" w:rsidRDefault="00C076E7" w:rsidP="00FD5CD5">
            <w:pPr>
              <w:shd w:val="clear" w:color="auto" w:fill="FFFFFF"/>
              <w:spacing w:after="0" w:line="240" w:lineRule="auto"/>
              <w:ind w:left="510" w:firstLine="510"/>
              <w:rPr>
                <w:rFonts w:ascii="Times New Roman" w:hAnsi="Times New Roman" w:cs="Times New Roman"/>
                <w:sz w:val="24"/>
                <w:szCs w:val="24"/>
              </w:rPr>
            </w:pPr>
            <w:r w:rsidRPr="00FB76A9">
              <w:rPr>
                <w:rFonts w:ascii="Times New Roman" w:eastAsia="Times New Roman" w:hAnsi="Times New Roman" w:cs="Times New Roman"/>
                <w:color w:val="333333"/>
                <w:sz w:val="24"/>
                <w:szCs w:val="24"/>
                <w:lang w:eastAsia="pl-PL"/>
              </w:rPr>
              <w:t>12. W w</w:t>
            </w:r>
            <w:r w:rsidRPr="00FB76A9">
              <w:rPr>
                <w:rFonts w:ascii="Times New Roman" w:hAnsi="Times New Roman" w:cs="Times New Roman"/>
                <w:sz w:val="24"/>
                <w:szCs w:val="24"/>
              </w:rPr>
              <w:t>ykazie niezgodności</w:t>
            </w:r>
            <w:r w:rsidRPr="00FB76A9">
              <w:rPr>
                <w:rFonts w:ascii="Times New Roman" w:eastAsia="Times New Roman" w:hAnsi="Times New Roman" w:cs="Times New Roman"/>
                <w:color w:val="333333"/>
                <w:sz w:val="24"/>
                <w:szCs w:val="24"/>
                <w:lang w:eastAsia="pl-PL"/>
              </w:rPr>
              <w:t xml:space="preserve"> mogą być umieszczane zdjęcia pojazdu, przedmiotu wyposażenia lub części, lub ich opakowania.</w:t>
            </w:r>
          </w:p>
          <w:p w14:paraId="3806BD71" w14:textId="77777777" w:rsidR="00C076E7" w:rsidRPr="00FB76A9" w:rsidRDefault="00C076E7" w:rsidP="00FD5CD5">
            <w:pPr>
              <w:shd w:val="clear" w:color="auto" w:fill="FFFFFF"/>
              <w:spacing w:after="0" w:line="240" w:lineRule="auto"/>
              <w:ind w:left="510" w:firstLine="510"/>
              <w:rPr>
                <w:rFonts w:ascii="Times New Roman" w:hAnsi="Times New Roman" w:cs="Times New Roman"/>
                <w:sz w:val="24"/>
                <w:szCs w:val="24"/>
              </w:rPr>
            </w:pPr>
            <w:r w:rsidRPr="00FB76A9">
              <w:rPr>
                <w:rFonts w:ascii="Times New Roman" w:eastAsia="Times New Roman" w:hAnsi="Times New Roman" w:cs="Times New Roman"/>
                <w:color w:val="333333"/>
                <w:sz w:val="24"/>
                <w:szCs w:val="24"/>
                <w:lang w:eastAsia="pl-PL"/>
              </w:rPr>
              <w:t xml:space="preserve">13. </w:t>
            </w:r>
            <w:r w:rsidRPr="00FB76A9">
              <w:rPr>
                <w:rFonts w:ascii="Times New Roman" w:hAnsi="Times New Roman" w:cs="Times New Roman"/>
                <w:sz w:val="24"/>
                <w:szCs w:val="24"/>
              </w:rPr>
              <w:t>W wykazie akcji</w:t>
            </w:r>
            <w:r w:rsidRPr="00FB76A9" w:rsidDel="00F720AF">
              <w:rPr>
                <w:rFonts w:ascii="Times New Roman" w:hAnsi="Times New Roman" w:cs="Times New Roman"/>
                <w:sz w:val="24"/>
                <w:szCs w:val="24"/>
              </w:rPr>
              <w:t xml:space="preserve"> </w:t>
            </w:r>
            <w:r w:rsidRPr="00FB76A9">
              <w:rPr>
                <w:rFonts w:ascii="Times New Roman" w:hAnsi="Times New Roman" w:cs="Times New Roman"/>
                <w:sz w:val="24"/>
                <w:szCs w:val="24"/>
              </w:rPr>
              <w:t>są gromadzone:</w:t>
            </w:r>
          </w:p>
          <w:p w14:paraId="759E73FC" w14:textId="77777777" w:rsidR="00C076E7" w:rsidRPr="00FB76A9" w:rsidRDefault="00C076E7"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dane umożliwiające identyfikację pojazdu:</w:t>
            </w:r>
          </w:p>
          <w:p w14:paraId="5AD485E1" w14:textId="77777777" w:rsidR="00C076E7" w:rsidRPr="00FB76A9" w:rsidRDefault="00C076E7" w:rsidP="005E0F9D">
            <w:pPr>
              <w:pStyle w:val="ZARTzmartartykuempunktem"/>
              <w:numPr>
                <w:ilvl w:val="0"/>
                <w:numId w:val="3"/>
              </w:numPr>
              <w:spacing w:line="240" w:lineRule="auto"/>
              <w:jc w:val="left"/>
              <w:rPr>
                <w:rFonts w:ascii="Times New Roman" w:hAnsi="Times New Roman" w:cs="Times New Roman"/>
                <w:szCs w:val="24"/>
              </w:rPr>
            </w:pPr>
            <w:r w:rsidRPr="00FB76A9">
              <w:rPr>
                <w:rFonts w:ascii="Times New Roman" w:hAnsi="Times New Roman" w:cs="Times New Roman"/>
                <w:szCs w:val="24"/>
              </w:rPr>
              <w:t>datę i numer wpisu do wykazu akcji;</w:t>
            </w:r>
          </w:p>
          <w:p w14:paraId="2620E1FB" w14:textId="77777777" w:rsidR="00C076E7" w:rsidRPr="00FB76A9" w:rsidRDefault="00C076E7" w:rsidP="005E0F9D">
            <w:pPr>
              <w:pStyle w:val="ZARTzmartartykuempunktem"/>
              <w:numPr>
                <w:ilvl w:val="0"/>
                <w:numId w:val="3"/>
              </w:numPr>
              <w:spacing w:line="240" w:lineRule="auto"/>
              <w:jc w:val="left"/>
              <w:rPr>
                <w:rFonts w:ascii="Times New Roman" w:hAnsi="Times New Roman" w:cs="Times New Roman"/>
                <w:szCs w:val="24"/>
              </w:rPr>
            </w:pPr>
            <w:r w:rsidRPr="00FB76A9">
              <w:rPr>
                <w:rFonts w:ascii="Times New Roman" w:hAnsi="Times New Roman" w:cs="Times New Roman"/>
                <w:szCs w:val="24"/>
              </w:rPr>
              <w:t>markę i model pojazdu;</w:t>
            </w:r>
          </w:p>
          <w:p w14:paraId="568A1A79" w14:textId="77777777" w:rsidR="00C076E7" w:rsidRPr="00FB76A9" w:rsidRDefault="00C076E7" w:rsidP="005E0F9D">
            <w:pPr>
              <w:pStyle w:val="ZARTzmartartykuempunktem"/>
              <w:numPr>
                <w:ilvl w:val="0"/>
                <w:numId w:val="3"/>
              </w:numPr>
              <w:spacing w:line="240" w:lineRule="auto"/>
              <w:jc w:val="left"/>
              <w:rPr>
                <w:rFonts w:ascii="Times New Roman" w:hAnsi="Times New Roman" w:cs="Times New Roman"/>
                <w:szCs w:val="24"/>
              </w:rPr>
            </w:pPr>
            <w:r w:rsidRPr="00FB76A9">
              <w:rPr>
                <w:rFonts w:ascii="Times New Roman" w:hAnsi="Times New Roman" w:cs="Times New Roman"/>
                <w:szCs w:val="24"/>
              </w:rPr>
              <w:t>okres produkcji;</w:t>
            </w:r>
          </w:p>
          <w:p w14:paraId="0B2667F5" w14:textId="77777777" w:rsidR="00C076E7" w:rsidRPr="00FB76A9" w:rsidRDefault="00C076E7" w:rsidP="005E0F9D">
            <w:pPr>
              <w:pStyle w:val="ZARTzmartartykuempunktem"/>
              <w:numPr>
                <w:ilvl w:val="0"/>
                <w:numId w:val="3"/>
              </w:numPr>
              <w:spacing w:line="240" w:lineRule="auto"/>
              <w:jc w:val="left"/>
              <w:rPr>
                <w:rFonts w:ascii="Times New Roman" w:hAnsi="Times New Roman" w:cs="Times New Roman"/>
                <w:szCs w:val="24"/>
              </w:rPr>
            </w:pPr>
            <w:r w:rsidRPr="00FB76A9">
              <w:rPr>
                <w:rFonts w:ascii="Times New Roman" w:eastAsia="Times New Roman" w:hAnsi="Times New Roman" w:cs="Times New Roman"/>
                <w:color w:val="333333"/>
                <w:szCs w:val="24"/>
              </w:rPr>
              <w:t>numer odpowiedniego dokumentu, o którym mowa w art. 14 ust. 4 w odniesieniu do pojazdu, jeśli dotyczy;</w:t>
            </w:r>
            <w:r w:rsidRPr="00FB76A9">
              <w:rPr>
                <w:rFonts w:ascii="Times New Roman" w:hAnsi="Times New Roman" w:cs="Times New Roman"/>
                <w:szCs w:val="24"/>
              </w:rPr>
              <w:t xml:space="preserve"> </w:t>
            </w:r>
          </w:p>
          <w:p w14:paraId="5B6EC6DE" w14:textId="77777777" w:rsidR="00C076E7" w:rsidRPr="00FB76A9" w:rsidRDefault="00C076E7" w:rsidP="005E0F9D">
            <w:pPr>
              <w:pStyle w:val="ZARTzmartartykuempunktem"/>
              <w:numPr>
                <w:ilvl w:val="0"/>
                <w:numId w:val="3"/>
              </w:numPr>
              <w:spacing w:line="240" w:lineRule="auto"/>
              <w:jc w:val="left"/>
              <w:rPr>
                <w:rFonts w:ascii="Times New Roman" w:hAnsi="Times New Roman" w:cs="Times New Roman"/>
                <w:szCs w:val="24"/>
              </w:rPr>
            </w:pPr>
            <w:r w:rsidRPr="00FB76A9">
              <w:rPr>
                <w:rFonts w:ascii="Times New Roman" w:hAnsi="Times New Roman" w:cs="Times New Roman"/>
                <w:szCs w:val="24"/>
              </w:rPr>
              <w:t>kod serwisowy producenta;</w:t>
            </w:r>
          </w:p>
          <w:p w14:paraId="43D01A93" w14:textId="77777777" w:rsidR="00C076E7" w:rsidRPr="00FB76A9" w:rsidRDefault="00C076E7" w:rsidP="005E0F9D">
            <w:pPr>
              <w:pStyle w:val="ZARTzmartartykuempunktem"/>
              <w:numPr>
                <w:ilvl w:val="0"/>
                <w:numId w:val="3"/>
              </w:numPr>
              <w:spacing w:line="240" w:lineRule="auto"/>
              <w:jc w:val="left"/>
              <w:rPr>
                <w:rFonts w:ascii="Times New Roman" w:hAnsi="Times New Roman" w:cs="Times New Roman"/>
                <w:szCs w:val="24"/>
              </w:rPr>
            </w:pPr>
            <w:r w:rsidRPr="00FB76A9">
              <w:rPr>
                <w:rFonts w:ascii="Times New Roman" w:eastAsia="Times New Roman" w:hAnsi="Times New Roman" w:cs="Times New Roman"/>
                <w:color w:val="333333"/>
                <w:szCs w:val="24"/>
              </w:rPr>
              <w:t xml:space="preserve">opis stwierdzonych </w:t>
            </w:r>
            <w:r w:rsidRPr="00FB76A9">
              <w:rPr>
                <w:rFonts w:ascii="Times New Roman" w:hAnsi="Times New Roman" w:cs="Times New Roman"/>
                <w:szCs w:val="24"/>
              </w:rPr>
              <w:t xml:space="preserve">niezgodności z wymaganiami technicznymi </w:t>
            </w:r>
            <w:r w:rsidRPr="00FB76A9">
              <w:rPr>
                <w:rFonts w:ascii="Times New Roman" w:hAnsi="Times New Roman" w:cs="Times New Roman"/>
                <w:szCs w:val="24"/>
              </w:rPr>
              <w:lastRenderedPageBreak/>
              <w:t>lub stwarzanego poważnego ryzyka przez</w:t>
            </w:r>
            <w:r w:rsidRPr="00FB76A9">
              <w:rPr>
                <w:rFonts w:ascii="Times New Roman" w:eastAsia="Times New Roman" w:hAnsi="Times New Roman" w:cs="Times New Roman"/>
                <w:color w:val="333333"/>
                <w:szCs w:val="24"/>
              </w:rPr>
              <w:t xml:space="preserve"> pojazd; </w:t>
            </w:r>
          </w:p>
          <w:p w14:paraId="219850C5" w14:textId="77777777" w:rsidR="00C076E7" w:rsidRPr="00FB76A9" w:rsidRDefault="00C076E7" w:rsidP="005E0F9D">
            <w:pPr>
              <w:pStyle w:val="ZARTzmartartykuempunktem"/>
              <w:numPr>
                <w:ilvl w:val="0"/>
                <w:numId w:val="3"/>
              </w:numPr>
              <w:spacing w:line="240" w:lineRule="auto"/>
              <w:jc w:val="left"/>
              <w:rPr>
                <w:rFonts w:ascii="Times New Roman" w:hAnsi="Times New Roman" w:cs="Times New Roman"/>
                <w:szCs w:val="24"/>
              </w:rPr>
            </w:pPr>
            <w:r w:rsidRPr="00FB76A9">
              <w:rPr>
                <w:rFonts w:ascii="Times New Roman" w:hAnsi="Times New Roman" w:cs="Times New Roman"/>
                <w:szCs w:val="24"/>
              </w:rPr>
              <w:t>numer referencyjny Transportowego Dozoru Technicznego oraz informację o statusie monitorowania w Transportowym Dozorze Technicznym;</w:t>
            </w:r>
          </w:p>
          <w:p w14:paraId="6B5F6776" w14:textId="77777777" w:rsidR="00C076E7" w:rsidRPr="00FB76A9" w:rsidRDefault="00C076E7" w:rsidP="005E0F9D">
            <w:pPr>
              <w:pStyle w:val="ZARTzmartartykuempunktem"/>
              <w:numPr>
                <w:ilvl w:val="0"/>
                <w:numId w:val="3"/>
              </w:numPr>
              <w:spacing w:line="240" w:lineRule="auto"/>
              <w:jc w:val="left"/>
              <w:rPr>
                <w:rFonts w:ascii="Times New Roman" w:hAnsi="Times New Roman" w:cs="Times New Roman"/>
                <w:szCs w:val="24"/>
              </w:rPr>
            </w:pPr>
            <w:r w:rsidRPr="00FB76A9">
              <w:rPr>
                <w:rFonts w:ascii="Times New Roman" w:hAnsi="Times New Roman" w:cs="Times New Roman"/>
                <w:szCs w:val="24"/>
              </w:rPr>
              <w:t>dodatkowe informacje dotyczące możliwych ograniczeń modeli objętych akcją serwisową, znanych incydentów, liczby potencjalnie objętych akcją serwisową pojazdów w Unii Europejskiej oraz w Polsce, a także numery VIN tych pojazdów;</w:t>
            </w:r>
          </w:p>
          <w:p w14:paraId="46110829" w14:textId="77777777" w:rsidR="00C076E7" w:rsidRPr="00FB76A9" w:rsidRDefault="00C076E7" w:rsidP="005E0F9D">
            <w:pPr>
              <w:pStyle w:val="ZARTzmartartykuempunktem"/>
              <w:numPr>
                <w:ilvl w:val="0"/>
                <w:numId w:val="3"/>
              </w:numPr>
              <w:spacing w:line="240" w:lineRule="auto"/>
              <w:jc w:val="left"/>
              <w:rPr>
                <w:rFonts w:ascii="Times New Roman" w:hAnsi="Times New Roman" w:cs="Times New Roman"/>
                <w:szCs w:val="24"/>
              </w:rPr>
            </w:pPr>
            <w:r w:rsidRPr="00FB76A9">
              <w:rPr>
                <w:rFonts w:ascii="Times New Roman" w:hAnsi="Times New Roman" w:cs="Times New Roman"/>
                <w:szCs w:val="24"/>
              </w:rPr>
              <w:t>dane kontaktowe do producenta pojazdu w zakresie numeru telefonu, adresu strony internetowej lub adresu poczty elektronicznej;</w:t>
            </w:r>
          </w:p>
          <w:p w14:paraId="1672F51F" w14:textId="77777777" w:rsidR="00C076E7" w:rsidRPr="00FB76A9" w:rsidRDefault="00C076E7" w:rsidP="005E0F9D">
            <w:pPr>
              <w:pStyle w:val="ZARTzmartartykuempunktem"/>
              <w:numPr>
                <w:ilvl w:val="0"/>
                <w:numId w:val="3"/>
              </w:numPr>
              <w:spacing w:line="240" w:lineRule="auto"/>
              <w:jc w:val="left"/>
              <w:rPr>
                <w:rFonts w:ascii="Times New Roman" w:hAnsi="Times New Roman" w:cs="Times New Roman"/>
                <w:szCs w:val="24"/>
              </w:rPr>
            </w:pPr>
            <w:r w:rsidRPr="00FB76A9">
              <w:rPr>
                <w:rFonts w:ascii="Times New Roman" w:hAnsi="Times New Roman" w:cs="Times New Roman"/>
                <w:szCs w:val="24"/>
              </w:rPr>
              <w:t>inne informacje, których umieszczenie w wykazie akcji może mieć wpływ na zapewnienie bezpieczeństwa użytkownikom końcowym;</w:t>
            </w:r>
          </w:p>
          <w:p w14:paraId="53327323" w14:textId="77777777" w:rsidR="00C076E7" w:rsidRPr="00FB76A9" w:rsidRDefault="00C076E7"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informacje o:</w:t>
            </w:r>
          </w:p>
          <w:p w14:paraId="5177ED7D" w14:textId="77777777" w:rsidR="00C076E7" w:rsidRPr="00FB76A9" w:rsidRDefault="00C076E7" w:rsidP="00FD5CD5">
            <w:pPr>
              <w:pStyle w:val="ZARTzmartartykuempunktem"/>
              <w:spacing w:line="240" w:lineRule="auto"/>
              <w:ind w:left="1701" w:hanging="341"/>
              <w:jc w:val="left"/>
              <w:rPr>
                <w:rFonts w:ascii="Times New Roman" w:hAnsi="Times New Roman" w:cs="Times New Roman"/>
                <w:szCs w:val="24"/>
              </w:rPr>
            </w:pPr>
            <w:r w:rsidRPr="00FB76A9">
              <w:rPr>
                <w:rFonts w:ascii="Times New Roman" w:hAnsi="Times New Roman" w:cs="Times New Roman"/>
                <w:szCs w:val="24"/>
              </w:rPr>
              <w:t>a)</w:t>
            </w:r>
            <w:r w:rsidRPr="00FB76A9">
              <w:rPr>
                <w:rFonts w:ascii="Times New Roman" w:hAnsi="Times New Roman" w:cs="Times New Roman"/>
                <w:szCs w:val="24"/>
              </w:rPr>
              <w:tab/>
              <w:t>rodzaju i zakresie prowadzonej przez podmiot gospodarczy akcji serwisowej,</w:t>
            </w:r>
          </w:p>
          <w:p w14:paraId="00DEC435" w14:textId="77777777" w:rsidR="00C076E7" w:rsidRPr="00FB76A9" w:rsidRDefault="00C076E7" w:rsidP="00FD5CD5">
            <w:pPr>
              <w:pStyle w:val="ZARTzmartartykuempunktem"/>
              <w:spacing w:line="240" w:lineRule="auto"/>
              <w:ind w:left="1700" w:hanging="340"/>
              <w:jc w:val="left"/>
              <w:rPr>
                <w:rFonts w:ascii="Times New Roman" w:hAnsi="Times New Roman" w:cs="Times New Roman"/>
                <w:szCs w:val="24"/>
              </w:rPr>
            </w:pPr>
            <w:r w:rsidRPr="00FB76A9">
              <w:rPr>
                <w:rFonts w:ascii="Times New Roman" w:hAnsi="Times New Roman" w:cs="Times New Roman"/>
                <w:szCs w:val="24"/>
              </w:rPr>
              <w:lastRenderedPageBreak/>
              <w:t>b)</w:t>
            </w:r>
            <w:r w:rsidRPr="00FB76A9">
              <w:rPr>
                <w:rFonts w:ascii="Times New Roman" w:hAnsi="Times New Roman" w:cs="Times New Roman"/>
                <w:szCs w:val="24"/>
              </w:rPr>
              <w:tab/>
              <w:t>warunkach i ograniczeniach prowadzonej przez podmiot gospodarczy akcji serwisowej.</w:t>
            </w:r>
          </w:p>
          <w:p w14:paraId="7D19D907" w14:textId="77777777" w:rsidR="00C076E7" w:rsidRPr="00FB76A9" w:rsidRDefault="00C076E7" w:rsidP="00FD5CD5">
            <w:pPr>
              <w:shd w:val="clear" w:color="auto" w:fill="FFFFFF"/>
              <w:spacing w:after="0" w:line="240" w:lineRule="auto"/>
              <w:ind w:left="510" w:firstLine="510"/>
              <w:rPr>
                <w:rFonts w:ascii="Times New Roman" w:hAnsi="Times New Roman" w:cs="Times New Roman"/>
                <w:sz w:val="24"/>
                <w:szCs w:val="24"/>
              </w:rPr>
            </w:pPr>
            <w:r w:rsidRPr="00FB76A9">
              <w:rPr>
                <w:rFonts w:ascii="Times New Roman" w:eastAsia="Times New Roman" w:hAnsi="Times New Roman" w:cs="Times New Roman"/>
                <w:color w:val="333333"/>
                <w:sz w:val="24"/>
                <w:szCs w:val="24"/>
                <w:lang w:eastAsia="pl-PL"/>
              </w:rPr>
              <w:t xml:space="preserve">14. </w:t>
            </w:r>
            <w:r w:rsidRPr="00FB76A9">
              <w:rPr>
                <w:rFonts w:ascii="Times New Roman" w:hAnsi="Times New Roman" w:cs="Times New Roman"/>
                <w:sz w:val="24"/>
                <w:szCs w:val="24"/>
              </w:rPr>
              <w:t>Dyrektor TDT jako organ nadzoru rynku dokonuje wpisu do wykazu akcji</w:t>
            </w:r>
            <w:r w:rsidRPr="00FB76A9" w:rsidDel="00F720AF">
              <w:rPr>
                <w:rFonts w:ascii="Times New Roman" w:hAnsi="Times New Roman" w:cs="Times New Roman"/>
                <w:sz w:val="24"/>
                <w:szCs w:val="24"/>
              </w:rPr>
              <w:t xml:space="preserve"> </w:t>
            </w:r>
            <w:r w:rsidRPr="00FB76A9">
              <w:rPr>
                <w:rFonts w:ascii="Times New Roman" w:hAnsi="Times New Roman" w:cs="Times New Roman"/>
                <w:sz w:val="24"/>
                <w:szCs w:val="24"/>
              </w:rPr>
              <w:t>na podstawie:</w:t>
            </w:r>
          </w:p>
          <w:p w14:paraId="63A7CF16" w14:textId="77777777" w:rsidR="00C076E7" w:rsidRPr="00FB76A9" w:rsidRDefault="00C076E7" w:rsidP="005E0F9D">
            <w:pPr>
              <w:pStyle w:val="ZARTzmartartykuempunktem"/>
              <w:numPr>
                <w:ilvl w:val="0"/>
                <w:numId w:val="2"/>
              </w:numPr>
              <w:suppressAutoHyphens w:val="0"/>
              <w:adjustRightInd/>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własnych działań Dyrektora TDT jako organu nadzoru rynku lub</w:t>
            </w:r>
          </w:p>
          <w:p w14:paraId="37C079CD" w14:textId="77777777" w:rsidR="00C076E7" w:rsidRPr="00FB76A9" w:rsidRDefault="00C076E7" w:rsidP="005E0F9D">
            <w:pPr>
              <w:pStyle w:val="ZARTzmartartykuempunktem"/>
              <w:numPr>
                <w:ilvl w:val="0"/>
                <w:numId w:val="2"/>
              </w:numPr>
              <w:suppressAutoHyphens w:val="0"/>
              <w:adjustRightInd/>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informacji zamieszczonych w systemie Safety Gate lub</w:t>
            </w:r>
          </w:p>
          <w:p w14:paraId="6E0D7C25" w14:textId="77777777" w:rsidR="00C076E7" w:rsidRPr="00FB76A9" w:rsidRDefault="00C076E7" w:rsidP="005E0F9D">
            <w:pPr>
              <w:pStyle w:val="ZARTzmartartykuempunktem"/>
              <w:numPr>
                <w:ilvl w:val="0"/>
                <w:numId w:val="2"/>
              </w:numPr>
              <w:shd w:val="clear" w:color="auto" w:fill="FFFFFF"/>
              <w:spacing w:line="240" w:lineRule="auto"/>
              <w:ind w:left="1020" w:hanging="510"/>
              <w:jc w:val="left"/>
              <w:rPr>
                <w:rFonts w:ascii="Times New Roman" w:eastAsia="Times New Roman" w:hAnsi="Times New Roman" w:cs="Times New Roman"/>
                <w:color w:val="333333"/>
                <w:szCs w:val="24"/>
              </w:rPr>
            </w:pPr>
            <w:r w:rsidRPr="00FB76A9">
              <w:rPr>
                <w:rFonts w:ascii="Times New Roman" w:hAnsi="Times New Roman" w:cs="Times New Roman"/>
                <w:szCs w:val="24"/>
              </w:rPr>
              <w:t>informacji przekazanych przez organ udzielający homologacji lub</w:t>
            </w:r>
          </w:p>
          <w:p w14:paraId="16608D02" w14:textId="77777777" w:rsidR="00C076E7" w:rsidRPr="00FB76A9" w:rsidRDefault="00C076E7" w:rsidP="005E0F9D">
            <w:pPr>
              <w:pStyle w:val="ZARTzmartartykuempunktem"/>
              <w:numPr>
                <w:ilvl w:val="0"/>
                <w:numId w:val="2"/>
              </w:numPr>
              <w:shd w:val="clear" w:color="auto" w:fill="FFFFFF"/>
              <w:spacing w:line="240" w:lineRule="auto"/>
              <w:ind w:left="1020" w:hanging="510"/>
              <w:jc w:val="left"/>
              <w:rPr>
                <w:rFonts w:ascii="Times New Roman" w:eastAsia="Times New Roman" w:hAnsi="Times New Roman" w:cs="Times New Roman"/>
                <w:color w:val="333333"/>
                <w:szCs w:val="24"/>
              </w:rPr>
            </w:pPr>
            <w:r w:rsidRPr="00FB76A9">
              <w:rPr>
                <w:rFonts w:ascii="Times New Roman" w:hAnsi="Times New Roman" w:cs="Times New Roman"/>
                <w:szCs w:val="24"/>
              </w:rPr>
              <w:t>informacji przekazanych przez podmiot gospodarczy.</w:t>
            </w:r>
          </w:p>
          <w:p w14:paraId="110E390E" w14:textId="77777777" w:rsidR="00C076E7" w:rsidRPr="00FB76A9" w:rsidRDefault="00C076E7" w:rsidP="00FD5CD5">
            <w:pPr>
              <w:pStyle w:val="ZARTzmartartykuempunktem"/>
              <w:spacing w:line="240" w:lineRule="auto"/>
              <w:jc w:val="left"/>
              <w:rPr>
                <w:rFonts w:ascii="Times New Roman" w:hAnsi="Times New Roman" w:cs="Times New Roman"/>
                <w:szCs w:val="24"/>
              </w:rPr>
            </w:pPr>
            <w:r w:rsidRPr="00FB76A9">
              <w:rPr>
                <w:rFonts w:ascii="Times New Roman" w:eastAsia="Times New Roman" w:hAnsi="Times New Roman" w:cs="Times New Roman"/>
                <w:color w:val="333333"/>
                <w:szCs w:val="24"/>
              </w:rPr>
              <w:t xml:space="preserve">15. </w:t>
            </w:r>
            <w:r w:rsidRPr="00FB76A9">
              <w:rPr>
                <w:rFonts w:ascii="Times New Roman" w:hAnsi="Times New Roman" w:cs="Times New Roman"/>
                <w:szCs w:val="24"/>
              </w:rPr>
              <w:t>Dyrektor TDT jako organ nadzoru rynku może w każdym czasie podać do publicznej wiadomości informacje zawarte w wykazie akcji.</w:t>
            </w:r>
          </w:p>
          <w:p w14:paraId="69AF91D2" w14:textId="77777777" w:rsidR="00C076E7" w:rsidRPr="00FB76A9" w:rsidRDefault="00C076E7" w:rsidP="00FD5CD5">
            <w:pPr>
              <w:shd w:val="clear" w:color="auto" w:fill="FFFFFF"/>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imes New Roman" w:hAnsi="Times New Roman" w:cs="Times New Roman"/>
                <w:color w:val="333333"/>
                <w:sz w:val="24"/>
                <w:szCs w:val="24"/>
                <w:lang w:eastAsia="pl-PL"/>
              </w:rPr>
              <w:t xml:space="preserve">16. </w:t>
            </w:r>
            <w:r w:rsidRPr="00FB76A9">
              <w:rPr>
                <w:rFonts w:ascii="Times New Roman" w:eastAsiaTheme="minorEastAsia" w:hAnsi="Times New Roman" w:cs="Times New Roman"/>
                <w:sz w:val="24"/>
                <w:szCs w:val="24"/>
                <w:lang w:eastAsia="pl-PL"/>
              </w:rPr>
              <w:t>Wykaz akcji jest prowadzony z wykorzystaniem systemu teleinformatycznego.</w:t>
            </w:r>
          </w:p>
          <w:p w14:paraId="0F7A06ED" w14:textId="77777777" w:rsidR="00C076E7" w:rsidRPr="00FB76A9" w:rsidRDefault="00C076E7"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 xml:space="preserve">17. Każdy wpis do </w:t>
            </w:r>
            <w:r w:rsidRPr="00FB76A9">
              <w:rPr>
                <w:rFonts w:ascii="Times New Roman" w:hAnsi="Times New Roman" w:cs="Times New Roman"/>
                <w:sz w:val="24"/>
                <w:szCs w:val="24"/>
              </w:rPr>
              <w:t>wykazu akcji</w:t>
            </w:r>
            <w:r w:rsidRPr="00FB76A9" w:rsidDel="00F720AF">
              <w:rPr>
                <w:rFonts w:ascii="Times New Roman" w:eastAsia="Times New Roman" w:hAnsi="Times New Roman" w:cs="Times New Roman"/>
                <w:color w:val="333333"/>
                <w:sz w:val="24"/>
                <w:szCs w:val="24"/>
                <w:lang w:eastAsia="pl-PL"/>
              </w:rPr>
              <w:t xml:space="preserve"> </w:t>
            </w:r>
            <w:r w:rsidRPr="00FB76A9">
              <w:rPr>
                <w:rFonts w:ascii="Times New Roman" w:eastAsia="Times New Roman" w:hAnsi="Times New Roman" w:cs="Times New Roman"/>
                <w:color w:val="333333"/>
                <w:sz w:val="24"/>
                <w:szCs w:val="24"/>
                <w:lang w:eastAsia="pl-PL"/>
              </w:rPr>
              <w:t>dotyczy jednego pojazdu.</w:t>
            </w:r>
          </w:p>
          <w:p w14:paraId="57685936" w14:textId="77777777" w:rsidR="00C076E7" w:rsidRPr="00FB76A9" w:rsidRDefault="00C076E7"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18. Wykaz akcji umożliwia niezwłoczne wyszukanie, odczytanie oraz wydrukowanie całości albo części zapisanych danych.</w:t>
            </w:r>
          </w:p>
          <w:p w14:paraId="59333F69" w14:textId="77777777" w:rsidR="00C076E7" w:rsidRPr="00FB76A9" w:rsidRDefault="00C076E7"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19. Dyrektor TDT jako organ nadzoru rynku dokonuje wpisu akcji serwisowej do w</w:t>
            </w:r>
            <w:r w:rsidRPr="00FB76A9">
              <w:rPr>
                <w:rFonts w:ascii="Times New Roman" w:hAnsi="Times New Roman" w:cs="Times New Roman"/>
                <w:sz w:val="24"/>
                <w:szCs w:val="24"/>
              </w:rPr>
              <w:t>ykazu akcji</w:t>
            </w:r>
            <w:r w:rsidRPr="00FB76A9">
              <w:rPr>
                <w:rFonts w:ascii="Times New Roman" w:eastAsia="Times New Roman" w:hAnsi="Times New Roman" w:cs="Times New Roman"/>
                <w:color w:val="333333"/>
                <w:sz w:val="24"/>
                <w:szCs w:val="24"/>
                <w:lang w:eastAsia="pl-PL"/>
              </w:rPr>
              <w:t xml:space="preserve"> niezwłocznie po dniu, w którym powziął o niej informacje.</w:t>
            </w:r>
          </w:p>
          <w:bookmarkEnd w:id="29"/>
          <w:bookmarkEnd w:id="30"/>
          <w:p w14:paraId="1E149456" w14:textId="77777777" w:rsidR="00C076E7" w:rsidRPr="00FB76A9" w:rsidRDefault="00C076E7"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68zu. 1. Wprowadzanie do obrotu na terytorium Rzeczypospolitej Polskiej </w:t>
            </w:r>
            <w:r w:rsidRPr="00FB76A9">
              <w:rPr>
                <w:rFonts w:ascii="Times New Roman" w:hAnsi="Times New Roman" w:cs="Times New Roman"/>
                <w:szCs w:val="24"/>
              </w:rPr>
              <w:lastRenderedPageBreak/>
              <w:t>pojazdów podlega opłacie, zwanej dalej „opłatą za nadzór rynku motoryzacyjnego”.</w:t>
            </w:r>
          </w:p>
          <w:p w14:paraId="168B5E05" w14:textId="77777777" w:rsidR="00C076E7" w:rsidRPr="00FB76A9" w:rsidRDefault="00C076E7"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Opłatę za nadzór rynku motoryzacyjnego uiszcza: </w:t>
            </w:r>
          </w:p>
          <w:p w14:paraId="7BA290D2"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 xml:space="preserve">producent pojazdu niekompletnego albo kompletnego wprowadzający do obrotu na terytorium Rzeczypospolitej Polskiej ten pojazd, samodzielnie albo za pośrednictwem podmiotu gospodarczego; </w:t>
            </w:r>
          </w:p>
          <w:p w14:paraId="269AD289"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podmiot gospodarczy wprowadzający do obrotu na terytorium Rzeczypospolitej Polskiej pojazd niekompletny albo kompletny;</w:t>
            </w:r>
          </w:p>
          <w:p w14:paraId="1C8B8A31"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 xml:space="preserve">producent pojazdu wprowadzający do obrotu na terytorium Rzeczypospolitej Polskiej pojazd, który został skompletowany na terytorium innego niż Rzeczypospolita Polska państwa </w:t>
            </w:r>
          </w:p>
          <w:p w14:paraId="30414B06" w14:textId="77777777" w:rsidR="00C076E7" w:rsidRPr="00FB76A9" w:rsidRDefault="00C076E7" w:rsidP="00FD5CD5">
            <w:pPr>
              <w:pStyle w:val="ZCZWSPPKTzmczciwsp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objęty jednym z dokumentów, o którym mowa w art. 13 ust. 1 pkt 1, ust. 2 i 3;</w:t>
            </w:r>
          </w:p>
          <w:p w14:paraId="53E7FB1F" w14:textId="77777777" w:rsidR="00C076E7" w:rsidRPr="00FB76A9" w:rsidRDefault="00C076E7"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w:t>
            </w:r>
            <w:r w:rsidRPr="00FB76A9">
              <w:rPr>
                <w:rFonts w:ascii="Times New Roman" w:hAnsi="Times New Roman" w:cs="Times New Roman"/>
                <w:szCs w:val="24"/>
              </w:rPr>
              <w:tab/>
              <w:t xml:space="preserve">podmiot gospodarczy wprowadzający do obrotu na terytorium Rzeczypospolitej Polskiej pojazd objęty jednym z dokumentów, o którym mowa w art. 13 ust. 3, jeżeli przed wprowadzeniem do obrotu na terytorium Rzeczypospolitej Polskiej pojazd ten był zarejestrowany w innym niż Rzeczypospolita Polska państwie. </w:t>
            </w:r>
          </w:p>
          <w:p w14:paraId="0599BB38" w14:textId="77777777" w:rsidR="00C076E7" w:rsidRPr="00FB76A9" w:rsidRDefault="00C076E7"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Opłata za nadzór rynku motoryzacyjnego stanowi przychód </w:t>
            </w:r>
            <w:r w:rsidRPr="00FB76A9">
              <w:rPr>
                <w:rFonts w:ascii="Times New Roman" w:hAnsi="Times New Roman" w:cs="Times New Roman"/>
                <w:szCs w:val="24"/>
              </w:rPr>
              <w:lastRenderedPageBreak/>
              <w:t xml:space="preserve">Dyrektora TDT jako organu nadzoru rynku i jest przeznaczona na finansowanie funkcjonowania i działania Dyrektora TDT jako organu nadzoru rynku w zakresie określonym w art. 3 ust. 3. </w:t>
            </w:r>
          </w:p>
          <w:p w14:paraId="75AFF67B" w14:textId="77777777" w:rsidR="00C076E7" w:rsidRPr="00FB76A9" w:rsidRDefault="00C076E7"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4. Stawka opłaty za nadzór rynku motoryzacyjnego wynosi:</w:t>
            </w:r>
          </w:p>
          <w:p w14:paraId="7A8FD427" w14:textId="77777777" w:rsidR="00C076E7" w:rsidRPr="00FB76A9" w:rsidRDefault="00C076E7" w:rsidP="00FD5CD5">
            <w:pPr>
              <w:pStyle w:val="ZPKTzmpk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0,05% ceny netto od każdego pojazdu wprowadzonego do obrotu na terytorium Rzeczypospolitej Polskiej w danym kwartale roku kalendarzowego, który został wyprodukowany przez:</w:t>
            </w:r>
          </w:p>
          <w:p w14:paraId="7ACAC597" w14:textId="77777777" w:rsidR="00C076E7" w:rsidRPr="00FB76A9" w:rsidRDefault="00C076E7"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 </w:t>
            </w:r>
            <w:r w:rsidRPr="00FB76A9">
              <w:rPr>
                <w:rFonts w:ascii="Times New Roman" w:hAnsi="Times New Roman" w:cs="Times New Roman"/>
                <w:szCs w:val="24"/>
              </w:rPr>
              <w:tab/>
              <w:t>producenta mającego siedzibę na terytorium jednego z państw członkowskich Unii Europejskiej, albo</w:t>
            </w:r>
          </w:p>
          <w:p w14:paraId="500B2193" w14:textId="77777777" w:rsidR="00C076E7" w:rsidRPr="00FB76A9" w:rsidRDefault="00C076E7"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b) </w:t>
            </w:r>
            <w:r w:rsidRPr="00FB76A9">
              <w:rPr>
                <w:rFonts w:ascii="Times New Roman" w:hAnsi="Times New Roman" w:cs="Times New Roman"/>
                <w:szCs w:val="24"/>
              </w:rPr>
              <w:tab/>
              <w:t>producenta nie posiadającego siedziby na terytorium jednego z państw członkowskich Unii Europejskiej, ale posiadającego na terytorium takiego państwa co najmniej jeden zakład produkcyjny, z uwzględnieniem pkt 2 lit. b;</w:t>
            </w:r>
          </w:p>
          <w:p w14:paraId="5613D7A6" w14:textId="77777777" w:rsidR="00C076E7" w:rsidRPr="00FB76A9" w:rsidRDefault="00C076E7" w:rsidP="00FD5CD5">
            <w:pPr>
              <w:pStyle w:val="ZPKTzmpk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1% ceny netto od każdego pojazdu wprowadzonego do obrotu na terytorium Rzeczypospolitej Polskiej w danym kwartale roku kalendarzowego, który został wyprodukowany przez:</w:t>
            </w:r>
          </w:p>
          <w:p w14:paraId="5244CD93" w14:textId="77777777" w:rsidR="00C076E7" w:rsidRPr="00FB76A9" w:rsidRDefault="00C076E7"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 </w:t>
            </w:r>
            <w:r w:rsidRPr="00FB76A9">
              <w:rPr>
                <w:rFonts w:ascii="Times New Roman" w:hAnsi="Times New Roman" w:cs="Times New Roman"/>
                <w:szCs w:val="24"/>
              </w:rPr>
              <w:tab/>
              <w:t xml:space="preserve">producenta nieposiadającego siedziby i zakładu produkcyjnego na terytorium jednego z państw </w:t>
            </w:r>
            <w:r w:rsidRPr="00FB76A9">
              <w:rPr>
                <w:rFonts w:ascii="Times New Roman" w:hAnsi="Times New Roman" w:cs="Times New Roman"/>
                <w:szCs w:val="24"/>
              </w:rPr>
              <w:lastRenderedPageBreak/>
              <w:t>członkowskich Unii Europejskiej, lub</w:t>
            </w:r>
          </w:p>
          <w:p w14:paraId="348F6B2D" w14:textId="77777777" w:rsidR="00C076E7" w:rsidRPr="00FB76A9" w:rsidRDefault="00C076E7"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b) </w:t>
            </w:r>
            <w:r w:rsidRPr="00FB76A9">
              <w:rPr>
                <w:rFonts w:ascii="Times New Roman" w:hAnsi="Times New Roman" w:cs="Times New Roman"/>
                <w:szCs w:val="24"/>
              </w:rPr>
              <w:tab/>
              <w:t xml:space="preserve">producenta wskazanego w art. 1 ust. 2 rozporządzenia wykonawczego Komisji (UE) 2024/2754 z dnia 29 października 2024 r. nakładającego ostateczne cło wyrównawcze na przywóz nowych pojazdów elektrycznych o napędzie akumulatorowym przeznaczonych do przewozu osób pochodzący z Chińskiej Republiki Ludowej (Dz. Urz. UE L 2024/2754 z 29.10.2024). </w:t>
            </w:r>
          </w:p>
          <w:p w14:paraId="7D0F70F7" w14:textId="77777777" w:rsidR="00C076E7" w:rsidRPr="00FB76A9" w:rsidRDefault="00C076E7"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5. Cena netto wprowadzonego do obrotu na terytorium Rzeczypospolitej Polskiej pojazdu jest ustalana przez producenta lub podmioty gospodarcze, o których mowa w ust. 2, na podstawie faktury lub rachunku wystawianego w związku z pierwszą umową umożliwiającą użytkowanie albo dystrybucję tego pojazdu na terytorium Rzeczypospolitej Polskiej.</w:t>
            </w:r>
          </w:p>
          <w:p w14:paraId="546DA8D8"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68zv. 1. Podmioty, o których mowa w </w:t>
            </w:r>
            <w:r w:rsidRPr="00FB76A9">
              <w:rPr>
                <w:rFonts w:ascii="Times New Roman" w:hAnsi="Times New Roman" w:cs="Times New Roman"/>
                <w:szCs w:val="24"/>
              </w:rPr>
              <w:tab/>
              <w:t xml:space="preserve">ust. 2, bez wezwania obliczają i uiszczają opłatę za nadzór rynku motoryzacyjnego, na rachunek Dyrektora TDT jako organu nadzoru rynku za okres kwartalny, w terminie do dwudziestego dnia roboczego miesiąca następującego po zakończeniu danego kwartału. </w:t>
            </w:r>
          </w:p>
          <w:p w14:paraId="0DF33CB7"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 xml:space="preserve">2. Podmioty, o których mowa w art. 68zu ust. 2, przekazują Dyrektorowi TDT jako organowi nadzoru rynku, w drodze elektronicznej przez stronę podmiotową </w:t>
            </w:r>
            <w:hyperlink w:history="1">
              <w:r w:rsidRPr="00FB76A9">
                <w:rPr>
                  <w:rFonts w:ascii="Times New Roman" w:hAnsi="Times New Roman" w:cs="Times New Roman"/>
                  <w:szCs w:val="24"/>
                </w:rPr>
                <w:t>Transportowego Dozoru T</w:t>
              </w:r>
            </w:hyperlink>
            <w:r w:rsidRPr="00FB76A9">
              <w:rPr>
                <w:rFonts w:ascii="Times New Roman" w:hAnsi="Times New Roman" w:cs="Times New Roman"/>
                <w:szCs w:val="24"/>
              </w:rPr>
              <w:t>echnicznego, kwartalne informacje o wysokości obliczonych i uiszczonych opłat za nadzór rynku motoryzacyjnego, zgodnie z wzorem opublikowanym na tej stronie, za okres kwartalny, w terminie do dwudziestego dnia roboczego miesiąca następującego po zakończeniu danego kwartału.</w:t>
            </w:r>
          </w:p>
          <w:p w14:paraId="476CEE94"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 przypadku pojazdów wprowadzonych do obrotu na terytorium Rzeczypospolitej Polskiej przez podmioty, o których mowa w art. 68zu ust. 2, za pośrednictwem platform internetowych e-commerce, operatorzy platform przekazują Dyrektorowi TDT jako organowi nadzoru rynku, w drodze elektronicznej przez stronę podmiotową Transportowego Dozoru Technicznego, zbiorczą informację o tych podmiotach, które wprowadziły do obrotu pojazdy, pozwalającą na ustalenie przez Dyrektora TDT jako organ nadzoru rynku wysokości należnej opłaty za nadzór rynku motoryzacyjnego, zgodnie z wzorem opublikowanym na tej stronie, za okres kwartalny, w terminie do dwudziestego dnia roboczego miesiąca następującego po zakończeniu danego kwartału. </w:t>
            </w:r>
          </w:p>
          <w:p w14:paraId="39098326"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4. Podmioty, o których mowa w art. 68zu ust. 2 oraz operatorzy platform, o których mowa w ust. 3, są obowiązani przechowywać przekazane przez nich informacje przez okres 5 lat, licząc od początku roku następującego po roku obrotowym, w którym informacja została przekazana.</w:t>
            </w:r>
          </w:p>
          <w:p w14:paraId="3CF92B69"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Informacje, o których mowa w ust. 2 i 3, opatruje się kwalifikowanym podpisem elektronicznym lub podpisem zaufanym.</w:t>
            </w:r>
          </w:p>
          <w:p w14:paraId="3E03367C"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6. Treść informacji, o których mowa w ust. 2 i 3, wykorzystuje się wyłącznie w celu wykonywania zadań przez Dyrektora TDT jako organ nadzoru rynku.</w:t>
            </w:r>
          </w:p>
          <w:p w14:paraId="1C4DF6A2"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7. Treść informacji, o których mowa w ust. 2 i 3, stanowi tajemnicę przedsiębiorstwa w rozumieniu art. 11 ustawy z dnia 16 kwietnia 1993 r. o zwalczaniu nieuczciwej konkurencji (Dz. U. z 2026 r. poz. 85).</w:t>
            </w:r>
          </w:p>
          <w:p w14:paraId="75FB788B"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68zw.</w:t>
            </w:r>
            <w:r w:rsidRPr="00FB76A9">
              <w:rPr>
                <w:rFonts w:ascii="Times New Roman" w:hAnsi="Times New Roman" w:cs="Times New Roman"/>
                <w:b/>
                <w:szCs w:val="24"/>
              </w:rPr>
              <w:t xml:space="preserve"> </w:t>
            </w:r>
            <w:r w:rsidRPr="00FB76A9">
              <w:rPr>
                <w:rFonts w:ascii="Times New Roman" w:hAnsi="Times New Roman" w:cs="Times New Roman"/>
                <w:szCs w:val="24"/>
              </w:rPr>
              <w:t>1. W celu dokonania kontroli poprawności złożenia informacji, o której mowa w art. 68zv ust. 2, oraz wyliczenia wysokości opłaty za nadzór rynku motoryzacyjnego, Dyrektor TDT jako organ nadzoru rynku może przeprowadzić kontrole u podmiotów, o których mowa w art. 68zu ust. 2 oraz u operatorów platform, o których mowa w art. 68zv ust. 3.</w:t>
            </w:r>
          </w:p>
          <w:p w14:paraId="4B4C6894" w14:textId="77777777" w:rsidR="00C076E7" w:rsidRPr="00FB76A9" w:rsidRDefault="00C076E7" w:rsidP="00FD5CD5">
            <w:pPr>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2. Podmioty, o których mowa w art. 68zu ust. 2, oraz operatorzy platform, o których mowa w art. 68zv ust. 3, są </w:t>
            </w:r>
            <w:r w:rsidRPr="00FB76A9">
              <w:rPr>
                <w:rFonts w:ascii="Times New Roman" w:eastAsiaTheme="minorEastAsia" w:hAnsi="Times New Roman" w:cs="Times New Roman"/>
                <w:sz w:val="24"/>
                <w:szCs w:val="24"/>
                <w:lang w:eastAsia="pl-PL"/>
              </w:rPr>
              <w:lastRenderedPageBreak/>
              <w:t xml:space="preserve">obowiązani okazywać w toku kontroli, o której mowa w ust. 2, informacje, o których mowa w art. 68zv ust. 2 i 3 lub faktury lub rachunki, na podstawie których wypełnione zostały te informacje w celu sprawdzenia ich poprawności. </w:t>
            </w:r>
          </w:p>
          <w:p w14:paraId="4D54C7D0"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W przypadku stwierdzenia przez Dyrektora TDT nieprawidłowości w ramach kontroli, o której mowa w ust. 1, Dyrektor TDT jako organ nadzoru rynku wydaje decyzję administracyjną:</w:t>
            </w:r>
          </w:p>
          <w:p w14:paraId="48824C6E"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 ustalającą prawidłową wysokość opłaty za nadzór rynku motoryzacyjnego oraz termin jej uiszczenia lub</w:t>
            </w:r>
          </w:p>
          <w:p w14:paraId="49BAF7F2"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 której może nakazać operatorowi platformy zawieszenie na platformie konta podmiotu, o którym mowa w art. 68zu ust. 2, w przypadku gdy podmiot ten nie uiścił opłaty za nadzór rynku motoryzacyjnego lub uiścił ją w niewłaściwej wysokości. </w:t>
            </w:r>
            <w:bookmarkStart w:id="31" w:name="_Hlk225260410"/>
          </w:p>
          <w:p w14:paraId="24C6CC8B"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Do kontroli poprawności złożenia informacji oraz wyliczenia wysokości opłaty za nadzór rynku motoryzacyjnego, w zakresie nieuregulowanym w niniejszym artykule, stosuje się przepisy rozdziału 5 ustawy z dnia 6 marca 2018 r. – Prawo przedsiębiorców.</w:t>
            </w:r>
          </w:p>
          <w:p w14:paraId="79A1AADD" w14:textId="77777777" w:rsidR="00C076E7" w:rsidRPr="00FB76A9" w:rsidRDefault="00C076E7" w:rsidP="00FD5CD5">
            <w:pPr>
              <w:pStyle w:val="ZUSTzmustartykuempunktem"/>
              <w:spacing w:line="240" w:lineRule="auto"/>
              <w:jc w:val="left"/>
              <w:rPr>
                <w:rFonts w:ascii="Times New Roman" w:hAnsi="Times New Roman" w:cs="Times New Roman"/>
                <w:szCs w:val="24"/>
              </w:rPr>
            </w:pPr>
            <w:bookmarkStart w:id="32" w:name="_Hlk225261624"/>
            <w:bookmarkEnd w:id="31"/>
            <w:r w:rsidRPr="00FB76A9">
              <w:rPr>
                <w:rFonts w:ascii="Times New Roman" w:hAnsi="Times New Roman" w:cs="Times New Roman"/>
                <w:szCs w:val="24"/>
              </w:rPr>
              <w:t xml:space="preserve">Art. 68zx. 1. Na potrzeby dokonania kontroli poprawności złożenia informacji oraz wyliczenia wysokości opłaty za nadzór rynku motoryzacyjnego, o której mowa w art. 68zu ust. 1, Szef Krajowej Administracji Skarbowej sporządza i przedkłada </w:t>
            </w:r>
            <w:r w:rsidRPr="00FB76A9">
              <w:rPr>
                <w:rFonts w:ascii="Times New Roman" w:hAnsi="Times New Roman" w:cs="Times New Roman"/>
                <w:szCs w:val="24"/>
              </w:rPr>
              <w:lastRenderedPageBreak/>
              <w:t>Dyrektorowi TDT jako organowi nadzoru rynku, w terminie do ostatniego dnia miesiąca następującego po upływie każdego kwartału, informację o importerach wprowadzających do obrotu pojazdy.</w:t>
            </w:r>
          </w:p>
          <w:p w14:paraId="4A24CD3B" w14:textId="77777777" w:rsidR="00C076E7" w:rsidRPr="00FB76A9" w:rsidRDefault="00C076E7" w:rsidP="00FD5CD5">
            <w:pPr>
              <w:pStyle w:val="Default"/>
              <w:ind w:left="510" w:firstLine="510"/>
              <w:rPr>
                <w:color w:val="auto"/>
              </w:rPr>
            </w:pPr>
            <w:r w:rsidRPr="00FB76A9">
              <w:rPr>
                <w:color w:val="auto"/>
              </w:rPr>
              <w:t>2. Informacja, o której mowa w ust. 1, zawiera:</w:t>
            </w:r>
          </w:p>
          <w:p w14:paraId="00E22E79" w14:textId="77777777" w:rsidR="00C076E7" w:rsidRPr="00FB76A9" w:rsidRDefault="00C076E7" w:rsidP="005E0F9D">
            <w:pPr>
              <w:pStyle w:val="Default"/>
              <w:numPr>
                <w:ilvl w:val="0"/>
                <w:numId w:val="9"/>
              </w:numPr>
              <w:adjustRightInd/>
              <w:rPr>
                <w:color w:val="auto"/>
              </w:rPr>
            </w:pPr>
            <w:r w:rsidRPr="00FB76A9">
              <w:rPr>
                <w:color w:val="auto"/>
              </w:rPr>
              <w:t>numer EORI importera;</w:t>
            </w:r>
          </w:p>
          <w:p w14:paraId="001D89DD" w14:textId="77777777" w:rsidR="00C076E7" w:rsidRPr="00FB76A9" w:rsidRDefault="00C076E7" w:rsidP="005E0F9D">
            <w:pPr>
              <w:pStyle w:val="Default"/>
              <w:numPr>
                <w:ilvl w:val="0"/>
                <w:numId w:val="9"/>
              </w:numPr>
              <w:adjustRightInd/>
              <w:rPr>
                <w:color w:val="auto"/>
              </w:rPr>
            </w:pPr>
            <w:r w:rsidRPr="00FB76A9">
              <w:rPr>
                <w:color w:val="auto"/>
              </w:rPr>
              <w:t>opis towaru ze zgłoszenia celnego i jego ilość;</w:t>
            </w:r>
          </w:p>
          <w:p w14:paraId="083E95B8" w14:textId="77777777" w:rsidR="00C076E7" w:rsidRPr="00FB76A9" w:rsidRDefault="00C076E7" w:rsidP="005E0F9D">
            <w:pPr>
              <w:pStyle w:val="Default"/>
              <w:numPr>
                <w:ilvl w:val="0"/>
                <w:numId w:val="9"/>
              </w:numPr>
              <w:adjustRightInd/>
              <w:rPr>
                <w:color w:val="auto"/>
              </w:rPr>
            </w:pPr>
            <w:r w:rsidRPr="00FB76A9">
              <w:rPr>
                <w:color w:val="auto"/>
              </w:rPr>
              <w:t>kod CN pojazdu;</w:t>
            </w:r>
          </w:p>
          <w:p w14:paraId="640255D2" w14:textId="77777777" w:rsidR="00C076E7" w:rsidRPr="00FB76A9" w:rsidRDefault="00C076E7" w:rsidP="00FD5CD5">
            <w:pPr>
              <w:pStyle w:val="Default"/>
              <w:ind w:left="510" w:firstLine="510"/>
              <w:rPr>
                <w:color w:val="auto"/>
              </w:rPr>
            </w:pPr>
            <w:r w:rsidRPr="00FB76A9">
              <w:rPr>
                <w:color w:val="auto"/>
              </w:rPr>
              <w:t>5)</w:t>
            </w:r>
            <w:r w:rsidRPr="00FB76A9">
              <w:rPr>
                <w:color w:val="auto"/>
              </w:rPr>
              <w:tab/>
              <w:t>wartość statystyczną pojazdu.</w:t>
            </w:r>
          </w:p>
          <w:p w14:paraId="48A3408A" w14:textId="77777777" w:rsidR="00C076E7" w:rsidRPr="00FB76A9" w:rsidRDefault="00C076E7" w:rsidP="00FD5CD5">
            <w:pPr>
              <w:spacing w:after="0" w:line="240" w:lineRule="auto"/>
              <w:ind w:left="510" w:firstLine="510"/>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3. Informacje, o których mowa w ust. 1, mogą pozostawać w zasobach elektronicznych wykorzystywanych do ich przekazywania i przetwarzania nie dłużej, niż jest to konieczne, a Dyrektor TDT jako organ nadzoru rynku zapewnia ich poufność.</w:t>
            </w:r>
          </w:p>
          <w:p w14:paraId="39EFD383" w14:textId="77777777" w:rsidR="00C076E7" w:rsidRPr="00FB76A9" w:rsidRDefault="00CF3C6A" w:rsidP="00FD5CD5">
            <w:pPr>
              <w:pStyle w:val="ZUSTzmustartykuempunktem"/>
              <w:spacing w:line="240" w:lineRule="auto"/>
              <w:jc w:val="left"/>
              <w:rPr>
                <w:rFonts w:ascii="Times New Roman" w:hAnsi="Times New Roman" w:cs="Times New Roman"/>
                <w:szCs w:val="24"/>
              </w:rPr>
            </w:pPr>
            <w:r w:rsidRPr="00B52C69">
              <w:t xml:space="preserve">Art. 68zy. Minister właściwy do spraw informatyzacji sporządza na podstawie danych zawartych w ewidencji, o których mowa w art. 80b ust. 1 pkt 13 i 18 ustawy – Prawo o ruchu drogowym, i przedkłada Dyrektorowi TDT jako organowi nadzoru rynku, w terminie do 15 dnia drugiego miesiąca następującego po upływie każdego kwartału, zestawienie zarejestrowanych na terytorium Rzeczypospolitej Polskiej pojazdów w danym kwartale, zawierające w szczególności dane i informacje obejmujące rodzaj, kategorię, producenta, markę, model, numer świadectwa homologacji typu oraz </w:t>
            </w:r>
            <w:r w:rsidRPr="00B52C69">
              <w:lastRenderedPageBreak/>
              <w:t>datę pierwszej rejestracji w kraju każdego z pojazdów.</w:t>
            </w:r>
            <w:bookmarkEnd w:id="32"/>
          </w:p>
          <w:p w14:paraId="40921937" w14:textId="77777777" w:rsidR="00C076E7" w:rsidRPr="00FB76A9" w:rsidRDefault="00C076E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68zz.</w:t>
            </w:r>
            <w:bookmarkStart w:id="33" w:name="_Hlk126049596"/>
            <w:r w:rsidRPr="00FB76A9">
              <w:rPr>
                <w:rFonts w:ascii="Times New Roman" w:hAnsi="Times New Roman" w:cs="Times New Roman"/>
                <w:szCs w:val="24"/>
              </w:rPr>
              <w:t xml:space="preserve"> Zasady postępowania Dyrektora TDT jako organu nadzoru rynku w odniesieniu do pojazdów, przedmiotów wyposażenia lub części objętych procedurą celną dopuszczenia do obrotu, o której mowa w art. 25 ust. 3 rozporządzenia 2019/1020, realizowaną przez organy celne, określają przepisy art. 26</w:t>
            </w:r>
            <w:bookmarkStart w:id="34" w:name="_Hlk150521749"/>
            <w:r w:rsidRPr="00FB76A9">
              <w:rPr>
                <w:rFonts w:ascii="Times New Roman" w:hAnsi="Times New Roman" w:cs="Times New Roman"/>
                <w:szCs w:val="24"/>
              </w:rPr>
              <w:t>–</w:t>
            </w:r>
            <w:bookmarkEnd w:id="34"/>
            <w:r w:rsidRPr="00FB76A9">
              <w:rPr>
                <w:rFonts w:ascii="Times New Roman" w:hAnsi="Times New Roman" w:cs="Times New Roman"/>
                <w:szCs w:val="24"/>
              </w:rPr>
              <w:t xml:space="preserve">28 tego rozporządzenia. </w:t>
            </w:r>
            <w:bookmarkEnd w:id="33"/>
          </w:p>
          <w:p w14:paraId="3FDE178A" w14:textId="77777777" w:rsidR="008031F8" w:rsidRDefault="00C076E7" w:rsidP="008031F8">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68zza. Przepisy niniejszego rozdziału, z wyłączeniem art. 68zl ust. 3 oraz art. 68zu, stosuje się odpowiednio do zadań Dyrektora TDT </w:t>
            </w:r>
            <w:bookmarkStart w:id="35" w:name="_Hlk229326797"/>
            <w:r w:rsidRPr="00FB76A9">
              <w:rPr>
                <w:rFonts w:ascii="Times New Roman" w:hAnsi="Times New Roman" w:cs="Times New Roman"/>
                <w:szCs w:val="24"/>
              </w:rPr>
              <w:t>jako organu nadzoru rynku realizowanych w odniesieniu do rowerów, wózków rowerowych, hulajnóg elektrycznych oraz urządzeń transportu osobistego, a także do obowiązków podmiotów gospodarczych, które te rowery, wózki rowerowe, hulajnogi elektryczne oraz urządzenia transportu osobistego wprowadzają do obrotu na terytorium Rzeczypospolitej Polskiej</w:t>
            </w:r>
            <w:bookmarkEnd w:id="35"/>
            <w:r w:rsidRPr="00FB76A9">
              <w:rPr>
                <w:rFonts w:ascii="Times New Roman" w:hAnsi="Times New Roman" w:cs="Times New Roman"/>
                <w:szCs w:val="24"/>
              </w:rPr>
              <w:t>.</w:t>
            </w:r>
          </w:p>
          <w:p w14:paraId="4639EAB0" w14:textId="77777777" w:rsidR="008031F8" w:rsidRPr="008031F8" w:rsidRDefault="008031F8" w:rsidP="008031F8">
            <w:pPr>
              <w:pStyle w:val="ZUSTzmustartykuempunktem"/>
              <w:spacing w:line="240" w:lineRule="auto"/>
              <w:jc w:val="left"/>
              <w:rPr>
                <w:rFonts w:ascii="Times New Roman" w:hAnsi="Times New Roman" w:cs="Times New Roman"/>
                <w:szCs w:val="24"/>
              </w:rPr>
            </w:pPr>
            <w:r w:rsidRPr="008031F8">
              <w:rPr>
                <w:rFonts w:ascii="Times New Roman" w:hAnsi="Times New Roman" w:cs="Times New Roman"/>
                <w:szCs w:val="24"/>
              </w:rPr>
              <w:t xml:space="preserve">Art. 68zzb. 1. Koszty, o których mowa w art. 68zd ust. 11 i art. 68ze ust. 10, kwoty stanowiące równowartość zwrotu zapłaty, o której mowa w art. 68zp ust. 3 i 5 oraz opłaty, o których mowa wart. 68zs ust. 11 i art. 68zw ust. 3 pkt 1, wraz z odsetkami ustawowymi za opóźnienie, podlegają przymusowemu ściągnięciu w trybie określonym w ustawie z dnia 17 czerwca 1966 r. o postępowaniu </w:t>
            </w:r>
            <w:r w:rsidRPr="008031F8">
              <w:rPr>
                <w:rFonts w:ascii="Times New Roman" w:hAnsi="Times New Roman" w:cs="Times New Roman"/>
                <w:szCs w:val="24"/>
              </w:rPr>
              <w:lastRenderedPageBreak/>
              <w:t>egzekucyjnym w administracji (Dz. U. z 2026 r. poz. 268, 516 i 739).</w:t>
            </w:r>
          </w:p>
          <w:p w14:paraId="36ED4ECF" w14:textId="77777777" w:rsidR="008031F8" w:rsidRDefault="008031F8" w:rsidP="008031F8">
            <w:pPr>
              <w:pStyle w:val="ZUSTzmustartykuempunktem"/>
              <w:spacing w:line="240" w:lineRule="auto"/>
              <w:jc w:val="left"/>
              <w:rPr>
                <w:rFonts w:ascii="Times New Roman" w:hAnsi="Times New Roman" w:cs="Times New Roman"/>
                <w:szCs w:val="24"/>
              </w:rPr>
            </w:pPr>
            <w:r w:rsidRPr="008031F8">
              <w:rPr>
                <w:rFonts w:ascii="Times New Roman" w:hAnsi="Times New Roman" w:cs="Times New Roman"/>
                <w:szCs w:val="24"/>
              </w:rPr>
              <w:t xml:space="preserve"> 2. Obowiązek uiszczenia kosztów i opłat, o których mowa w ust. 1, przedawnia się z upływem 5 lat, licząc od ostatniego dnia roku kalendarzowego, w którym koszty lub opłaty powinny zostać uiszczone.</w:t>
            </w:r>
            <w:r>
              <w:rPr>
                <w:rFonts w:ascii="Times New Roman" w:hAnsi="Times New Roman" w:cs="Times New Roman"/>
                <w:szCs w:val="24"/>
              </w:rPr>
              <w:t>”</w:t>
            </w:r>
          </w:p>
          <w:p w14:paraId="48F5321E" w14:textId="77777777" w:rsidR="00E05CE1" w:rsidRDefault="00E05CE1" w:rsidP="008031F8">
            <w:pPr>
              <w:pStyle w:val="ZUSTzmustartykuempunktem"/>
              <w:spacing w:line="240" w:lineRule="auto"/>
              <w:jc w:val="left"/>
              <w:rPr>
                <w:rFonts w:ascii="Times New Roman" w:hAnsi="Times New Roman" w:cs="Times New Roman"/>
                <w:szCs w:val="24"/>
              </w:rPr>
            </w:pPr>
          </w:p>
          <w:p w14:paraId="0190775A" w14:textId="77777777" w:rsidR="00E05CE1" w:rsidRDefault="00E05CE1" w:rsidP="00E05CE1">
            <w:pPr>
              <w:pStyle w:val="ZUSTzmustartykuempunktem"/>
              <w:spacing w:line="240" w:lineRule="auto"/>
              <w:ind w:left="0" w:firstLine="0"/>
              <w:jc w:val="left"/>
              <w:rPr>
                <w:rFonts w:ascii="Times New Roman" w:hAnsi="Times New Roman" w:cs="Times New Roman"/>
                <w:b/>
                <w:szCs w:val="24"/>
                <w:u w:val="single"/>
              </w:rPr>
            </w:pPr>
            <w:r w:rsidRPr="00E05CE1">
              <w:rPr>
                <w:rFonts w:ascii="Times New Roman" w:hAnsi="Times New Roman" w:cs="Times New Roman"/>
                <w:b/>
                <w:szCs w:val="24"/>
                <w:u w:val="single"/>
              </w:rPr>
              <w:t>Wyjaśnienia w zakresie art. 6 ust. 8 i 9, art. 8 ust. 6 i 7</w:t>
            </w:r>
            <w:r w:rsidR="00326860">
              <w:rPr>
                <w:rFonts w:ascii="Times New Roman" w:hAnsi="Times New Roman" w:cs="Times New Roman"/>
                <w:b/>
                <w:szCs w:val="24"/>
                <w:u w:val="single"/>
              </w:rPr>
              <w:t xml:space="preserve"> rozporządzenia UE</w:t>
            </w:r>
            <w:r w:rsidRPr="00E05CE1">
              <w:rPr>
                <w:rFonts w:ascii="Times New Roman" w:hAnsi="Times New Roman" w:cs="Times New Roman"/>
                <w:b/>
                <w:szCs w:val="24"/>
                <w:u w:val="single"/>
              </w:rPr>
              <w:t>:</w:t>
            </w:r>
          </w:p>
          <w:p w14:paraId="7B18C8C4" w14:textId="24789178" w:rsidR="00FB4F15" w:rsidRPr="00FB4F15" w:rsidRDefault="00326860" w:rsidP="00FB4F15">
            <w:pPr>
              <w:rPr>
                <w:rFonts w:ascii="Times New Roman" w:eastAsiaTheme="minorEastAsia" w:hAnsi="Times New Roman" w:cs="Times New Roman"/>
                <w:b/>
                <w:sz w:val="24"/>
                <w:szCs w:val="24"/>
                <w:lang w:eastAsia="pl-PL"/>
              </w:rPr>
            </w:pPr>
            <w:r w:rsidRPr="00326860">
              <w:rPr>
                <w:rFonts w:ascii="Times New Roman" w:eastAsiaTheme="minorEastAsia" w:hAnsi="Times New Roman" w:cs="Times New Roman"/>
                <w:b/>
                <w:sz w:val="24"/>
                <w:szCs w:val="24"/>
                <w:lang w:eastAsia="pl-PL"/>
              </w:rPr>
              <w:t xml:space="preserve">Artykuł 6 rozporządzenia (UE) 2018/858 nakłada obowiązki </w:t>
            </w:r>
            <w:r w:rsidR="00FB4F15">
              <w:rPr>
                <w:rFonts w:ascii="Times New Roman" w:eastAsiaTheme="minorEastAsia" w:hAnsi="Times New Roman" w:cs="Times New Roman"/>
                <w:b/>
                <w:sz w:val="24"/>
                <w:szCs w:val="24"/>
                <w:lang w:eastAsia="pl-PL"/>
              </w:rPr>
              <w:t>dedykowane</w:t>
            </w:r>
            <w:r w:rsidRPr="00326860">
              <w:rPr>
                <w:rFonts w:ascii="Times New Roman" w:eastAsiaTheme="minorEastAsia" w:hAnsi="Times New Roman" w:cs="Times New Roman"/>
                <w:b/>
                <w:sz w:val="24"/>
                <w:szCs w:val="24"/>
                <w:lang w:eastAsia="pl-PL"/>
              </w:rPr>
              <w:t xml:space="preserve"> </w:t>
            </w:r>
            <w:r w:rsidR="00FB4F15">
              <w:rPr>
                <w:rFonts w:ascii="Times New Roman" w:eastAsiaTheme="minorEastAsia" w:hAnsi="Times New Roman" w:cs="Times New Roman"/>
                <w:b/>
                <w:sz w:val="24"/>
                <w:szCs w:val="24"/>
                <w:lang w:eastAsia="pl-PL"/>
              </w:rPr>
              <w:t xml:space="preserve">wprost </w:t>
            </w:r>
            <w:r w:rsidRPr="00326860">
              <w:rPr>
                <w:rFonts w:ascii="Times New Roman" w:eastAsiaTheme="minorEastAsia" w:hAnsi="Times New Roman" w:cs="Times New Roman"/>
                <w:b/>
                <w:sz w:val="24"/>
                <w:szCs w:val="24"/>
                <w:lang w:eastAsia="pl-PL"/>
              </w:rPr>
              <w:t>państw</w:t>
            </w:r>
            <w:r w:rsidR="00FB4F15">
              <w:rPr>
                <w:rFonts w:ascii="Times New Roman" w:eastAsiaTheme="minorEastAsia" w:hAnsi="Times New Roman" w:cs="Times New Roman"/>
                <w:b/>
                <w:sz w:val="24"/>
                <w:szCs w:val="24"/>
                <w:lang w:eastAsia="pl-PL"/>
              </w:rPr>
              <w:t>om</w:t>
            </w:r>
            <w:r w:rsidRPr="00326860">
              <w:rPr>
                <w:rFonts w:ascii="Times New Roman" w:eastAsiaTheme="minorEastAsia" w:hAnsi="Times New Roman" w:cs="Times New Roman"/>
                <w:b/>
                <w:sz w:val="24"/>
                <w:szCs w:val="24"/>
                <w:lang w:eastAsia="pl-PL"/>
              </w:rPr>
              <w:t xml:space="preserve"> członkowski</w:t>
            </w:r>
            <w:r w:rsidR="00FB4F15">
              <w:rPr>
                <w:rFonts w:ascii="Times New Roman" w:eastAsiaTheme="minorEastAsia" w:hAnsi="Times New Roman" w:cs="Times New Roman"/>
                <w:b/>
                <w:sz w:val="24"/>
                <w:szCs w:val="24"/>
                <w:lang w:eastAsia="pl-PL"/>
              </w:rPr>
              <w:t>m (tu: minister właściwy do spraw transportu)</w:t>
            </w:r>
            <w:r w:rsidRPr="00326860">
              <w:rPr>
                <w:rFonts w:ascii="Times New Roman" w:eastAsiaTheme="minorEastAsia" w:hAnsi="Times New Roman" w:cs="Times New Roman"/>
                <w:b/>
                <w:sz w:val="24"/>
                <w:szCs w:val="24"/>
                <w:lang w:eastAsia="pl-PL"/>
              </w:rPr>
              <w:t>. Obowiązki te mają zastosowanie bezpośrednie</w:t>
            </w:r>
            <w:r>
              <w:rPr>
                <w:rFonts w:ascii="Times New Roman" w:eastAsiaTheme="minorEastAsia" w:hAnsi="Times New Roman" w:cs="Times New Roman"/>
                <w:b/>
                <w:sz w:val="24"/>
                <w:szCs w:val="24"/>
                <w:lang w:eastAsia="pl-PL"/>
              </w:rPr>
              <w:t>,</w:t>
            </w:r>
            <w:r w:rsidRPr="00326860">
              <w:rPr>
                <w:rFonts w:ascii="Times New Roman" w:eastAsiaTheme="minorEastAsia" w:hAnsi="Times New Roman" w:cs="Times New Roman"/>
                <w:b/>
                <w:sz w:val="24"/>
                <w:szCs w:val="24"/>
                <w:lang w:eastAsia="pl-PL"/>
              </w:rPr>
              <w:t xml:space="preserve"> a ich charakter jest ściśle legislacyjny. Ze względu na powyższe należy stwierdzić, że obowiązki wynikających z ww</w:t>
            </w:r>
            <w:r w:rsidR="00FB4F15">
              <w:rPr>
                <w:rFonts w:ascii="Times New Roman" w:eastAsiaTheme="minorEastAsia" w:hAnsi="Times New Roman" w:cs="Times New Roman"/>
                <w:b/>
                <w:sz w:val="24"/>
                <w:szCs w:val="24"/>
                <w:lang w:eastAsia="pl-PL"/>
              </w:rPr>
              <w:t>.</w:t>
            </w:r>
            <w:r w:rsidRPr="00326860">
              <w:rPr>
                <w:rFonts w:ascii="Times New Roman" w:eastAsiaTheme="minorEastAsia" w:hAnsi="Times New Roman" w:cs="Times New Roman"/>
                <w:b/>
                <w:sz w:val="24"/>
                <w:szCs w:val="24"/>
                <w:lang w:eastAsia="pl-PL"/>
              </w:rPr>
              <w:t xml:space="preserve"> artykułu zostaną wykonane wraz z wejściem w życie nowelizacji ustawy (UC95)</w:t>
            </w:r>
            <w:r w:rsidR="00FB4F15">
              <w:rPr>
                <w:rFonts w:ascii="Times New Roman" w:eastAsiaTheme="minorEastAsia" w:hAnsi="Times New Roman" w:cs="Times New Roman"/>
                <w:b/>
                <w:sz w:val="24"/>
                <w:szCs w:val="24"/>
                <w:lang w:eastAsia="pl-PL"/>
              </w:rPr>
              <w:t>,</w:t>
            </w:r>
            <w:r w:rsidRPr="00326860">
              <w:rPr>
                <w:rFonts w:ascii="Times New Roman" w:eastAsiaTheme="minorEastAsia" w:hAnsi="Times New Roman" w:cs="Times New Roman"/>
                <w:b/>
                <w:sz w:val="24"/>
                <w:szCs w:val="24"/>
                <w:lang w:eastAsia="pl-PL"/>
              </w:rPr>
              <w:t xml:space="preserve"> poprzez prowadzenie cykliczn</w:t>
            </w:r>
            <w:r w:rsidR="00FB4F15">
              <w:rPr>
                <w:rFonts w:ascii="Times New Roman" w:eastAsiaTheme="minorEastAsia" w:hAnsi="Times New Roman" w:cs="Times New Roman"/>
                <w:b/>
                <w:sz w:val="24"/>
                <w:szCs w:val="24"/>
                <w:lang w:eastAsia="pl-PL"/>
              </w:rPr>
              <w:t>ych przeglądów i ocen, i przekazywanie ich wyników Komisji Europejskiej oraz forum wymiany informacji</w:t>
            </w:r>
            <w:r w:rsidRPr="00326860">
              <w:rPr>
                <w:rFonts w:ascii="Times New Roman" w:eastAsiaTheme="minorEastAsia" w:hAnsi="Times New Roman" w:cs="Times New Roman"/>
                <w:b/>
                <w:sz w:val="24"/>
                <w:szCs w:val="24"/>
                <w:lang w:eastAsia="pl-PL"/>
              </w:rPr>
              <w:t>.</w:t>
            </w:r>
            <w:r w:rsidR="00FB4F15">
              <w:rPr>
                <w:rFonts w:ascii="Times New Roman" w:eastAsiaTheme="minorEastAsia" w:hAnsi="Times New Roman" w:cs="Times New Roman"/>
                <w:b/>
                <w:sz w:val="24"/>
                <w:szCs w:val="24"/>
                <w:lang w:eastAsia="pl-PL"/>
              </w:rPr>
              <w:t xml:space="preserve"> </w:t>
            </w:r>
          </w:p>
          <w:p w14:paraId="0304DCE5" w14:textId="7B1EB124" w:rsidR="00E05CE1" w:rsidRPr="00326860" w:rsidRDefault="00326860" w:rsidP="00326860">
            <w:pPr>
              <w:rPr>
                <w:rFonts w:ascii="Times New Roman" w:eastAsiaTheme="minorEastAsia" w:hAnsi="Times New Roman" w:cs="Times New Roman"/>
                <w:b/>
                <w:sz w:val="24"/>
                <w:szCs w:val="24"/>
                <w:lang w:eastAsia="pl-PL"/>
              </w:rPr>
            </w:pPr>
            <w:r w:rsidRPr="00326860">
              <w:rPr>
                <w:rFonts w:ascii="Times New Roman" w:eastAsiaTheme="minorEastAsia" w:hAnsi="Times New Roman" w:cs="Times New Roman"/>
                <w:b/>
                <w:sz w:val="24"/>
                <w:szCs w:val="24"/>
                <w:lang w:eastAsia="pl-PL"/>
              </w:rPr>
              <w:t>Obowiązek okresowych przeglądów i ocen funkcjonowania działań Polski w zakresie homologacji typu oraz w zakresie nadzoru rynku będzie wykonywany w sposób bezpośredni</w:t>
            </w:r>
            <w:r w:rsidR="00FB4F15">
              <w:rPr>
                <w:rFonts w:ascii="Times New Roman" w:eastAsiaTheme="minorEastAsia" w:hAnsi="Times New Roman" w:cs="Times New Roman"/>
                <w:b/>
                <w:sz w:val="24"/>
                <w:szCs w:val="24"/>
                <w:lang w:eastAsia="pl-PL"/>
              </w:rPr>
              <w:t xml:space="preserve">, </w:t>
            </w:r>
            <w:r w:rsidRPr="00326860">
              <w:rPr>
                <w:rFonts w:ascii="Times New Roman" w:eastAsiaTheme="minorEastAsia" w:hAnsi="Times New Roman" w:cs="Times New Roman"/>
                <w:b/>
                <w:sz w:val="24"/>
                <w:szCs w:val="24"/>
                <w:lang w:eastAsia="pl-PL"/>
              </w:rPr>
              <w:t>w myśl zasad ustalonych w artykule 6 ust. 8 i 9</w:t>
            </w:r>
            <w:r>
              <w:rPr>
                <w:rFonts w:ascii="Times New Roman" w:eastAsiaTheme="minorEastAsia" w:hAnsi="Times New Roman" w:cs="Times New Roman"/>
                <w:b/>
                <w:sz w:val="24"/>
                <w:szCs w:val="24"/>
                <w:lang w:eastAsia="pl-PL"/>
              </w:rPr>
              <w:t xml:space="preserve"> oraz art. 8 ust. 6 i 7</w:t>
            </w:r>
            <w:r w:rsidR="00C56EED">
              <w:rPr>
                <w:rFonts w:ascii="Times New Roman" w:eastAsiaTheme="minorEastAsia" w:hAnsi="Times New Roman" w:cs="Times New Roman"/>
                <w:b/>
                <w:sz w:val="24"/>
                <w:szCs w:val="24"/>
                <w:lang w:eastAsia="pl-PL"/>
              </w:rPr>
              <w:t xml:space="preserve">, w zw. </w:t>
            </w:r>
            <w:r w:rsidR="00C56EED" w:rsidRPr="00326860">
              <w:rPr>
                <w:rFonts w:ascii="Times New Roman" w:eastAsiaTheme="minorEastAsia" w:hAnsi="Times New Roman" w:cs="Times New Roman"/>
                <w:b/>
                <w:sz w:val="24"/>
                <w:szCs w:val="24"/>
                <w:lang w:eastAsia="pl-PL"/>
              </w:rPr>
              <w:t xml:space="preserve">z </w:t>
            </w:r>
            <w:r w:rsidR="00C56EED">
              <w:rPr>
                <w:rFonts w:ascii="Times New Roman" w:eastAsiaTheme="minorEastAsia" w:hAnsi="Times New Roman" w:cs="Times New Roman"/>
                <w:b/>
                <w:sz w:val="24"/>
                <w:szCs w:val="24"/>
                <w:lang w:eastAsia="pl-PL"/>
              </w:rPr>
              <w:t>art.</w:t>
            </w:r>
            <w:r w:rsidR="00C56EED" w:rsidRPr="00326860">
              <w:rPr>
                <w:rFonts w:ascii="Times New Roman" w:eastAsiaTheme="minorEastAsia" w:hAnsi="Times New Roman" w:cs="Times New Roman"/>
                <w:b/>
                <w:sz w:val="24"/>
                <w:szCs w:val="24"/>
                <w:lang w:eastAsia="pl-PL"/>
              </w:rPr>
              <w:t xml:space="preserve"> 90 rozporządzenia (UE) 2018/858 i dalej w sposób cykliczny</w:t>
            </w:r>
            <w:r w:rsidR="00C56EED">
              <w:rPr>
                <w:rFonts w:ascii="Times New Roman" w:eastAsiaTheme="minorEastAsia" w:hAnsi="Times New Roman" w:cs="Times New Roman"/>
                <w:b/>
                <w:sz w:val="24"/>
                <w:szCs w:val="24"/>
                <w:lang w:eastAsia="pl-PL"/>
              </w:rPr>
              <w:t>.</w:t>
            </w:r>
          </w:p>
        </w:tc>
        <w:tc>
          <w:tcPr>
            <w:tcW w:w="1675" w:type="dxa"/>
          </w:tcPr>
          <w:p w14:paraId="6C9ADDF8" w14:textId="77777777" w:rsidR="00C076E7" w:rsidRPr="00FB76A9" w:rsidRDefault="00C076E7" w:rsidP="00FD5CD5">
            <w:pPr>
              <w:spacing w:after="0" w:line="240" w:lineRule="auto"/>
              <w:rPr>
                <w:rFonts w:ascii="Times New Roman" w:eastAsia="Times New Roman" w:hAnsi="Times New Roman" w:cs="Times New Roman"/>
                <w:sz w:val="24"/>
                <w:szCs w:val="24"/>
                <w:lang w:eastAsia="pl-PL"/>
              </w:rPr>
            </w:pPr>
          </w:p>
        </w:tc>
      </w:tr>
      <w:bookmarkEnd w:id="3"/>
      <w:tr w:rsidR="00C076E7" w:rsidRPr="00FB76A9" w14:paraId="00703FD9" w14:textId="77777777" w:rsidTr="00B923FC">
        <w:trPr>
          <w:trHeight w:val="420"/>
        </w:trPr>
        <w:tc>
          <w:tcPr>
            <w:tcW w:w="988" w:type="dxa"/>
            <w:vMerge/>
            <w:tcBorders>
              <w:left w:val="single" w:sz="4" w:space="0" w:color="auto"/>
              <w:bottom w:val="single" w:sz="4" w:space="0" w:color="auto"/>
              <w:right w:val="single" w:sz="4" w:space="0" w:color="auto"/>
            </w:tcBorders>
          </w:tcPr>
          <w:p w14:paraId="6C1EA574" w14:textId="77777777" w:rsidR="00C076E7" w:rsidRPr="00FB76A9" w:rsidRDefault="00C076E7" w:rsidP="00FD5CD5">
            <w:pPr>
              <w:spacing w:after="0" w:line="240" w:lineRule="auto"/>
              <w:rPr>
                <w:rFonts w:ascii="Times New Roman" w:eastAsia="Times New Roman" w:hAnsi="Times New Roman" w:cs="Times New Roman"/>
                <w:b/>
                <w:sz w:val="24"/>
                <w:szCs w:val="24"/>
                <w:lang w:eastAsia="pl-PL"/>
              </w:rPr>
            </w:pPr>
          </w:p>
        </w:tc>
        <w:tc>
          <w:tcPr>
            <w:tcW w:w="5386" w:type="dxa"/>
            <w:gridSpan w:val="2"/>
            <w:vMerge/>
            <w:tcBorders>
              <w:left w:val="single" w:sz="4" w:space="0" w:color="auto"/>
              <w:bottom w:val="single" w:sz="4" w:space="0" w:color="auto"/>
              <w:right w:val="single" w:sz="4" w:space="0" w:color="auto"/>
            </w:tcBorders>
          </w:tcPr>
          <w:p w14:paraId="6EBE4494" w14:textId="77777777" w:rsidR="00C076E7" w:rsidRPr="00FB76A9" w:rsidRDefault="00C076E7" w:rsidP="00FD5CD5">
            <w:pPr>
              <w:spacing w:after="0" w:line="240" w:lineRule="auto"/>
              <w:rPr>
                <w:rFonts w:ascii="Times New Roman" w:eastAsia="Times New Roman" w:hAnsi="Times New Roman" w:cs="Times New Roman"/>
                <w:sz w:val="24"/>
                <w:szCs w:val="24"/>
                <w:lang w:eastAsia="pl-PL"/>
              </w:rPr>
            </w:pPr>
          </w:p>
        </w:tc>
        <w:tc>
          <w:tcPr>
            <w:tcW w:w="851" w:type="dxa"/>
            <w:vMerge/>
            <w:tcBorders>
              <w:left w:val="single" w:sz="4" w:space="0" w:color="auto"/>
              <w:bottom w:val="single" w:sz="4" w:space="0" w:color="auto"/>
              <w:right w:val="single" w:sz="4" w:space="0" w:color="auto"/>
            </w:tcBorders>
          </w:tcPr>
          <w:p w14:paraId="1459E245" w14:textId="77777777" w:rsidR="00C076E7" w:rsidRPr="00FB76A9" w:rsidRDefault="00C076E7" w:rsidP="00FD5CD5">
            <w:pPr>
              <w:spacing w:after="0" w:line="240" w:lineRule="auto"/>
              <w:rPr>
                <w:rFonts w:ascii="Times New Roman" w:eastAsia="Times New Roman" w:hAnsi="Times New Roman" w:cs="Times New Roman"/>
                <w:sz w:val="24"/>
                <w:szCs w:val="24"/>
                <w:lang w:eastAsia="pl-PL"/>
              </w:rPr>
            </w:pPr>
          </w:p>
        </w:tc>
        <w:tc>
          <w:tcPr>
            <w:tcW w:w="992" w:type="dxa"/>
            <w:vMerge/>
            <w:tcBorders>
              <w:left w:val="single" w:sz="4" w:space="0" w:color="auto"/>
              <w:bottom w:val="single" w:sz="4" w:space="0" w:color="auto"/>
              <w:right w:val="single" w:sz="4" w:space="0" w:color="auto"/>
            </w:tcBorders>
          </w:tcPr>
          <w:p w14:paraId="574A3852" w14:textId="77777777" w:rsidR="00C076E7" w:rsidRPr="00E15AA3" w:rsidRDefault="00C076E7" w:rsidP="00FD5CD5">
            <w:pPr>
              <w:spacing w:after="0" w:line="240" w:lineRule="auto"/>
              <w:rPr>
                <w:rFonts w:ascii="Times New Roman" w:eastAsia="Times New Roman" w:hAnsi="Times New Roman" w:cs="Times New Roman"/>
                <w:sz w:val="24"/>
                <w:szCs w:val="24"/>
                <w:highlight w:val="red"/>
                <w:lang w:eastAsia="pl-PL"/>
              </w:rPr>
            </w:pPr>
          </w:p>
        </w:tc>
        <w:tc>
          <w:tcPr>
            <w:tcW w:w="5103" w:type="dxa"/>
            <w:vMerge/>
            <w:tcBorders>
              <w:left w:val="single" w:sz="4" w:space="0" w:color="auto"/>
              <w:bottom w:val="single" w:sz="4" w:space="0" w:color="auto"/>
              <w:right w:val="single" w:sz="4" w:space="0" w:color="auto"/>
            </w:tcBorders>
          </w:tcPr>
          <w:p w14:paraId="555F9806" w14:textId="77777777" w:rsidR="00C076E7" w:rsidRPr="00FB76A9" w:rsidRDefault="00C076E7" w:rsidP="00FD5CD5">
            <w:pPr>
              <w:pStyle w:val="ZARTzmartartykuempunktem"/>
              <w:spacing w:line="240" w:lineRule="auto"/>
              <w:ind w:left="0" w:firstLine="0"/>
              <w:jc w:val="left"/>
              <w:rPr>
                <w:rFonts w:ascii="Times New Roman" w:eastAsia="Times New Roman" w:hAnsi="Times New Roman" w:cs="Times New Roman"/>
                <w:szCs w:val="24"/>
              </w:rPr>
            </w:pPr>
            <w:bookmarkStart w:id="36" w:name="highlightHit_275"/>
            <w:bookmarkStart w:id="37" w:name="mip69825327"/>
            <w:bookmarkStart w:id="38" w:name="mip69825328"/>
            <w:bookmarkStart w:id="39" w:name="mip69825330"/>
            <w:bookmarkStart w:id="40" w:name="mip69825331"/>
            <w:bookmarkStart w:id="41" w:name="mip69825332"/>
            <w:bookmarkStart w:id="42" w:name="mip69825334"/>
            <w:bookmarkStart w:id="43" w:name="mip69825336"/>
            <w:bookmarkStart w:id="44" w:name="mip69825337"/>
            <w:bookmarkStart w:id="45" w:name="mip69825338"/>
            <w:bookmarkStart w:id="46" w:name="mip69825339"/>
            <w:bookmarkStart w:id="47" w:name="mip69825340"/>
            <w:bookmarkStart w:id="48" w:name="mip69825341"/>
            <w:bookmarkStart w:id="49" w:name="mip69825342"/>
            <w:bookmarkStart w:id="50" w:name="mip69825343"/>
            <w:bookmarkStart w:id="51" w:name="mip68911706"/>
            <w:bookmarkStart w:id="52" w:name="mip68911707"/>
            <w:bookmarkStart w:id="53" w:name="mip68911708"/>
            <w:bookmarkStart w:id="54" w:name="mip68911709"/>
            <w:bookmarkStart w:id="55" w:name="mip68911710"/>
            <w:bookmarkStart w:id="56" w:name="mip68911711"/>
            <w:bookmarkStart w:id="57" w:name="mip69825344"/>
            <w:bookmarkStart w:id="58" w:name="mip69825345"/>
            <w:bookmarkStart w:id="59" w:name="mip69825346"/>
            <w:bookmarkStart w:id="60" w:name="mip69825347"/>
            <w:bookmarkStart w:id="61" w:name="mip69825349"/>
            <w:bookmarkStart w:id="62" w:name="mip69825350"/>
            <w:bookmarkStart w:id="63" w:name="mip69825351"/>
            <w:bookmarkStart w:id="64" w:name="mip69825352"/>
            <w:bookmarkStart w:id="65" w:name="mip69825353"/>
            <w:bookmarkStart w:id="66" w:name="mip6982535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tc>
        <w:tc>
          <w:tcPr>
            <w:tcW w:w="1675" w:type="dxa"/>
          </w:tcPr>
          <w:p w14:paraId="4F581025" w14:textId="77777777" w:rsidR="00C076E7" w:rsidRPr="00FB76A9" w:rsidRDefault="00C076E7" w:rsidP="00FD5CD5">
            <w:pPr>
              <w:spacing w:after="0" w:line="240" w:lineRule="auto"/>
              <w:rPr>
                <w:rFonts w:ascii="Times New Roman" w:eastAsia="Times New Roman" w:hAnsi="Times New Roman" w:cs="Times New Roman"/>
                <w:sz w:val="24"/>
                <w:szCs w:val="24"/>
                <w:lang w:eastAsia="pl-PL"/>
              </w:rPr>
            </w:pPr>
          </w:p>
        </w:tc>
      </w:tr>
      <w:tr w:rsidR="00836411" w:rsidRPr="00FB76A9" w14:paraId="76BFACA2" w14:textId="77777777" w:rsidTr="004F1DD9">
        <w:trPr>
          <w:trHeight w:val="420"/>
        </w:trPr>
        <w:tc>
          <w:tcPr>
            <w:tcW w:w="988" w:type="dxa"/>
            <w:tcBorders>
              <w:top w:val="single" w:sz="4" w:space="0" w:color="auto"/>
              <w:left w:val="single" w:sz="4" w:space="0" w:color="auto"/>
              <w:bottom w:val="single" w:sz="4" w:space="0" w:color="auto"/>
              <w:right w:val="single" w:sz="4" w:space="0" w:color="auto"/>
            </w:tcBorders>
          </w:tcPr>
          <w:p w14:paraId="6D4E2A97" w14:textId="77777777" w:rsidR="00836411" w:rsidRPr="00FB76A9" w:rsidRDefault="00836411"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lastRenderedPageBreak/>
              <w:t xml:space="preserve">Art. 32 zdanie drugie </w:t>
            </w:r>
          </w:p>
        </w:tc>
        <w:tc>
          <w:tcPr>
            <w:tcW w:w="5386" w:type="dxa"/>
            <w:gridSpan w:val="2"/>
            <w:tcBorders>
              <w:top w:val="single" w:sz="4" w:space="0" w:color="auto"/>
              <w:left w:val="single" w:sz="4" w:space="0" w:color="auto"/>
              <w:bottom w:val="single" w:sz="4" w:space="0" w:color="auto"/>
              <w:right w:val="single" w:sz="4" w:space="0" w:color="auto"/>
            </w:tcBorders>
          </w:tcPr>
          <w:p w14:paraId="6AC4DCFD" w14:textId="77777777" w:rsidR="00836411" w:rsidRPr="00FB76A9" w:rsidRDefault="00836411"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„Państwa członkowskie zapewniają, aby na pokrycie kosztów działań w zakresie nadzoru rynku przeznaczone były wystarczające zasoby. Bez uszczerbku dla prawa krajowego koszty te mogą być pokrywane z opłat, </w:t>
            </w:r>
            <w:r w:rsidRPr="00FB76A9">
              <w:rPr>
                <w:rFonts w:ascii="Times New Roman" w:eastAsia="Times New Roman" w:hAnsi="Times New Roman" w:cs="Times New Roman"/>
                <w:sz w:val="24"/>
                <w:szCs w:val="24"/>
                <w:u w:val="single"/>
                <w:lang w:eastAsia="pl-PL"/>
              </w:rPr>
              <w:t>które mogą pobierać państwa członkowskie, gdzie pojazdy są wprowadzane do obrotu.”</w:t>
            </w:r>
          </w:p>
        </w:tc>
        <w:tc>
          <w:tcPr>
            <w:tcW w:w="851" w:type="dxa"/>
            <w:tcBorders>
              <w:top w:val="single" w:sz="4" w:space="0" w:color="auto"/>
              <w:left w:val="single" w:sz="4" w:space="0" w:color="auto"/>
              <w:bottom w:val="single" w:sz="4" w:space="0" w:color="auto"/>
              <w:right w:val="single" w:sz="4" w:space="0" w:color="auto"/>
            </w:tcBorders>
          </w:tcPr>
          <w:p w14:paraId="1D5EBE23" w14:textId="77777777" w:rsidR="00836411" w:rsidRPr="00FB76A9" w:rsidRDefault="00083A2A"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992" w:type="dxa"/>
            <w:tcBorders>
              <w:top w:val="single" w:sz="4" w:space="0" w:color="auto"/>
              <w:left w:val="single" w:sz="4" w:space="0" w:color="auto"/>
              <w:bottom w:val="single" w:sz="4" w:space="0" w:color="auto"/>
              <w:right w:val="single" w:sz="4" w:space="0" w:color="auto"/>
            </w:tcBorders>
          </w:tcPr>
          <w:p w14:paraId="56B111AA" w14:textId="77777777" w:rsidR="00836411" w:rsidRPr="00FB76A9" w:rsidRDefault="00AE3CC2"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 xml:space="preserve">Art. 1 pkt </w:t>
            </w:r>
            <w:r w:rsidR="0074230D" w:rsidRPr="00FB76A9">
              <w:rPr>
                <w:rFonts w:ascii="Times New Roman" w:eastAsia="Times New Roman" w:hAnsi="Times New Roman" w:cs="Times New Roman"/>
                <w:sz w:val="24"/>
                <w:szCs w:val="24"/>
                <w:lang w:val="en-GB" w:eastAsia="pl-PL"/>
              </w:rPr>
              <w:t>21</w:t>
            </w:r>
          </w:p>
        </w:tc>
        <w:tc>
          <w:tcPr>
            <w:tcW w:w="5103" w:type="dxa"/>
            <w:tcBorders>
              <w:top w:val="single" w:sz="4" w:space="0" w:color="auto"/>
              <w:left w:val="single" w:sz="4" w:space="0" w:color="auto"/>
              <w:bottom w:val="single" w:sz="4" w:space="0" w:color="auto"/>
              <w:right w:val="single" w:sz="4" w:space="0" w:color="auto"/>
            </w:tcBorders>
          </w:tcPr>
          <w:p w14:paraId="61FF9580" w14:textId="77777777" w:rsidR="00A1246E" w:rsidRPr="00B52C69" w:rsidRDefault="00A1246E" w:rsidP="00FD5CD5">
            <w:pPr>
              <w:pStyle w:val="ZARTzmartartykuempunktem"/>
              <w:spacing w:line="240" w:lineRule="auto"/>
              <w:jc w:val="left"/>
              <w:rPr>
                <w:rFonts w:ascii="Times New Roman" w:hAnsi="Times New Roman" w:cs="Times New Roman"/>
                <w:szCs w:val="24"/>
              </w:rPr>
            </w:pPr>
            <w:r w:rsidRPr="00B52C69">
              <w:rPr>
                <w:rFonts w:ascii="Times New Roman" w:hAnsi="Times New Roman" w:cs="Times New Roman"/>
                <w:szCs w:val="24"/>
              </w:rPr>
              <w:t>Art.  68zu. 1. Wprowadzanie do obrotu na terytorium Rzeczypospolitej Polskiej pojazdów podlega opłacie, zwanej dalej „opłatą za nadzór rynku motoryzacyjnego”.</w:t>
            </w:r>
          </w:p>
          <w:p w14:paraId="25173B2D" w14:textId="77777777" w:rsidR="00A1246E" w:rsidRPr="00B52C69" w:rsidRDefault="00A1246E" w:rsidP="00FD5CD5">
            <w:pPr>
              <w:pStyle w:val="ZARTzmartartykuempunktem"/>
              <w:spacing w:line="240" w:lineRule="auto"/>
              <w:jc w:val="left"/>
              <w:rPr>
                <w:rFonts w:ascii="Times New Roman" w:hAnsi="Times New Roman" w:cs="Times New Roman"/>
                <w:szCs w:val="24"/>
              </w:rPr>
            </w:pPr>
            <w:r w:rsidRPr="00B52C69">
              <w:rPr>
                <w:rFonts w:ascii="Times New Roman" w:hAnsi="Times New Roman" w:cs="Times New Roman"/>
                <w:szCs w:val="24"/>
              </w:rPr>
              <w:t xml:space="preserve">2. Opłatę za nadzór rynku motoryzacyjnego uiszcza: </w:t>
            </w:r>
          </w:p>
          <w:p w14:paraId="0745E180" w14:textId="77777777" w:rsidR="00A1246E" w:rsidRPr="00B52C69" w:rsidRDefault="00A1246E" w:rsidP="00FD5CD5">
            <w:pPr>
              <w:pStyle w:val="ZPKTzmpktartykuempunktem"/>
              <w:spacing w:line="240" w:lineRule="auto"/>
              <w:jc w:val="left"/>
              <w:rPr>
                <w:rFonts w:ascii="Times New Roman" w:hAnsi="Times New Roman" w:cs="Times New Roman"/>
                <w:szCs w:val="24"/>
              </w:rPr>
            </w:pPr>
            <w:r w:rsidRPr="00B52C69">
              <w:rPr>
                <w:rFonts w:ascii="Times New Roman" w:hAnsi="Times New Roman" w:cs="Times New Roman"/>
                <w:szCs w:val="24"/>
              </w:rPr>
              <w:t xml:space="preserve">1) </w:t>
            </w:r>
            <w:r w:rsidRPr="00B52C69">
              <w:rPr>
                <w:rFonts w:ascii="Times New Roman" w:hAnsi="Times New Roman" w:cs="Times New Roman"/>
                <w:szCs w:val="24"/>
              </w:rPr>
              <w:tab/>
              <w:t xml:space="preserve">producent pojazdu niekompletnego albo kompletnego wprowadzający do obrotu na terytorium Rzeczypospolitej Polskiej ten pojazd, samodzielnie albo za pośrednictwem podmiotu gospodarczego; </w:t>
            </w:r>
          </w:p>
          <w:p w14:paraId="1EE8AF2A" w14:textId="77777777" w:rsidR="00A1246E" w:rsidRPr="00B52C69" w:rsidRDefault="00A1246E" w:rsidP="00FD5CD5">
            <w:pPr>
              <w:pStyle w:val="ZPKTzmpktartykuempunktem"/>
              <w:spacing w:line="240" w:lineRule="auto"/>
              <w:jc w:val="left"/>
              <w:rPr>
                <w:rFonts w:ascii="Times New Roman" w:hAnsi="Times New Roman" w:cs="Times New Roman"/>
                <w:szCs w:val="24"/>
              </w:rPr>
            </w:pPr>
            <w:r w:rsidRPr="00B52C69">
              <w:rPr>
                <w:rFonts w:ascii="Times New Roman" w:hAnsi="Times New Roman" w:cs="Times New Roman"/>
                <w:szCs w:val="24"/>
              </w:rPr>
              <w:t xml:space="preserve">2) </w:t>
            </w:r>
            <w:r w:rsidRPr="00B52C69">
              <w:rPr>
                <w:rFonts w:ascii="Times New Roman" w:hAnsi="Times New Roman" w:cs="Times New Roman"/>
                <w:szCs w:val="24"/>
              </w:rPr>
              <w:tab/>
              <w:t>podmiot gospodarczy wprowadzający do obrotu na terytorium Rzeczypospolitej Polskiej pojazd niekompletny albo kompletny;</w:t>
            </w:r>
          </w:p>
          <w:p w14:paraId="5F94928E" w14:textId="77777777" w:rsidR="00A1246E" w:rsidRPr="00B52C69" w:rsidRDefault="00A1246E" w:rsidP="00FD5CD5">
            <w:pPr>
              <w:pStyle w:val="ZPKTzmpktartykuempunktem"/>
              <w:spacing w:line="240" w:lineRule="auto"/>
              <w:jc w:val="left"/>
              <w:rPr>
                <w:rFonts w:ascii="Times New Roman" w:hAnsi="Times New Roman" w:cs="Times New Roman"/>
                <w:szCs w:val="24"/>
              </w:rPr>
            </w:pPr>
            <w:r w:rsidRPr="00B52C69">
              <w:rPr>
                <w:rFonts w:ascii="Times New Roman" w:hAnsi="Times New Roman" w:cs="Times New Roman"/>
                <w:szCs w:val="24"/>
              </w:rPr>
              <w:t xml:space="preserve">3) </w:t>
            </w:r>
            <w:r w:rsidRPr="00B52C69">
              <w:rPr>
                <w:rFonts w:ascii="Times New Roman" w:hAnsi="Times New Roman" w:cs="Times New Roman"/>
                <w:szCs w:val="24"/>
              </w:rPr>
              <w:tab/>
              <w:t xml:space="preserve">producent pojazdu wprowadzający do obrotu na terytorium Rzeczypospolitej Polskiej pojazd, który został skompletowany na terytorium innego niż Rzeczypospolita Polska państwa </w:t>
            </w:r>
          </w:p>
          <w:p w14:paraId="61C7498B" w14:textId="77777777" w:rsidR="00A1246E" w:rsidRPr="00B52C69" w:rsidRDefault="00A1246E" w:rsidP="00FD5CD5">
            <w:pPr>
              <w:pStyle w:val="ZCZWSPPKTzmczciwsppktartykuempunktem"/>
              <w:spacing w:line="240" w:lineRule="auto"/>
              <w:jc w:val="left"/>
              <w:rPr>
                <w:rFonts w:ascii="Times New Roman" w:hAnsi="Times New Roman" w:cs="Times New Roman"/>
                <w:szCs w:val="24"/>
              </w:rPr>
            </w:pPr>
            <w:r w:rsidRPr="00B52C69">
              <w:rPr>
                <w:rFonts w:ascii="Times New Roman" w:hAnsi="Times New Roman" w:cs="Times New Roman"/>
                <w:szCs w:val="24"/>
              </w:rPr>
              <w:t>– objęty jednym z dokumentów, o którym mowa w art. 13 ust. 1 pkt 1, ust. 2 i 3;</w:t>
            </w:r>
          </w:p>
          <w:p w14:paraId="355D5248" w14:textId="77777777" w:rsidR="00A1246E" w:rsidRPr="00B52C69" w:rsidRDefault="00A1246E" w:rsidP="00FD5CD5">
            <w:pPr>
              <w:pStyle w:val="ZPKTzmpktartykuempunktem"/>
              <w:spacing w:line="240" w:lineRule="auto"/>
              <w:jc w:val="left"/>
              <w:rPr>
                <w:rFonts w:ascii="Times New Roman" w:hAnsi="Times New Roman" w:cs="Times New Roman"/>
                <w:szCs w:val="24"/>
              </w:rPr>
            </w:pPr>
            <w:r w:rsidRPr="00B52C69">
              <w:rPr>
                <w:rFonts w:ascii="Times New Roman" w:hAnsi="Times New Roman" w:cs="Times New Roman"/>
                <w:szCs w:val="24"/>
              </w:rPr>
              <w:t xml:space="preserve">4) </w:t>
            </w:r>
            <w:r w:rsidRPr="00B52C69">
              <w:rPr>
                <w:rFonts w:ascii="Times New Roman" w:hAnsi="Times New Roman" w:cs="Times New Roman"/>
                <w:szCs w:val="24"/>
              </w:rPr>
              <w:tab/>
              <w:t xml:space="preserve">podmiot gospodarczy wprowadzający do obrotu na terytorium Rzeczypospolitej Polskiej pojazd objęty jednym z dokumentów, o którym mowa w art. 13 ust. 3, jeżeli przed wprowadzeniem do obrotu na terytorium Rzeczypospolitej Polskiej pojazd ten był zarejestrowany w innym niż Rzeczypospolita Polska państwie. </w:t>
            </w:r>
          </w:p>
          <w:p w14:paraId="582A6680" w14:textId="77777777" w:rsidR="00A1246E" w:rsidRPr="00B52C69" w:rsidRDefault="00A1246E" w:rsidP="00FD5CD5">
            <w:pPr>
              <w:pStyle w:val="ZUSTzmustartykuempunktem"/>
              <w:keepNext/>
              <w:spacing w:line="240" w:lineRule="auto"/>
              <w:jc w:val="left"/>
              <w:rPr>
                <w:rFonts w:ascii="Times New Roman" w:hAnsi="Times New Roman" w:cs="Times New Roman"/>
                <w:szCs w:val="24"/>
              </w:rPr>
            </w:pPr>
            <w:r w:rsidRPr="00B52C69">
              <w:rPr>
                <w:rFonts w:ascii="Times New Roman" w:hAnsi="Times New Roman" w:cs="Times New Roman"/>
                <w:szCs w:val="24"/>
              </w:rPr>
              <w:lastRenderedPageBreak/>
              <w:t xml:space="preserve">3. Opłata za nadzór rynku motoryzacyjnego stanowi przychód Dyrektora TDT jako organu nadzoru rynku i jest przeznaczona na finansowanie funkcjonowania i działania Dyrektora TDT jako organu nadzoru rynku w zakresie określonym w art. 3 ust. 3. </w:t>
            </w:r>
          </w:p>
          <w:p w14:paraId="6DAB2E3D" w14:textId="77777777" w:rsidR="00A1246E" w:rsidRPr="00B52C69" w:rsidRDefault="00A1246E" w:rsidP="00FD5CD5">
            <w:pPr>
              <w:pStyle w:val="ZUSTzmustartykuempunktem"/>
              <w:keepNext/>
              <w:spacing w:line="240" w:lineRule="auto"/>
              <w:jc w:val="left"/>
              <w:rPr>
                <w:rFonts w:ascii="Times New Roman" w:hAnsi="Times New Roman" w:cs="Times New Roman"/>
                <w:szCs w:val="24"/>
              </w:rPr>
            </w:pPr>
            <w:r w:rsidRPr="00B52C69">
              <w:rPr>
                <w:rFonts w:ascii="Times New Roman" w:hAnsi="Times New Roman" w:cs="Times New Roman"/>
                <w:szCs w:val="24"/>
              </w:rPr>
              <w:t>4. Stawka opłaty za nadzór rynku motoryzacyjnego wynosi:</w:t>
            </w:r>
          </w:p>
          <w:p w14:paraId="5B19D005" w14:textId="77777777" w:rsidR="00A1246E" w:rsidRPr="00B52C69" w:rsidRDefault="00A1246E" w:rsidP="00FD5CD5">
            <w:pPr>
              <w:pStyle w:val="ZPKTzmpktartykuempunktem"/>
              <w:keepNext/>
              <w:spacing w:line="240" w:lineRule="auto"/>
              <w:jc w:val="left"/>
              <w:rPr>
                <w:rFonts w:ascii="Times New Roman" w:hAnsi="Times New Roman" w:cs="Times New Roman"/>
                <w:szCs w:val="24"/>
              </w:rPr>
            </w:pPr>
            <w:r w:rsidRPr="00B52C69">
              <w:rPr>
                <w:rFonts w:ascii="Times New Roman" w:hAnsi="Times New Roman" w:cs="Times New Roman"/>
                <w:szCs w:val="24"/>
              </w:rPr>
              <w:t xml:space="preserve">1) </w:t>
            </w:r>
            <w:r w:rsidRPr="00B52C69">
              <w:rPr>
                <w:rFonts w:ascii="Times New Roman" w:hAnsi="Times New Roman" w:cs="Times New Roman"/>
                <w:szCs w:val="24"/>
              </w:rPr>
              <w:tab/>
              <w:t>0,05% ceny netto od każdego pojazdu wprowadzonego do obrotu na terytorium Rzeczypospolitej Polskiej w danym kwartale roku kalendarzowego, który został wyprodukowany przez:</w:t>
            </w:r>
          </w:p>
          <w:p w14:paraId="084E4562" w14:textId="77777777" w:rsidR="00A1246E" w:rsidRPr="00B52C69" w:rsidRDefault="00A1246E" w:rsidP="00FD5CD5">
            <w:pPr>
              <w:pStyle w:val="ZLITwPKTzmlitwpktartykuempunktem"/>
              <w:spacing w:line="240" w:lineRule="auto"/>
              <w:jc w:val="left"/>
              <w:rPr>
                <w:rFonts w:ascii="Times New Roman" w:hAnsi="Times New Roman" w:cs="Times New Roman"/>
                <w:szCs w:val="24"/>
              </w:rPr>
            </w:pPr>
            <w:r w:rsidRPr="00B52C69">
              <w:rPr>
                <w:rFonts w:ascii="Times New Roman" w:hAnsi="Times New Roman" w:cs="Times New Roman"/>
                <w:szCs w:val="24"/>
              </w:rPr>
              <w:t xml:space="preserve">a) </w:t>
            </w:r>
            <w:r w:rsidRPr="00B52C69">
              <w:rPr>
                <w:rFonts w:ascii="Times New Roman" w:hAnsi="Times New Roman" w:cs="Times New Roman"/>
                <w:szCs w:val="24"/>
              </w:rPr>
              <w:tab/>
              <w:t>producenta mającego siedzibę na terytorium jednego z państw członkowskich Unii Europejskiej, albo</w:t>
            </w:r>
          </w:p>
          <w:p w14:paraId="3DC873DA" w14:textId="77777777" w:rsidR="00A1246E" w:rsidRPr="00B52C69" w:rsidRDefault="00A1246E" w:rsidP="00FD5CD5">
            <w:pPr>
              <w:pStyle w:val="ZLITwPKTzmlitwpktartykuempunktem"/>
              <w:spacing w:line="240" w:lineRule="auto"/>
              <w:jc w:val="left"/>
              <w:rPr>
                <w:rFonts w:ascii="Times New Roman" w:hAnsi="Times New Roman" w:cs="Times New Roman"/>
                <w:szCs w:val="24"/>
              </w:rPr>
            </w:pPr>
            <w:r w:rsidRPr="00B52C69">
              <w:rPr>
                <w:rFonts w:ascii="Times New Roman" w:hAnsi="Times New Roman" w:cs="Times New Roman"/>
                <w:szCs w:val="24"/>
              </w:rPr>
              <w:t xml:space="preserve">b) </w:t>
            </w:r>
            <w:r w:rsidRPr="00B52C69">
              <w:rPr>
                <w:rFonts w:ascii="Times New Roman" w:hAnsi="Times New Roman" w:cs="Times New Roman"/>
                <w:szCs w:val="24"/>
              </w:rPr>
              <w:tab/>
              <w:t>producenta nie posiadającego siedziby na terytorium jednego z państw członkowskich Unii Europejskiej, ale posiadającego na terytorium takiego państwa co najmniej jeden zakład produkcyjny, z uwzględnieniem pkt 2 lit. b;</w:t>
            </w:r>
          </w:p>
          <w:p w14:paraId="4E115553" w14:textId="77777777" w:rsidR="00A1246E" w:rsidRPr="00B52C69" w:rsidRDefault="00A1246E" w:rsidP="00FD5CD5">
            <w:pPr>
              <w:pStyle w:val="ZPKTzmpktartykuempunktem"/>
              <w:keepNext/>
              <w:spacing w:line="240" w:lineRule="auto"/>
              <w:jc w:val="left"/>
              <w:rPr>
                <w:rFonts w:ascii="Times New Roman" w:hAnsi="Times New Roman" w:cs="Times New Roman"/>
                <w:szCs w:val="24"/>
              </w:rPr>
            </w:pPr>
            <w:r w:rsidRPr="00B52C69">
              <w:rPr>
                <w:rFonts w:ascii="Times New Roman" w:hAnsi="Times New Roman" w:cs="Times New Roman"/>
                <w:szCs w:val="24"/>
              </w:rPr>
              <w:t xml:space="preserve">2) </w:t>
            </w:r>
            <w:r w:rsidRPr="00B52C69">
              <w:rPr>
                <w:rFonts w:ascii="Times New Roman" w:hAnsi="Times New Roman" w:cs="Times New Roman"/>
                <w:szCs w:val="24"/>
              </w:rPr>
              <w:tab/>
              <w:t>1% ceny netto od każdego pojazdu wprowadzonego do obrotu na terytorium Rzeczypospolitej Polskiej w danym kwartale roku kalendarzowego, który został wyprodukowany przez:</w:t>
            </w:r>
          </w:p>
          <w:p w14:paraId="0A0336E9" w14:textId="77777777" w:rsidR="00A1246E" w:rsidRPr="00B52C69" w:rsidRDefault="00A1246E" w:rsidP="00FD5CD5">
            <w:pPr>
              <w:pStyle w:val="ZLITwPKTzmlitwpktartykuempunktem"/>
              <w:spacing w:line="240" w:lineRule="auto"/>
              <w:jc w:val="left"/>
              <w:rPr>
                <w:rFonts w:ascii="Times New Roman" w:hAnsi="Times New Roman" w:cs="Times New Roman"/>
                <w:szCs w:val="24"/>
              </w:rPr>
            </w:pPr>
            <w:r w:rsidRPr="00B52C69">
              <w:rPr>
                <w:rFonts w:ascii="Times New Roman" w:hAnsi="Times New Roman" w:cs="Times New Roman"/>
                <w:szCs w:val="24"/>
              </w:rPr>
              <w:t xml:space="preserve">a) </w:t>
            </w:r>
            <w:r w:rsidRPr="00B52C69">
              <w:rPr>
                <w:rFonts w:ascii="Times New Roman" w:hAnsi="Times New Roman" w:cs="Times New Roman"/>
                <w:szCs w:val="24"/>
              </w:rPr>
              <w:tab/>
              <w:t xml:space="preserve">producenta nieposiadającego siedziby i zakładu produkcyjnego </w:t>
            </w:r>
            <w:r w:rsidRPr="00B52C69">
              <w:rPr>
                <w:rFonts w:ascii="Times New Roman" w:hAnsi="Times New Roman" w:cs="Times New Roman"/>
                <w:szCs w:val="24"/>
              </w:rPr>
              <w:lastRenderedPageBreak/>
              <w:t>na terytorium jednego z państw członkowskich Unii Europejskiej, lub</w:t>
            </w:r>
          </w:p>
          <w:p w14:paraId="385E2F62" w14:textId="77777777" w:rsidR="00A1246E" w:rsidRPr="00B52C69" w:rsidRDefault="00A1246E" w:rsidP="00FD5CD5">
            <w:pPr>
              <w:pStyle w:val="ZLITwPKTzmlitwpktartykuempunktem"/>
              <w:spacing w:line="240" w:lineRule="auto"/>
              <w:jc w:val="left"/>
              <w:rPr>
                <w:rFonts w:ascii="Times New Roman" w:hAnsi="Times New Roman" w:cs="Times New Roman"/>
                <w:szCs w:val="24"/>
              </w:rPr>
            </w:pPr>
            <w:r w:rsidRPr="00B52C69">
              <w:rPr>
                <w:rFonts w:ascii="Times New Roman" w:hAnsi="Times New Roman" w:cs="Times New Roman"/>
                <w:szCs w:val="24"/>
              </w:rPr>
              <w:t xml:space="preserve">b) </w:t>
            </w:r>
            <w:r w:rsidRPr="00B52C69">
              <w:rPr>
                <w:rFonts w:ascii="Times New Roman" w:hAnsi="Times New Roman" w:cs="Times New Roman"/>
                <w:szCs w:val="24"/>
              </w:rPr>
              <w:tab/>
              <w:t xml:space="preserve">producenta wskazanego w art. 1 ust. 2 rozporządzenia wykonawczego Komisji (UE) 2024/2754 z dnia 29 października 2024 r. nakładającego ostateczne cło wyrównawcze na przywóz nowych pojazdów elektrycznych o napędzie akumulatorowym przeznaczonych do przewozu osób pochodzący z Chińskiej Republiki Ludowej (Dz. Urz. UE L 2024/2754 z 29.10.2024). </w:t>
            </w:r>
          </w:p>
          <w:p w14:paraId="104C98EC" w14:textId="77777777" w:rsidR="00A1246E" w:rsidRPr="00B52C69" w:rsidRDefault="00A1246E" w:rsidP="00FD5CD5">
            <w:pPr>
              <w:pStyle w:val="ZUSTzmustartykuempunktem"/>
              <w:keepNext/>
              <w:spacing w:line="240" w:lineRule="auto"/>
              <w:jc w:val="left"/>
              <w:rPr>
                <w:rFonts w:ascii="Times New Roman" w:hAnsi="Times New Roman" w:cs="Times New Roman"/>
                <w:szCs w:val="24"/>
              </w:rPr>
            </w:pPr>
            <w:r w:rsidRPr="00B52C69">
              <w:rPr>
                <w:rFonts w:ascii="Times New Roman" w:hAnsi="Times New Roman" w:cs="Times New Roman"/>
                <w:szCs w:val="24"/>
              </w:rPr>
              <w:t>5. Cena netto wprowadzonego do obrotu na terytorium Rzeczypospolitej Polskiej pojazdu jest ustalana przez producenta lub podmioty gospodarcze, o których mowa w ust. 2, na podstawie faktury lub rachunku wystawianego w związku z pierwszą umową umożliwiającą użytkowanie albo dystrybucję tego pojazdu na terytorium Rzeczypospolitej Polskiej.</w:t>
            </w:r>
          </w:p>
          <w:p w14:paraId="659352CD" w14:textId="77777777" w:rsidR="00A1246E" w:rsidRPr="00B52C69" w:rsidRDefault="00A1246E" w:rsidP="00FD5CD5">
            <w:pPr>
              <w:pStyle w:val="ZUSTzmustartykuempunktem"/>
              <w:spacing w:line="240" w:lineRule="auto"/>
              <w:jc w:val="left"/>
              <w:rPr>
                <w:rFonts w:ascii="Times New Roman" w:hAnsi="Times New Roman" w:cs="Times New Roman"/>
                <w:szCs w:val="24"/>
              </w:rPr>
            </w:pPr>
            <w:r w:rsidRPr="00B52C69">
              <w:rPr>
                <w:rFonts w:ascii="Times New Roman" w:hAnsi="Times New Roman" w:cs="Times New Roman"/>
                <w:szCs w:val="24"/>
              </w:rPr>
              <w:t xml:space="preserve">Art. 68zv. 1. Podmioty, o których mowa w ust. 2, bez wezwania obliczają i uiszczają opłatę za nadzór rynku motoryzacyjnego, na rachunek Dyrektora TDT jako organu nadzoru rynku za okres kwartalny, w terminie do dwudziestego dnia roboczego miesiąca następującego po zakończeniu danego kwartału. </w:t>
            </w:r>
          </w:p>
          <w:p w14:paraId="5FDC5DBC" w14:textId="77777777" w:rsidR="00A1246E" w:rsidRPr="00B52C69" w:rsidRDefault="00A1246E" w:rsidP="00FD5CD5">
            <w:pPr>
              <w:pStyle w:val="ZUSTzmustartykuempunktem"/>
              <w:spacing w:line="240" w:lineRule="auto"/>
              <w:jc w:val="left"/>
              <w:rPr>
                <w:rFonts w:ascii="Times New Roman" w:hAnsi="Times New Roman" w:cs="Times New Roman"/>
                <w:szCs w:val="24"/>
              </w:rPr>
            </w:pPr>
            <w:r w:rsidRPr="00B52C69">
              <w:rPr>
                <w:rFonts w:ascii="Times New Roman" w:hAnsi="Times New Roman" w:cs="Times New Roman"/>
                <w:szCs w:val="24"/>
              </w:rPr>
              <w:lastRenderedPageBreak/>
              <w:t xml:space="preserve">2. Podmioty, o których mowa w art. 68zu ust. 2, przekazują Dyrektorowi TDT jako organowi nadzoru rynku, w drodze elektronicznej przez stronę podmiotową </w:t>
            </w:r>
            <w:hyperlink w:history="1">
              <w:r w:rsidRPr="00B52C69">
                <w:rPr>
                  <w:rFonts w:ascii="Times New Roman" w:hAnsi="Times New Roman" w:cs="Times New Roman"/>
                  <w:szCs w:val="24"/>
                </w:rPr>
                <w:t>Transportowego Dozoru T</w:t>
              </w:r>
            </w:hyperlink>
            <w:r w:rsidRPr="00B52C69">
              <w:rPr>
                <w:rFonts w:ascii="Times New Roman" w:hAnsi="Times New Roman" w:cs="Times New Roman"/>
                <w:szCs w:val="24"/>
              </w:rPr>
              <w:t>echnicznego, kwartalne informacje o wysokości obliczonych i uiszczonych opłat za nadzór rynku motoryzacyjnego, zgodnie z wzorem opublikowanym na tej stronie, za okres kwartalny, w terminie do dwudziestego dnia roboczego miesiąca następującego po zakończeniu danego kwartału.</w:t>
            </w:r>
          </w:p>
          <w:p w14:paraId="2404D847" w14:textId="77777777" w:rsidR="00A1246E" w:rsidRPr="00B52C69" w:rsidRDefault="00A1246E" w:rsidP="00FD5CD5">
            <w:pPr>
              <w:pStyle w:val="ZUSTzmustartykuempunktem"/>
              <w:spacing w:line="240" w:lineRule="auto"/>
              <w:jc w:val="left"/>
              <w:rPr>
                <w:rFonts w:ascii="Times New Roman" w:hAnsi="Times New Roman" w:cs="Times New Roman"/>
                <w:szCs w:val="24"/>
              </w:rPr>
            </w:pPr>
            <w:r w:rsidRPr="00B52C69">
              <w:rPr>
                <w:rFonts w:ascii="Times New Roman" w:hAnsi="Times New Roman" w:cs="Times New Roman"/>
                <w:szCs w:val="24"/>
              </w:rPr>
              <w:t xml:space="preserve">3. W przypadku pojazdów wprowadzonych do obrotu na terytorium Rzeczypospolitej Polskiej przez podmioty, o których mowa w art. 68zu ust. 2, za pośrednictwem platform internetowych e-commerce, operatorzy platform przekazują Dyrektorowi TDT jako organowi nadzoru rynku, w drodze elektronicznej przez stronę podmiotową Transportowego Dozoru Technicznego, zbiorczą informację o tych podmiotach, które wprowadziły do obrotu pojazdy, pozwalającą na ustalenie przez Dyrektora TDT jako organ nadzoru rynku wysokości należnej opłaty za nadzór rynku motoryzacyjnego, zgodnie z wzorem opublikowanym na tej stronie, za okres kwartalny, w terminie do dwudziestego dnia roboczego miesiąca następującego po zakończeniu danego kwartału. </w:t>
            </w:r>
          </w:p>
          <w:p w14:paraId="68E9F39B" w14:textId="77777777" w:rsidR="00A1246E" w:rsidRPr="00B52C69" w:rsidRDefault="00A1246E" w:rsidP="00FD5CD5">
            <w:pPr>
              <w:pStyle w:val="ZUSTzmustartykuempunktem"/>
              <w:spacing w:line="240" w:lineRule="auto"/>
              <w:jc w:val="left"/>
              <w:rPr>
                <w:rFonts w:ascii="Times New Roman" w:hAnsi="Times New Roman" w:cs="Times New Roman"/>
                <w:szCs w:val="24"/>
              </w:rPr>
            </w:pPr>
            <w:r w:rsidRPr="00B52C69">
              <w:rPr>
                <w:rFonts w:ascii="Times New Roman" w:hAnsi="Times New Roman" w:cs="Times New Roman"/>
                <w:szCs w:val="24"/>
              </w:rPr>
              <w:lastRenderedPageBreak/>
              <w:t>4. Podmioty, o których mowa w art. 68zu ust. 2 oraz operatorzy platform, o których mowa w ust. 3, są obowiązani przechowywać przekazane przez nich informacje przez okres 5 lat, licząc od początku roku następującego po roku obrotowym, w którym informacja została przekazana.</w:t>
            </w:r>
          </w:p>
          <w:p w14:paraId="72337D03" w14:textId="77777777" w:rsidR="00A1246E" w:rsidRPr="00B52C69" w:rsidRDefault="00A1246E" w:rsidP="00FD5CD5">
            <w:pPr>
              <w:pStyle w:val="ZUSTzmustartykuempunktem"/>
              <w:spacing w:line="240" w:lineRule="auto"/>
              <w:jc w:val="left"/>
              <w:rPr>
                <w:rFonts w:ascii="Times New Roman" w:hAnsi="Times New Roman" w:cs="Times New Roman"/>
                <w:szCs w:val="24"/>
              </w:rPr>
            </w:pPr>
            <w:r w:rsidRPr="00B52C69">
              <w:rPr>
                <w:rFonts w:ascii="Times New Roman" w:hAnsi="Times New Roman" w:cs="Times New Roman"/>
                <w:szCs w:val="24"/>
              </w:rPr>
              <w:t>5. Informacje, o których mowa w ust. 2 i 3, opatruje się kwalifikowanym podpisem elektronicznym lub podpisem zaufanym.</w:t>
            </w:r>
          </w:p>
          <w:p w14:paraId="3C4FD806" w14:textId="77777777" w:rsidR="00A1246E" w:rsidRPr="00B52C69" w:rsidRDefault="00A1246E" w:rsidP="00FD5CD5">
            <w:pPr>
              <w:pStyle w:val="ZUSTzmustartykuempunktem"/>
              <w:spacing w:line="240" w:lineRule="auto"/>
              <w:jc w:val="left"/>
              <w:rPr>
                <w:rFonts w:ascii="Times New Roman" w:hAnsi="Times New Roman" w:cs="Times New Roman"/>
                <w:szCs w:val="24"/>
              </w:rPr>
            </w:pPr>
            <w:r w:rsidRPr="00B52C69">
              <w:rPr>
                <w:rFonts w:ascii="Times New Roman" w:hAnsi="Times New Roman" w:cs="Times New Roman"/>
                <w:szCs w:val="24"/>
              </w:rPr>
              <w:t>6. Treść informacji, o których mowa w ust. 2 i 3, wykorzystuje się wyłącznie w celu wykonywania zadań przez Dyrektora TDT jako organ nadzoru rynku.</w:t>
            </w:r>
          </w:p>
          <w:p w14:paraId="5E1F2270" w14:textId="77777777" w:rsidR="00A1246E" w:rsidRPr="00B52C69" w:rsidRDefault="00A1246E" w:rsidP="00FD5CD5">
            <w:pPr>
              <w:pStyle w:val="ZUSTzmustartykuempunktem"/>
              <w:spacing w:line="240" w:lineRule="auto"/>
              <w:jc w:val="left"/>
              <w:rPr>
                <w:rFonts w:ascii="Times New Roman" w:hAnsi="Times New Roman" w:cs="Times New Roman"/>
                <w:szCs w:val="24"/>
              </w:rPr>
            </w:pPr>
            <w:r w:rsidRPr="00B52C69">
              <w:rPr>
                <w:rFonts w:ascii="Times New Roman" w:hAnsi="Times New Roman" w:cs="Times New Roman"/>
                <w:szCs w:val="24"/>
              </w:rPr>
              <w:t>7. Treść informacji, o których mowa w ust. 2 i 3, stanowi tajemnicę przedsiębiorstwa w rozumieniu art. 11 ustawy z dnia 16 kwietnia 1993 r. o zwalczaniu nieuczciwej konkurencji (Dz. U. z 2026 r. poz. 85).</w:t>
            </w:r>
          </w:p>
          <w:p w14:paraId="6B790EBB" w14:textId="77777777" w:rsidR="00A1246E" w:rsidRPr="00B52C69" w:rsidRDefault="00A1246E" w:rsidP="00FD5CD5">
            <w:pPr>
              <w:pStyle w:val="ZUSTzmustartykuempunktem"/>
              <w:spacing w:line="240" w:lineRule="auto"/>
              <w:jc w:val="left"/>
              <w:rPr>
                <w:rFonts w:ascii="Times New Roman" w:hAnsi="Times New Roman" w:cs="Times New Roman"/>
                <w:szCs w:val="24"/>
              </w:rPr>
            </w:pPr>
            <w:r w:rsidRPr="00B52C69">
              <w:rPr>
                <w:rFonts w:ascii="Times New Roman" w:hAnsi="Times New Roman" w:cs="Times New Roman"/>
                <w:szCs w:val="24"/>
              </w:rPr>
              <w:t>Art. 68zw.</w:t>
            </w:r>
            <w:r w:rsidRPr="00B52C69">
              <w:rPr>
                <w:rFonts w:ascii="Times New Roman" w:hAnsi="Times New Roman" w:cs="Times New Roman"/>
                <w:b/>
                <w:szCs w:val="24"/>
              </w:rPr>
              <w:t xml:space="preserve"> </w:t>
            </w:r>
            <w:r w:rsidRPr="00B52C69">
              <w:rPr>
                <w:rFonts w:ascii="Times New Roman" w:hAnsi="Times New Roman" w:cs="Times New Roman"/>
                <w:szCs w:val="24"/>
              </w:rPr>
              <w:t>1. W celu dokonania kontroli poprawności złożenia informacji, o której mowa w art. 68zv ust. 2, oraz wyliczenia wysokości opłaty za nadzór rynku motoryzacyjnego, Dyrektor TDT jako organ nadzoru rynku może przeprowadzić kontrole u podmiotów, o których mowa w art. 68zu ust. 2 oraz u operatorów platform, o których mowa w art. 68zv ust. 3.</w:t>
            </w:r>
          </w:p>
          <w:p w14:paraId="1E37194B" w14:textId="77777777" w:rsidR="00A1246E" w:rsidRPr="00B52C69" w:rsidRDefault="00A1246E" w:rsidP="00FD5CD5">
            <w:pPr>
              <w:spacing w:after="0" w:line="240" w:lineRule="auto"/>
              <w:ind w:left="510" w:firstLine="510"/>
              <w:rPr>
                <w:rFonts w:ascii="Times New Roman" w:eastAsiaTheme="minorEastAsia" w:hAnsi="Times New Roman" w:cs="Times New Roman"/>
                <w:sz w:val="24"/>
                <w:szCs w:val="24"/>
                <w:lang w:eastAsia="pl-PL"/>
              </w:rPr>
            </w:pPr>
            <w:r w:rsidRPr="00B52C69">
              <w:rPr>
                <w:rFonts w:ascii="Times New Roman" w:eastAsiaTheme="minorEastAsia" w:hAnsi="Times New Roman" w:cs="Times New Roman"/>
                <w:sz w:val="24"/>
                <w:szCs w:val="24"/>
                <w:lang w:eastAsia="pl-PL"/>
              </w:rPr>
              <w:t xml:space="preserve">2. Podmioty, o których mowa w art. 68zu ust. 2, oraz operatorzy platform, o których mowa w art. 68zv ust. 3, są </w:t>
            </w:r>
            <w:r w:rsidRPr="00B52C69">
              <w:rPr>
                <w:rFonts w:ascii="Times New Roman" w:eastAsiaTheme="minorEastAsia" w:hAnsi="Times New Roman" w:cs="Times New Roman"/>
                <w:sz w:val="24"/>
                <w:szCs w:val="24"/>
                <w:lang w:eastAsia="pl-PL"/>
              </w:rPr>
              <w:lastRenderedPageBreak/>
              <w:t xml:space="preserve">obowiązani okazywać w toku kontroli, o której mowa w ust. 2, informacje, o których mowa w art. 68zv ust. 2 i 3 lub faktury lub rachunki, na podstawie których wypełnione zostały te informacje w celu sprawdzenia ich poprawności. </w:t>
            </w:r>
          </w:p>
          <w:p w14:paraId="42D20160" w14:textId="77777777" w:rsidR="00A1246E" w:rsidRPr="00B52C69" w:rsidRDefault="00A1246E" w:rsidP="00FD5CD5">
            <w:pPr>
              <w:pStyle w:val="ZUSTzmustartykuempunktem"/>
              <w:spacing w:line="240" w:lineRule="auto"/>
              <w:jc w:val="left"/>
              <w:rPr>
                <w:rFonts w:ascii="Times New Roman" w:hAnsi="Times New Roman" w:cs="Times New Roman"/>
                <w:szCs w:val="24"/>
              </w:rPr>
            </w:pPr>
            <w:r w:rsidRPr="00B52C69">
              <w:rPr>
                <w:rFonts w:ascii="Times New Roman" w:hAnsi="Times New Roman" w:cs="Times New Roman"/>
                <w:szCs w:val="24"/>
              </w:rPr>
              <w:t>3. W przypadku stwierdzenia przez Dyrektora TDT nieprawidłowości w ramach kontroli, o której mowa w ust. 1, Dyrektor TDT jako organ nadzoru rynku wydaje decyzję administracyjną:</w:t>
            </w:r>
          </w:p>
          <w:p w14:paraId="0D8BA362" w14:textId="77777777" w:rsidR="00A1246E" w:rsidRPr="00B52C69" w:rsidRDefault="00A1246E" w:rsidP="00FD5CD5">
            <w:pPr>
              <w:pStyle w:val="ZUSTzmustartykuempunktem"/>
              <w:spacing w:line="240" w:lineRule="auto"/>
              <w:jc w:val="left"/>
              <w:rPr>
                <w:rFonts w:ascii="Times New Roman" w:hAnsi="Times New Roman" w:cs="Times New Roman"/>
                <w:szCs w:val="24"/>
              </w:rPr>
            </w:pPr>
            <w:r w:rsidRPr="00B52C69">
              <w:rPr>
                <w:rFonts w:ascii="Times New Roman" w:hAnsi="Times New Roman" w:cs="Times New Roman"/>
                <w:szCs w:val="24"/>
              </w:rPr>
              <w:t>1) ustalającą prawidłową wysokość opłaty za nadzór rynku motoryzacyjnego oraz termin jej uiszczenia lub</w:t>
            </w:r>
          </w:p>
          <w:p w14:paraId="4107A278" w14:textId="77777777" w:rsidR="00A1246E" w:rsidRPr="00B52C69" w:rsidRDefault="00A1246E" w:rsidP="00FD5CD5">
            <w:pPr>
              <w:pStyle w:val="ZUSTzmustartykuempunktem"/>
              <w:spacing w:line="240" w:lineRule="auto"/>
              <w:jc w:val="left"/>
              <w:rPr>
                <w:rFonts w:ascii="Times New Roman" w:hAnsi="Times New Roman" w:cs="Times New Roman"/>
                <w:szCs w:val="24"/>
              </w:rPr>
            </w:pPr>
            <w:r w:rsidRPr="00B52C69">
              <w:rPr>
                <w:rFonts w:ascii="Times New Roman" w:hAnsi="Times New Roman" w:cs="Times New Roman"/>
                <w:szCs w:val="24"/>
              </w:rPr>
              <w:t xml:space="preserve">2)  w której może nakazać operatorowi platformy zawieszenie na platformie konta podmiotu, o którym mowa w art. 68zu ust. 2, w przypadku gdy podmiot ten nie uiścił opłaty za nadzór rynku motoryzacyjnego lub uiścił ją w niewłaściwej wysokości. </w:t>
            </w:r>
          </w:p>
          <w:p w14:paraId="5CF0B474" w14:textId="77777777" w:rsidR="00A1246E" w:rsidRPr="00B52C69" w:rsidRDefault="00A1246E" w:rsidP="00FD5CD5">
            <w:pPr>
              <w:pStyle w:val="ZUSTzmustartykuempunktem"/>
              <w:spacing w:line="240" w:lineRule="auto"/>
              <w:jc w:val="left"/>
              <w:rPr>
                <w:rFonts w:ascii="Times New Roman" w:hAnsi="Times New Roman" w:cs="Times New Roman"/>
                <w:szCs w:val="24"/>
              </w:rPr>
            </w:pPr>
            <w:r w:rsidRPr="00B52C69">
              <w:rPr>
                <w:rFonts w:ascii="Times New Roman" w:hAnsi="Times New Roman" w:cs="Times New Roman"/>
                <w:szCs w:val="24"/>
              </w:rPr>
              <w:t>4. Do kontroli poprawności złożenia informacji oraz wyliczenia wysokości opłaty za nadzór rynku motoryzacyjnego, w zakresie nieuregulowanym w niniejszym artykule, stosuje się przepisy rozdziału 5 ustawy z dnia 6 marca 2018 r. – Prawo przedsiębiorców.</w:t>
            </w:r>
          </w:p>
          <w:p w14:paraId="19479E55" w14:textId="77777777" w:rsidR="00A1246E" w:rsidRPr="00B52C69" w:rsidRDefault="00A1246E" w:rsidP="00FD5CD5">
            <w:pPr>
              <w:pStyle w:val="ZUSTzmustartykuempunktem"/>
              <w:spacing w:line="240" w:lineRule="auto"/>
              <w:jc w:val="left"/>
              <w:rPr>
                <w:rFonts w:ascii="Times New Roman" w:hAnsi="Times New Roman" w:cs="Times New Roman"/>
                <w:szCs w:val="24"/>
              </w:rPr>
            </w:pPr>
            <w:r w:rsidRPr="00B52C69">
              <w:rPr>
                <w:rFonts w:ascii="Times New Roman" w:hAnsi="Times New Roman" w:cs="Times New Roman"/>
                <w:szCs w:val="24"/>
              </w:rPr>
              <w:t xml:space="preserve">Art. 68zx. 1. Na potrzeby dokonania kontroli poprawności złożenia informacji oraz wyliczenia wysokości opłaty za nadzór rynku motoryzacyjnego, o której mowa w art. 68zu ust. 1, Szef Krajowej Administracji Skarbowej sporządza i przedkłada </w:t>
            </w:r>
            <w:r w:rsidRPr="00B52C69">
              <w:rPr>
                <w:rFonts w:ascii="Times New Roman" w:hAnsi="Times New Roman" w:cs="Times New Roman"/>
                <w:szCs w:val="24"/>
              </w:rPr>
              <w:lastRenderedPageBreak/>
              <w:t>Dyrektorowi TDT jako organowi nadzoru rynku, w terminie do ostatniego dnia miesiąca następującego po upływie każdego kwartału, informację o importerach wprowadzających do obrotu pojazdy.</w:t>
            </w:r>
          </w:p>
          <w:p w14:paraId="6B91F4B3" w14:textId="77777777" w:rsidR="00A1246E" w:rsidRPr="00B52C69" w:rsidRDefault="00A1246E" w:rsidP="00FD5CD5">
            <w:pPr>
              <w:pStyle w:val="Default"/>
              <w:ind w:left="510" w:firstLine="510"/>
              <w:rPr>
                <w:color w:val="auto"/>
              </w:rPr>
            </w:pPr>
            <w:r w:rsidRPr="00B52C69">
              <w:rPr>
                <w:color w:val="auto"/>
              </w:rPr>
              <w:t>2. Informacja, o której mowa w ust. 1, zawiera:</w:t>
            </w:r>
          </w:p>
          <w:p w14:paraId="59655E5A" w14:textId="77777777" w:rsidR="00A1246E" w:rsidRPr="00B52C69" w:rsidRDefault="00A1246E" w:rsidP="005E0F9D">
            <w:pPr>
              <w:pStyle w:val="Default"/>
              <w:numPr>
                <w:ilvl w:val="0"/>
                <w:numId w:val="9"/>
              </w:numPr>
              <w:adjustRightInd/>
              <w:rPr>
                <w:color w:val="auto"/>
              </w:rPr>
            </w:pPr>
            <w:r w:rsidRPr="00B52C69">
              <w:rPr>
                <w:color w:val="auto"/>
              </w:rPr>
              <w:t>numer EORI importera;</w:t>
            </w:r>
          </w:p>
          <w:p w14:paraId="20E18F1E" w14:textId="77777777" w:rsidR="00A1246E" w:rsidRPr="00B52C69" w:rsidRDefault="00A1246E" w:rsidP="005E0F9D">
            <w:pPr>
              <w:pStyle w:val="Default"/>
              <w:numPr>
                <w:ilvl w:val="0"/>
                <w:numId w:val="9"/>
              </w:numPr>
              <w:adjustRightInd/>
              <w:rPr>
                <w:color w:val="auto"/>
              </w:rPr>
            </w:pPr>
            <w:r w:rsidRPr="00B52C69">
              <w:rPr>
                <w:color w:val="auto"/>
              </w:rPr>
              <w:t>opis towaru ze zgłoszenia celnego i jego ilość;</w:t>
            </w:r>
          </w:p>
          <w:p w14:paraId="083C455F" w14:textId="77777777" w:rsidR="00A1246E" w:rsidRPr="00B52C69" w:rsidRDefault="00A1246E" w:rsidP="005E0F9D">
            <w:pPr>
              <w:pStyle w:val="Default"/>
              <w:numPr>
                <w:ilvl w:val="0"/>
                <w:numId w:val="9"/>
              </w:numPr>
              <w:adjustRightInd/>
              <w:rPr>
                <w:color w:val="auto"/>
              </w:rPr>
            </w:pPr>
            <w:r w:rsidRPr="00B52C69">
              <w:rPr>
                <w:color w:val="auto"/>
              </w:rPr>
              <w:t>kod CN pojazdu;</w:t>
            </w:r>
          </w:p>
          <w:p w14:paraId="0B3E0E54" w14:textId="77777777" w:rsidR="00A1246E" w:rsidRPr="00B52C69" w:rsidRDefault="00A1246E" w:rsidP="00FD5CD5">
            <w:pPr>
              <w:pStyle w:val="Default"/>
              <w:ind w:left="510" w:firstLine="510"/>
              <w:rPr>
                <w:color w:val="auto"/>
              </w:rPr>
            </w:pPr>
            <w:r w:rsidRPr="00B52C69">
              <w:rPr>
                <w:color w:val="auto"/>
              </w:rPr>
              <w:t>5)</w:t>
            </w:r>
            <w:r w:rsidRPr="00B52C69">
              <w:rPr>
                <w:color w:val="auto"/>
              </w:rPr>
              <w:tab/>
              <w:t>wartość statystyczną pojazdu.</w:t>
            </w:r>
          </w:p>
          <w:p w14:paraId="66B8648F" w14:textId="77777777" w:rsidR="00836411" w:rsidRPr="00B52C69" w:rsidRDefault="00A1246E" w:rsidP="00FD5CD5">
            <w:pPr>
              <w:spacing w:after="0" w:line="240" w:lineRule="auto"/>
              <w:ind w:left="510" w:firstLine="510"/>
              <w:rPr>
                <w:rFonts w:ascii="Times New Roman" w:eastAsia="Times New Roman" w:hAnsi="Times New Roman" w:cs="Times New Roman"/>
                <w:sz w:val="24"/>
                <w:szCs w:val="24"/>
                <w:lang w:eastAsia="pl-PL"/>
              </w:rPr>
            </w:pPr>
            <w:r w:rsidRPr="00B52C69">
              <w:rPr>
                <w:rFonts w:ascii="Times New Roman" w:eastAsia="Times New Roman" w:hAnsi="Times New Roman" w:cs="Times New Roman"/>
                <w:sz w:val="24"/>
                <w:szCs w:val="24"/>
                <w:lang w:eastAsia="pl-PL"/>
              </w:rPr>
              <w:t>3. Informacje, o których mowa w ust. 1, mogą pozostawać w zasobach elektronicznych wykorzystywanych do ich przekazywania i przetwarzania nie dłużej, niż jest to konieczne, a Dyrektor TDT jako organ nadzoru rynku zapewnia ich poufność.”</w:t>
            </w:r>
          </w:p>
        </w:tc>
        <w:tc>
          <w:tcPr>
            <w:tcW w:w="1675" w:type="dxa"/>
          </w:tcPr>
          <w:p w14:paraId="4AF6BD0E" w14:textId="77777777" w:rsidR="00836411" w:rsidRPr="00FB76A9" w:rsidRDefault="00836411" w:rsidP="00FD5CD5">
            <w:pPr>
              <w:spacing w:after="0" w:line="240" w:lineRule="auto"/>
              <w:rPr>
                <w:rFonts w:ascii="Times New Roman" w:eastAsia="Times New Roman" w:hAnsi="Times New Roman" w:cs="Times New Roman"/>
                <w:sz w:val="24"/>
                <w:szCs w:val="24"/>
                <w:lang w:eastAsia="pl-PL"/>
              </w:rPr>
            </w:pPr>
          </w:p>
        </w:tc>
      </w:tr>
      <w:tr w:rsidR="00B90467" w:rsidRPr="00FB76A9" w14:paraId="13DDE112" w14:textId="77777777" w:rsidTr="004F1DD9">
        <w:trPr>
          <w:trHeight w:val="420"/>
        </w:trPr>
        <w:tc>
          <w:tcPr>
            <w:tcW w:w="988" w:type="dxa"/>
            <w:tcBorders>
              <w:top w:val="single" w:sz="4" w:space="0" w:color="auto"/>
              <w:left w:val="single" w:sz="4" w:space="0" w:color="auto"/>
              <w:bottom w:val="single" w:sz="4" w:space="0" w:color="auto"/>
              <w:right w:val="single" w:sz="4" w:space="0" w:color="auto"/>
            </w:tcBorders>
          </w:tcPr>
          <w:p w14:paraId="324EA7EE" w14:textId="77777777" w:rsidR="00D769C1" w:rsidRPr="00FB76A9" w:rsidRDefault="005435E2"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lastRenderedPageBreak/>
              <w:t>Art. 37</w:t>
            </w:r>
            <w:r w:rsidR="00191BF4" w:rsidRPr="00FB76A9">
              <w:rPr>
                <w:rFonts w:ascii="Times New Roman" w:eastAsia="Times New Roman" w:hAnsi="Times New Roman" w:cs="Times New Roman"/>
                <w:b/>
                <w:sz w:val="24"/>
                <w:szCs w:val="24"/>
                <w:lang w:eastAsia="pl-PL"/>
              </w:rPr>
              <w:t xml:space="preserve"> ust. </w:t>
            </w:r>
            <w:r w:rsidR="00D769C1" w:rsidRPr="00FB76A9">
              <w:rPr>
                <w:rFonts w:ascii="Times New Roman" w:eastAsia="Times New Roman" w:hAnsi="Times New Roman" w:cs="Times New Roman"/>
                <w:b/>
                <w:sz w:val="24"/>
                <w:szCs w:val="24"/>
                <w:lang w:eastAsia="pl-PL"/>
              </w:rPr>
              <w:t>1</w:t>
            </w:r>
            <w:r w:rsidR="00191BF4" w:rsidRPr="00FB76A9">
              <w:rPr>
                <w:rFonts w:ascii="Times New Roman" w:eastAsia="Times New Roman" w:hAnsi="Times New Roman" w:cs="Times New Roman"/>
                <w:b/>
                <w:sz w:val="24"/>
                <w:szCs w:val="24"/>
                <w:lang w:eastAsia="pl-PL"/>
              </w:rPr>
              <w:t xml:space="preserve"> </w:t>
            </w:r>
          </w:p>
          <w:p w14:paraId="0E8D30A7" w14:textId="77777777" w:rsidR="00D769C1" w:rsidRPr="00FB76A9" w:rsidRDefault="00D769C1" w:rsidP="00FD5CD5">
            <w:pPr>
              <w:spacing w:after="0" w:line="240" w:lineRule="auto"/>
              <w:rPr>
                <w:rFonts w:ascii="Times New Roman" w:eastAsia="Times New Roman" w:hAnsi="Times New Roman" w:cs="Times New Roman"/>
                <w:sz w:val="24"/>
                <w:szCs w:val="24"/>
                <w:lang w:eastAsia="pl-PL"/>
              </w:rPr>
            </w:pPr>
          </w:p>
          <w:p w14:paraId="59902C51" w14:textId="77777777" w:rsidR="00D769C1" w:rsidRPr="00FB76A9" w:rsidRDefault="00D769C1" w:rsidP="00FD5CD5">
            <w:pPr>
              <w:spacing w:after="0" w:line="240" w:lineRule="auto"/>
              <w:rPr>
                <w:rFonts w:ascii="Times New Roman" w:eastAsia="Times New Roman" w:hAnsi="Times New Roman" w:cs="Times New Roman"/>
                <w:sz w:val="24"/>
                <w:szCs w:val="24"/>
                <w:lang w:eastAsia="pl-PL"/>
              </w:rPr>
            </w:pPr>
          </w:p>
          <w:p w14:paraId="0B00FB5E" w14:textId="77777777" w:rsidR="00D769C1" w:rsidRPr="00FB76A9" w:rsidRDefault="00D769C1" w:rsidP="00FD5CD5">
            <w:pPr>
              <w:spacing w:after="0" w:line="240" w:lineRule="auto"/>
              <w:rPr>
                <w:rFonts w:ascii="Times New Roman" w:eastAsia="Times New Roman" w:hAnsi="Times New Roman" w:cs="Times New Roman"/>
                <w:sz w:val="24"/>
                <w:szCs w:val="24"/>
                <w:lang w:eastAsia="pl-PL"/>
              </w:rPr>
            </w:pPr>
          </w:p>
          <w:p w14:paraId="3FB7F3C1" w14:textId="77777777" w:rsidR="00D769C1" w:rsidRPr="00FB76A9" w:rsidRDefault="00D769C1" w:rsidP="00FD5CD5">
            <w:pPr>
              <w:spacing w:after="0" w:line="240" w:lineRule="auto"/>
              <w:rPr>
                <w:rFonts w:ascii="Times New Roman" w:eastAsia="Times New Roman" w:hAnsi="Times New Roman" w:cs="Times New Roman"/>
                <w:sz w:val="24"/>
                <w:szCs w:val="24"/>
                <w:lang w:eastAsia="pl-PL"/>
              </w:rPr>
            </w:pPr>
          </w:p>
          <w:p w14:paraId="0F0F0C35" w14:textId="77777777" w:rsidR="00D769C1" w:rsidRPr="00FB76A9" w:rsidRDefault="00D769C1" w:rsidP="00FD5CD5">
            <w:pPr>
              <w:spacing w:after="0" w:line="240" w:lineRule="auto"/>
              <w:rPr>
                <w:rFonts w:ascii="Times New Roman" w:eastAsia="Times New Roman" w:hAnsi="Times New Roman" w:cs="Times New Roman"/>
                <w:sz w:val="24"/>
                <w:szCs w:val="24"/>
                <w:lang w:eastAsia="pl-PL"/>
              </w:rPr>
            </w:pPr>
          </w:p>
          <w:p w14:paraId="4F53FF9B" w14:textId="77777777" w:rsidR="00D769C1" w:rsidRPr="00FB76A9" w:rsidRDefault="00D769C1" w:rsidP="00FD5CD5">
            <w:pPr>
              <w:spacing w:after="0" w:line="240" w:lineRule="auto"/>
              <w:rPr>
                <w:rFonts w:ascii="Times New Roman" w:eastAsia="Times New Roman" w:hAnsi="Times New Roman" w:cs="Times New Roman"/>
                <w:sz w:val="24"/>
                <w:szCs w:val="24"/>
                <w:lang w:eastAsia="pl-PL"/>
              </w:rPr>
            </w:pPr>
          </w:p>
          <w:p w14:paraId="6481B98B" w14:textId="77777777" w:rsidR="00D769C1" w:rsidRPr="00FB76A9" w:rsidRDefault="00D769C1" w:rsidP="00FD5CD5">
            <w:pPr>
              <w:spacing w:after="0" w:line="240" w:lineRule="auto"/>
              <w:rPr>
                <w:rFonts w:ascii="Times New Roman" w:eastAsia="Times New Roman" w:hAnsi="Times New Roman" w:cs="Times New Roman"/>
                <w:sz w:val="24"/>
                <w:szCs w:val="24"/>
                <w:lang w:eastAsia="pl-PL"/>
              </w:rPr>
            </w:pPr>
          </w:p>
          <w:p w14:paraId="5FB7FA56" w14:textId="77777777" w:rsidR="00B90467" w:rsidRPr="00FB76A9" w:rsidRDefault="00B90467" w:rsidP="00FD5CD5">
            <w:pPr>
              <w:spacing w:after="0" w:line="240" w:lineRule="auto"/>
              <w:rPr>
                <w:rFonts w:ascii="Times New Roman" w:eastAsia="Times New Roman" w:hAnsi="Times New Roman" w:cs="Times New Roman"/>
                <w:sz w:val="24"/>
                <w:szCs w:val="24"/>
                <w:lang w:eastAsia="pl-PL"/>
              </w:rPr>
            </w:pPr>
          </w:p>
        </w:tc>
        <w:tc>
          <w:tcPr>
            <w:tcW w:w="5386" w:type="dxa"/>
            <w:gridSpan w:val="2"/>
            <w:tcBorders>
              <w:top w:val="single" w:sz="4" w:space="0" w:color="auto"/>
              <w:left w:val="single" w:sz="4" w:space="0" w:color="auto"/>
              <w:bottom w:val="single" w:sz="4" w:space="0" w:color="auto"/>
              <w:right w:val="single" w:sz="4" w:space="0" w:color="auto"/>
            </w:tcBorders>
          </w:tcPr>
          <w:p w14:paraId="300BA436" w14:textId="77777777" w:rsidR="00191BF4" w:rsidRPr="00FB76A9" w:rsidRDefault="00191BF4"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„1. Bez uszczerbku dla art. 36 ust. 1 </w:t>
            </w:r>
            <w:r w:rsidRPr="00FB76A9">
              <w:rPr>
                <w:rFonts w:ascii="Times New Roman" w:eastAsia="Times New Roman" w:hAnsi="Times New Roman" w:cs="Times New Roman"/>
                <w:sz w:val="24"/>
                <w:szCs w:val="24"/>
                <w:u w:val="single"/>
                <w:lang w:eastAsia="pl-PL"/>
              </w:rPr>
              <w:t>od dnia 5 lipca 2026 r.</w:t>
            </w:r>
            <w:r w:rsidRPr="00FB76A9">
              <w:rPr>
                <w:rFonts w:ascii="Times New Roman" w:eastAsia="Times New Roman" w:hAnsi="Times New Roman" w:cs="Times New Roman"/>
                <w:sz w:val="24"/>
                <w:szCs w:val="24"/>
                <w:lang w:eastAsia="pl-PL"/>
              </w:rPr>
              <w:t xml:space="preserve"> po dacie produkcji pojazdu producent może bez zbędnej zwłoki i nieodpłatnie udostępnić organowi udzielającemu homologacji, który udzielił homologacji typu całego pojazdu, świadectwo zgodności jako dane ustrukturyzowane w formacie elektronicznym określonym w aktach wykonawczych, o których mowa w ust. 8 niniejszego artykułu.”</w:t>
            </w:r>
          </w:p>
          <w:p w14:paraId="49A785D5" w14:textId="77777777" w:rsidR="00B90467" w:rsidRPr="00FB76A9" w:rsidRDefault="00B90467" w:rsidP="00FD5CD5">
            <w:pPr>
              <w:spacing w:after="0" w:line="240" w:lineRule="auto"/>
              <w:rPr>
                <w:rFonts w:ascii="Times New Roman" w:eastAsia="Times New Roman" w:hAnsi="Times New Roman" w:cs="Times New Roman"/>
                <w:sz w:val="24"/>
                <w:szCs w:val="24"/>
                <w:lang w:eastAsia="pl-PL"/>
              </w:rPr>
            </w:pPr>
          </w:p>
        </w:tc>
        <w:tc>
          <w:tcPr>
            <w:tcW w:w="851" w:type="dxa"/>
            <w:tcBorders>
              <w:top w:val="single" w:sz="4" w:space="0" w:color="auto"/>
              <w:left w:val="single" w:sz="4" w:space="0" w:color="auto"/>
              <w:bottom w:val="single" w:sz="4" w:space="0" w:color="auto"/>
              <w:right w:val="single" w:sz="4" w:space="0" w:color="auto"/>
            </w:tcBorders>
          </w:tcPr>
          <w:p w14:paraId="3AC60A88" w14:textId="77777777" w:rsidR="00B90467" w:rsidRPr="00FB76A9" w:rsidRDefault="00B90467"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   </w:t>
            </w:r>
            <w:r w:rsidR="00083A2A" w:rsidRPr="00FB76A9">
              <w:rPr>
                <w:rFonts w:ascii="Times New Roman" w:eastAsia="Times New Roman" w:hAnsi="Times New Roman" w:cs="Times New Roman"/>
                <w:sz w:val="24"/>
                <w:szCs w:val="24"/>
                <w:lang w:eastAsia="pl-PL"/>
              </w:rPr>
              <w:t>T</w:t>
            </w:r>
          </w:p>
          <w:p w14:paraId="5A8EC830" w14:textId="77777777" w:rsidR="00B90467" w:rsidRPr="00FB76A9" w:rsidRDefault="00B90467" w:rsidP="00FD5CD5">
            <w:pPr>
              <w:spacing w:after="0" w:line="240" w:lineRule="auto"/>
              <w:rPr>
                <w:rFonts w:ascii="Times New Roman" w:eastAsia="Times New Roman" w:hAnsi="Times New Roman" w:cs="Times New Roman"/>
                <w:sz w:val="24"/>
                <w:szCs w:val="24"/>
                <w:lang w:eastAsia="pl-PL"/>
              </w:rPr>
            </w:pPr>
          </w:p>
        </w:tc>
        <w:tc>
          <w:tcPr>
            <w:tcW w:w="992" w:type="dxa"/>
            <w:tcBorders>
              <w:top w:val="single" w:sz="4" w:space="0" w:color="auto"/>
              <w:left w:val="single" w:sz="4" w:space="0" w:color="auto"/>
              <w:bottom w:val="single" w:sz="4" w:space="0" w:color="auto"/>
              <w:right w:val="single" w:sz="4" w:space="0" w:color="auto"/>
            </w:tcBorders>
          </w:tcPr>
          <w:p w14:paraId="32A2CFE6" w14:textId="77777777" w:rsidR="00B90467" w:rsidRPr="00FB76A9" w:rsidRDefault="00E137BB"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 xml:space="preserve">Art. </w:t>
            </w:r>
            <w:r w:rsidR="00DE3253" w:rsidRPr="00FB76A9">
              <w:rPr>
                <w:rFonts w:ascii="Times New Roman" w:eastAsia="Times New Roman" w:hAnsi="Times New Roman" w:cs="Times New Roman"/>
                <w:sz w:val="24"/>
                <w:szCs w:val="24"/>
                <w:lang w:val="en-GB" w:eastAsia="pl-PL"/>
              </w:rPr>
              <w:t xml:space="preserve">1 pkt 4 lit. </w:t>
            </w:r>
            <w:r w:rsidR="0074230D" w:rsidRPr="00FB76A9">
              <w:rPr>
                <w:rFonts w:ascii="Times New Roman" w:eastAsia="Times New Roman" w:hAnsi="Times New Roman" w:cs="Times New Roman"/>
                <w:sz w:val="24"/>
                <w:szCs w:val="24"/>
                <w:lang w:val="en-GB" w:eastAsia="pl-PL"/>
              </w:rPr>
              <w:t>b</w:t>
            </w:r>
          </w:p>
          <w:p w14:paraId="2B0E8B10" w14:textId="77777777" w:rsidR="00F41E4A" w:rsidRPr="00FB76A9" w:rsidRDefault="00F41E4A" w:rsidP="00FD5CD5">
            <w:pPr>
              <w:spacing w:after="0" w:line="240" w:lineRule="auto"/>
              <w:rPr>
                <w:rFonts w:ascii="Times New Roman" w:eastAsia="Times New Roman" w:hAnsi="Times New Roman" w:cs="Times New Roman"/>
                <w:sz w:val="24"/>
                <w:szCs w:val="24"/>
                <w:lang w:val="en-GB" w:eastAsia="pl-PL"/>
              </w:rPr>
            </w:pPr>
          </w:p>
          <w:p w14:paraId="67F9BCDA" w14:textId="77777777" w:rsidR="00F41E4A" w:rsidRPr="00FB76A9" w:rsidRDefault="00F41E4A" w:rsidP="00FD5CD5">
            <w:pPr>
              <w:spacing w:after="0" w:line="240" w:lineRule="auto"/>
              <w:rPr>
                <w:rFonts w:ascii="Times New Roman" w:eastAsia="Times New Roman" w:hAnsi="Times New Roman" w:cs="Times New Roman"/>
                <w:sz w:val="24"/>
                <w:szCs w:val="24"/>
                <w:lang w:val="en-GB" w:eastAsia="pl-PL"/>
              </w:rPr>
            </w:pPr>
          </w:p>
          <w:p w14:paraId="72CEE171" w14:textId="77777777" w:rsidR="00F41E4A" w:rsidRPr="00FB76A9" w:rsidRDefault="00F41E4A" w:rsidP="00FD5CD5">
            <w:pPr>
              <w:spacing w:after="0" w:line="240" w:lineRule="auto"/>
              <w:rPr>
                <w:rFonts w:ascii="Times New Roman" w:eastAsia="Times New Roman" w:hAnsi="Times New Roman" w:cs="Times New Roman"/>
                <w:sz w:val="24"/>
                <w:szCs w:val="24"/>
                <w:lang w:val="en-GB" w:eastAsia="pl-PL"/>
              </w:rPr>
            </w:pPr>
          </w:p>
          <w:p w14:paraId="05AB9B9F" w14:textId="77777777" w:rsidR="00F41E4A" w:rsidRPr="00FB76A9" w:rsidRDefault="00F41E4A" w:rsidP="00FD5CD5">
            <w:pPr>
              <w:spacing w:after="0" w:line="240" w:lineRule="auto"/>
              <w:rPr>
                <w:rFonts w:ascii="Times New Roman" w:eastAsia="Times New Roman" w:hAnsi="Times New Roman" w:cs="Times New Roman"/>
                <w:sz w:val="24"/>
                <w:szCs w:val="24"/>
                <w:lang w:val="en-GB" w:eastAsia="pl-PL"/>
              </w:rPr>
            </w:pPr>
          </w:p>
          <w:p w14:paraId="237DE813" w14:textId="77777777" w:rsidR="00F41E4A" w:rsidRPr="00FB76A9" w:rsidRDefault="00F41E4A" w:rsidP="00FD5CD5">
            <w:pPr>
              <w:spacing w:after="0" w:line="240" w:lineRule="auto"/>
              <w:rPr>
                <w:rFonts w:ascii="Times New Roman" w:eastAsia="Times New Roman" w:hAnsi="Times New Roman" w:cs="Times New Roman"/>
                <w:sz w:val="24"/>
                <w:szCs w:val="24"/>
                <w:lang w:val="en-GB" w:eastAsia="pl-PL"/>
              </w:rPr>
            </w:pPr>
          </w:p>
          <w:p w14:paraId="303CD50E" w14:textId="77777777" w:rsidR="000374DC" w:rsidRPr="00FB76A9" w:rsidRDefault="000374DC" w:rsidP="00FD5CD5">
            <w:pPr>
              <w:spacing w:after="0" w:line="240" w:lineRule="auto"/>
              <w:rPr>
                <w:rFonts w:ascii="Times New Roman" w:eastAsia="Times New Roman" w:hAnsi="Times New Roman" w:cs="Times New Roman"/>
                <w:sz w:val="24"/>
                <w:szCs w:val="24"/>
                <w:lang w:val="en-GB" w:eastAsia="pl-PL"/>
              </w:rPr>
            </w:pPr>
          </w:p>
          <w:p w14:paraId="28C63DBF" w14:textId="77777777" w:rsidR="00D769C1" w:rsidRPr="00FB76A9" w:rsidRDefault="00D769C1"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 xml:space="preserve">Art. 1 pkt </w:t>
            </w:r>
            <w:r w:rsidR="0074230D" w:rsidRPr="00FB76A9">
              <w:rPr>
                <w:rFonts w:ascii="Times New Roman" w:eastAsia="Times New Roman" w:hAnsi="Times New Roman" w:cs="Times New Roman"/>
                <w:sz w:val="24"/>
                <w:szCs w:val="24"/>
                <w:lang w:val="en-GB" w:eastAsia="pl-PL"/>
              </w:rPr>
              <w:t>14</w:t>
            </w:r>
            <w:r w:rsidRPr="00FB76A9">
              <w:rPr>
                <w:rFonts w:ascii="Times New Roman" w:eastAsia="Times New Roman" w:hAnsi="Times New Roman" w:cs="Times New Roman"/>
                <w:sz w:val="24"/>
                <w:szCs w:val="24"/>
                <w:lang w:val="en-GB" w:eastAsia="pl-PL"/>
              </w:rPr>
              <w:t xml:space="preserve"> lit. a </w:t>
            </w:r>
          </w:p>
          <w:p w14:paraId="583BA30C" w14:textId="77777777" w:rsidR="00D769C1" w:rsidRPr="00FB76A9" w:rsidRDefault="00D769C1" w:rsidP="00FD5CD5">
            <w:pPr>
              <w:spacing w:after="0" w:line="240" w:lineRule="auto"/>
              <w:rPr>
                <w:rFonts w:ascii="Times New Roman" w:eastAsia="Times New Roman" w:hAnsi="Times New Roman" w:cs="Times New Roman"/>
                <w:sz w:val="24"/>
                <w:szCs w:val="24"/>
                <w:lang w:val="en-GB" w:eastAsia="pl-PL"/>
              </w:rPr>
            </w:pPr>
          </w:p>
          <w:p w14:paraId="02EAFB53" w14:textId="77777777" w:rsidR="00D769C1" w:rsidRPr="00FB76A9" w:rsidRDefault="00D769C1" w:rsidP="00FD5CD5">
            <w:pPr>
              <w:spacing w:after="0" w:line="240" w:lineRule="auto"/>
              <w:rPr>
                <w:rFonts w:ascii="Times New Roman" w:eastAsia="Times New Roman" w:hAnsi="Times New Roman" w:cs="Times New Roman"/>
                <w:sz w:val="24"/>
                <w:szCs w:val="24"/>
                <w:lang w:val="en-GB" w:eastAsia="pl-PL"/>
              </w:rPr>
            </w:pPr>
          </w:p>
          <w:p w14:paraId="0BB84B37" w14:textId="77777777" w:rsidR="00D769C1" w:rsidRPr="00FB76A9" w:rsidRDefault="00D769C1" w:rsidP="00FD5CD5">
            <w:pPr>
              <w:spacing w:after="0" w:line="240" w:lineRule="auto"/>
              <w:rPr>
                <w:rFonts w:ascii="Times New Roman" w:eastAsia="Times New Roman" w:hAnsi="Times New Roman" w:cs="Times New Roman"/>
                <w:sz w:val="24"/>
                <w:szCs w:val="24"/>
                <w:lang w:val="en-GB" w:eastAsia="pl-PL"/>
              </w:rPr>
            </w:pPr>
          </w:p>
          <w:p w14:paraId="382A28F7" w14:textId="77777777" w:rsidR="00D769C1" w:rsidRPr="00FB76A9" w:rsidRDefault="00D769C1" w:rsidP="00FD5CD5">
            <w:pPr>
              <w:spacing w:after="0" w:line="240" w:lineRule="auto"/>
              <w:rPr>
                <w:rFonts w:ascii="Times New Roman" w:eastAsia="Times New Roman" w:hAnsi="Times New Roman" w:cs="Times New Roman"/>
                <w:sz w:val="24"/>
                <w:szCs w:val="24"/>
                <w:lang w:val="en-GB" w:eastAsia="pl-PL"/>
              </w:rPr>
            </w:pPr>
          </w:p>
          <w:p w14:paraId="44726E1A" w14:textId="77777777" w:rsidR="00D769C1" w:rsidRPr="00FB76A9" w:rsidRDefault="00D769C1" w:rsidP="00FD5CD5">
            <w:pPr>
              <w:spacing w:after="0" w:line="240" w:lineRule="auto"/>
              <w:rPr>
                <w:rFonts w:ascii="Times New Roman" w:eastAsia="Times New Roman" w:hAnsi="Times New Roman" w:cs="Times New Roman"/>
                <w:sz w:val="24"/>
                <w:szCs w:val="24"/>
                <w:lang w:val="en-GB" w:eastAsia="pl-PL"/>
              </w:rPr>
            </w:pPr>
          </w:p>
          <w:p w14:paraId="74F6B8F4" w14:textId="77777777" w:rsidR="00D769C1" w:rsidRPr="00FB76A9" w:rsidRDefault="00D769C1" w:rsidP="00FD5CD5">
            <w:pPr>
              <w:spacing w:after="0" w:line="240" w:lineRule="auto"/>
              <w:rPr>
                <w:rFonts w:ascii="Times New Roman" w:eastAsia="Times New Roman" w:hAnsi="Times New Roman" w:cs="Times New Roman"/>
                <w:sz w:val="24"/>
                <w:szCs w:val="24"/>
                <w:lang w:val="en-GB" w:eastAsia="pl-PL"/>
              </w:rPr>
            </w:pPr>
          </w:p>
          <w:p w14:paraId="38225CDB" w14:textId="77777777" w:rsidR="00D769C1" w:rsidRPr="00FB76A9" w:rsidRDefault="00D769C1" w:rsidP="00FD5CD5">
            <w:pPr>
              <w:spacing w:after="0" w:line="240" w:lineRule="auto"/>
              <w:rPr>
                <w:rFonts w:ascii="Times New Roman" w:eastAsia="Times New Roman" w:hAnsi="Times New Roman" w:cs="Times New Roman"/>
                <w:sz w:val="24"/>
                <w:szCs w:val="24"/>
                <w:lang w:val="en-GB" w:eastAsia="pl-PL"/>
              </w:rPr>
            </w:pPr>
          </w:p>
          <w:p w14:paraId="19510CE9" w14:textId="77777777" w:rsidR="00D769C1" w:rsidRPr="00FB76A9" w:rsidRDefault="00D769C1" w:rsidP="00FD5CD5">
            <w:pPr>
              <w:spacing w:after="0" w:line="240" w:lineRule="auto"/>
              <w:rPr>
                <w:rFonts w:ascii="Times New Roman" w:eastAsia="Times New Roman" w:hAnsi="Times New Roman" w:cs="Times New Roman"/>
                <w:sz w:val="24"/>
                <w:szCs w:val="24"/>
                <w:lang w:val="en-GB" w:eastAsia="pl-PL"/>
              </w:rPr>
            </w:pPr>
          </w:p>
          <w:p w14:paraId="556907D5" w14:textId="77777777" w:rsidR="00D769C1" w:rsidRPr="00FB76A9" w:rsidRDefault="00D769C1" w:rsidP="00FD5CD5">
            <w:pPr>
              <w:spacing w:after="0" w:line="240" w:lineRule="auto"/>
              <w:rPr>
                <w:rFonts w:ascii="Times New Roman" w:eastAsia="Times New Roman" w:hAnsi="Times New Roman" w:cs="Times New Roman"/>
                <w:sz w:val="24"/>
                <w:szCs w:val="24"/>
                <w:lang w:val="en-GB" w:eastAsia="pl-PL"/>
              </w:rPr>
            </w:pPr>
          </w:p>
          <w:p w14:paraId="395E5145" w14:textId="77777777" w:rsidR="00F41E4A" w:rsidRPr="00FB76A9" w:rsidRDefault="00F41E4A" w:rsidP="00FD5CD5">
            <w:pPr>
              <w:spacing w:after="0" w:line="240" w:lineRule="auto"/>
              <w:rPr>
                <w:rFonts w:ascii="Times New Roman" w:eastAsia="Times New Roman" w:hAnsi="Times New Roman" w:cs="Times New Roman"/>
                <w:sz w:val="24"/>
                <w:szCs w:val="24"/>
                <w:lang w:val="en-GB" w:eastAsia="pl-PL"/>
              </w:rPr>
            </w:pPr>
          </w:p>
          <w:p w14:paraId="72608434" w14:textId="77777777" w:rsidR="00F41E4A" w:rsidRPr="00FB76A9" w:rsidRDefault="00F41E4A" w:rsidP="00FD5CD5">
            <w:pPr>
              <w:spacing w:after="0" w:line="240" w:lineRule="auto"/>
              <w:rPr>
                <w:rFonts w:ascii="Times New Roman" w:eastAsia="Times New Roman" w:hAnsi="Times New Roman" w:cs="Times New Roman"/>
                <w:sz w:val="24"/>
                <w:szCs w:val="24"/>
                <w:lang w:val="en-GB" w:eastAsia="pl-PL"/>
              </w:rPr>
            </w:pPr>
          </w:p>
          <w:p w14:paraId="7BBCAB4F" w14:textId="77777777" w:rsidR="00F41E4A" w:rsidRPr="00FB76A9" w:rsidRDefault="00F41E4A" w:rsidP="00FD5CD5">
            <w:pPr>
              <w:spacing w:after="0" w:line="240" w:lineRule="auto"/>
              <w:rPr>
                <w:rFonts w:ascii="Times New Roman" w:eastAsia="Times New Roman" w:hAnsi="Times New Roman" w:cs="Times New Roman"/>
                <w:sz w:val="24"/>
                <w:szCs w:val="24"/>
                <w:lang w:val="en-GB" w:eastAsia="pl-PL"/>
              </w:rPr>
            </w:pPr>
          </w:p>
          <w:p w14:paraId="1004EF9C" w14:textId="77777777" w:rsidR="00F41E4A" w:rsidRPr="00FB76A9" w:rsidRDefault="00F41E4A" w:rsidP="00FD5CD5">
            <w:pPr>
              <w:spacing w:after="0" w:line="240" w:lineRule="auto"/>
              <w:rPr>
                <w:rFonts w:ascii="Times New Roman" w:eastAsia="Times New Roman" w:hAnsi="Times New Roman" w:cs="Times New Roman"/>
                <w:sz w:val="24"/>
                <w:szCs w:val="24"/>
                <w:lang w:val="en-GB" w:eastAsia="pl-PL"/>
              </w:rPr>
            </w:pPr>
          </w:p>
          <w:p w14:paraId="2868FB88"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5E864B4C"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610399F8"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6236A67E"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659E2316"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7EB4F1BC"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7EAAA4F7"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738798AE"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33F93C47"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7B8A4D60"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03C75710"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1163A59B"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36D4E5E7"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2084AA68"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1C8A294E"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7B5F60C9"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1510FBDA"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479AA559"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12C6284B"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57047A5F"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61D76008"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1E8C04BA"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7C9E03AC"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54FFCEDA"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74AF544A"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05418596" w14:textId="77777777" w:rsidR="0074230D" w:rsidRPr="00FB76A9" w:rsidRDefault="0074230D" w:rsidP="00FD5CD5">
            <w:pPr>
              <w:spacing w:after="0" w:line="240" w:lineRule="auto"/>
              <w:rPr>
                <w:rFonts w:ascii="Times New Roman" w:eastAsia="Times New Roman" w:hAnsi="Times New Roman" w:cs="Times New Roman"/>
                <w:sz w:val="24"/>
                <w:szCs w:val="24"/>
                <w:lang w:val="en-GB" w:eastAsia="pl-PL"/>
              </w:rPr>
            </w:pPr>
          </w:p>
          <w:p w14:paraId="3DAE71C8" w14:textId="77777777" w:rsidR="0074230D" w:rsidRPr="00FB76A9" w:rsidRDefault="0074230D" w:rsidP="00FD5CD5">
            <w:pPr>
              <w:spacing w:after="0" w:line="240" w:lineRule="auto"/>
              <w:rPr>
                <w:rFonts w:ascii="Times New Roman" w:eastAsia="Times New Roman" w:hAnsi="Times New Roman" w:cs="Times New Roman"/>
                <w:sz w:val="24"/>
                <w:szCs w:val="24"/>
                <w:lang w:val="en-GB" w:eastAsia="pl-PL"/>
              </w:rPr>
            </w:pPr>
          </w:p>
          <w:p w14:paraId="684FD886" w14:textId="77777777" w:rsidR="007E23C4" w:rsidRPr="00FB76A9" w:rsidRDefault="007E23C4" w:rsidP="00FD5CD5">
            <w:pPr>
              <w:spacing w:after="0" w:line="240" w:lineRule="auto"/>
              <w:rPr>
                <w:rFonts w:ascii="Times New Roman" w:eastAsia="Times New Roman" w:hAnsi="Times New Roman" w:cs="Times New Roman"/>
                <w:sz w:val="24"/>
                <w:szCs w:val="24"/>
                <w:lang w:val="en-GB" w:eastAsia="pl-PL"/>
              </w:rPr>
            </w:pPr>
          </w:p>
          <w:p w14:paraId="5A3288D6" w14:textId="77777777" w:rsidR="007E23C4" w:rsidRPr="00FB76A9" w:rsidRDefault="007E23C4" w:rsidP="00FD5CD5">
            <w:pPr>
              <w:spacing w:after="0" w:line="240" w:lineRule="auto"/>
              <w:rPr>
                <w:rFonts w:ascii="Times New Roman" w:eastAsia="Times New Roman" w:hAnsi="Times New Roman" w:cs="Times New Roman"/>
                <w:sz w:val="24"/>
                <w:szCs w:val="24"/>
                <w:lang w:val="en-GB" w:eastAsia="pl-PL"/>
              </w:rPr>
            </w:pPr>
          </w:p>
          <w:p w14:paraId="5FB852C1" w14:textId="77777777" w:rsidR="007E23C4" w:rsidRPr="00FB76A9" w:rsidRDefault="007E23C4" w:rsidP="00FD5CD5">
            <w:pPr>
              <w:spacing w:after="0" w:line="240" w:lineRule="auto"/>
              <w:rPr>
                <w:rFonts w:ascii="Times New Roman" w:eastAsia="Times New Roman" w:hAnsi="Times New Roman" w:cs="Times New Roman"/>
                <w:sz w:val="24"/>
                <w:szCs w:val="24"/>
                <w:lang w:val="en-GB" w:eastAsia="pl-PL"/>
              </w:rPr>
            </w:pPr>
          </w:p>
          <w:p w14:paraId="3D4BAE39" w14:textId="77777777" w:rsidR="003C2855" w:rsidRPr="00FB76A9" w:rsidRDefault="003C2855" w:rsidP="00FD5CD5">
            <w:pPr>
              <w:spacing w:after="0" w:line="240" w:lineRule="auto"/>
              <w:rPr>
                <w:rFonts w:ascii="Times New Roman" w:eastAsia="Times New Roman" w:hAnsi="Times New Roman" w:cs="Times New Roman"/>
                <w:sz w:val="24"/>
                <w:szCs w:val="24"/>
                <w:lang w:val="en-GB" w:eastAsia="pl-PL"/>
              </w:rPr>
            </w:pPr>
          </w:p>
          <w:p w14:paraId="1B67A111" w14:textId="77777777" w:rsidR="003C2855" w:rsidRPr="00FB76A9" w:rsidRDefault="003C2855" w:rsidP="00FD5CD5">
            <w:pPr>
              <w:spacing w:after="0" w:line="240" w:lineRule="auto"/>
              <w:rPr>
                <w:rFonts w:ascii="Times New Roman" w:eastAsia="Times New Roman" w:hAnsi="Times New Roman" w:cs="Times New Roman"/>
                <w:sz w:val="24"/>
                <w:szCs w:val="24"/>
                <w:lang w:val="en-GB" w:eastAsia="pl-PL"/>
              </w:rPr>
            </w:pPr>
          </w:p>
          <w:p w14:paraId="719AD347" w14:textId="77777777" w:rsidR="003C2855" w:rsidRPr="00FB76A9" w:rsidRDefault="003C2855" w:rsidP="00FD5CD5">
            <w:pPr>
              <w:spacing w:after="0" w:line="240" w:lineRule="auto"/>
              <w:rPr>
                <w:rFonts w:ascii="Times New Roman" w:eastAsia="Times New Roman" w:hAnsi="Times New Roman" w:cs="Times New Roman"/>
                <w:sz w:val="24"/>
                <w:szCs w:val="24"/>
                <w:lang w:val="en-GB" w:eastAsia="pl-PL"/>
              </w:rPr>
            </w:pPr>
          </w:p>
          <w:p w14:paraId="5BA83D48" w14:textId="77777777" w:rsidR="003C2855" w:rsidRPr="00FB76A9" w:rsidRDefault="003C2855" w:rsidP="00FD5CD5">
            <w:pPr>
              <w:spacing w:after="0" w:line="240" w:lineRule="auto"/>
              <w:rPr>
                <w:rFonts w:ascii="Times New Roman" w:eastAsia="Times New Roman" w:hAnsi="Times New Roman" w:cs="Times New Roman"/>
                <w:sz w:val="24"/>
                <w:szCs w:val="24"/>
                <w:lang w:val="en-GB" w:eastAsia="pl-PL"/>
              </w:rPr>
            </w:pPr>
          </w:p>
          <w:p w14:paraId="6043E1F9"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 xml:space="preserve">Art. 2 pkt </w:t>
            </w:r>
            <w:r w:rsidR="007E23C4" w:rsidRPr="00FB76A9">
              <w:rPr>
                <w:rFonts w:ascii="Times New Roman" w:eastAsia="Times New Roman" w:hAnsi="Times New Roman" w:cs="Times New Roman"/>
                <w:sz w:val="24"/>
                <w:szCs w:val="24"/>
                <w:lang w:val="en-GB" w:eastAsia="pl-PL"/>
              </w:rPr>
              <w:t>5</w:t>
            </w:r>
            <w:r w:rsidRPr="00FB76A9">
              <w:rPr>
                <w:rFonts w:ascii="Times New Roman" w:eastAsia="Times New Roman" w:hAnsi="Times New Roman" w:cs="Times New Roman"/>
                <w:sz w:val="24"/>
                <w:szCs w:val="24"/>
                <w:lang w:val="en-GB" w:eastAsia="pl-PL"/>
              </w:rPr>
              <w:t xml:space="preserve"> lit. </w:t>
            </w:r>
            <w:r w:rsidR="007E23C4" w:rsidRPr="00FB76A9">
              <w:rPr>
                <w:rFonts w:ascii="Times New Roman" w:eastAsia="Times New Roman" w:hAnsi="Times New Roman" w:cs="Times New Roman"/>
                <w:sz w:val="24"/>
                <w:szCs w:val="24"/>
                <w:lang w:val="en-GB" w:eastAsia="pl-PL"/>
              </w:rPr>
              <w:t>a</w:t>
            </w:r>
          </w:p>
          <w:p w14:paraId="27410019"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03AD957A"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354C2D5B"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4674D333"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0AD72EE3"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7C2E6864"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1B67D1CC" w14:textId="77777777" w:rsidR="00024DAA" w:rsidRPr="00FB76A9" w:rsidRDefault="00024DAA" w:rsidP="00FD5CD5">
            <w:pPr>
              <w:spacing w:after="0" w:line="240" w:lineRule="auto"/>
              <w:rPr>
                <w:rFonts w:ascii="Times New Roman" w:eastAsia="Times New Roman" w:hAnsi="Times New Roman" w:cs="Times New Roman"/>
                <w:sz w:val="24"/>
                <w:szCs w:val="24"/>
                <w:lang w:val="en-GB" w:eastAsia="pl-PL"/>
              </w:rPr>
            </w:pPr>
          </w:p>
          <w:p w14:paraId="78E8302F" w14:textId="77777777" w:rsidR="00024DAA" w:rsidRPr="00FB76A9" w:rsidRDefault="00024DAA" w:rsidP="00FD5CD5">
            <w:pPr>
              <w:spacing w:after="0" w:line="240" w:lineRule="auto"/>
              <w:rPr>
                <w:rFonts w:ascii="Times New Roman" w:eastAsia="Times New Roman" w:hAnsi="Times New Roman" w:cs="Times New Roman"/>
                <w:sz w:val="24"/>
                <w:szCs w:val="24"/>
                <w:lang w:val="en-GB" w:eastAsia="pl-PL"/>
              </w:rPr>
            </w:pPr>
          </w:p>
          <w:p w14:paraId="7E8D7A4D"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 xml:space="preserve">Art. 2 pkt </w:t>
            </w:r>
            <w:r w:rsidR="007E23C4" w:rsidRPr="00FB76A9">
              <w:rPr>
                <w:rFonts w:ascii="Times New Roman" w:eastAsia="Times New Roman" w:hAnsi="Times New Roman" w:cs="Times New Roman"/>
                <w:sz w:val="24"/>
                <w:szCs w:val="24"/>
                <w:lang w:val="en-GB" w:eastAsia="pl-PL"/>
              </w:rPr>
              <w:t>6</w:t>
            </w:r>
          </w:p>
          <w:p w14:paraId="1499C64D"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6A5921DB"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7874BD00"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31839F2A"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217DD2F8"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73133D39"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44209856"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3180F2FC"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3AF67BEC"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1CFCE66D"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2D20A756"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58C04982"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63D0F410"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623002F8"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66EED948"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74127C4A"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04371A9F"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5105036D"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4861593E"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59A987E6"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57CF5D5E"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493DBEAF"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60C909C0"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1B880436"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4C164FF4"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0F06104C" w14:textId="77777777" w:rsidR="004E3410" w:rsidRPr="00FB76A9" w:rsidRDefault="004E3410" w:rsidP="00FD5CD5">
            <w:pPr>
              <w:spacing w:after="0" w:line="240" w:lineRule="auto"/>
              <w:rPr>
                <w:rFonts w:ascii="Times New Roman" w:eastAsia="Times New Roman" w:hAnsi="Times New Roman" w:cs="Times New Roman"/>
                <w:sz w:val="24"/>
                <w:szCs w:val="24"/>
                <w:lang w:val="en-GB" w:eastAsia="pl-PL"/>
              </w:rPr>
            </w:pPr>
          </w:p>
          <w:p w14:paraId="76ABE01D"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3AC1B4B1"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343DC364"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407DAC0B"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303DFE3C"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554F0E46" w14:textId="77777777" w:rsidR="00EE3F5D" w:rsidRDefault="00EE3F5D" w:rsidP="00FD5CD5">
            <w:pPr>
              <w:spacing w:after="0" w:line="240" w:lineRule="auto"/>
              <w:rPr>
                <w:rFonts w:ascii="Times New Roman" w:eastAsia="Times New Roman" w:hAnsi="Times New Roman" w:cs="Times New Roman"/>
                <w:sz w:val="24"/>
                <w:szCs w:val="24"/>
                <w:lang w:val="en-GB" w:eastAsia="pl-PL"/>
              </w:rPr>
            </w:pPr>
          </w:p>
          <w:p w14:paraId="54E38266"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Art. 2 pkt 1</w:t>
            </w:r>
            <w:r w:rsidR="008C31AE" w:rsidRPr="00FB76A9">
              <w:rPr>
                <w:rFonts w:ascii="Times New Roman" w:eastAsia="Times New Roman" w:hAnsi="Times New Roman" w:cs="Times New Roman"/>
                <w:sz w:val="24"/>
                <w:szCs w:val="24"/>
                <w:lang w:val="en-GB" w:eastAsia="pl-PL"/>
              </w:rPr>
              <w:t>4</w:t>
            </w:r>
            <w:r w:rsidRPr="00FB76A9">
              <w:rPr>
                <w:rFonts w:ascii="Times New Roman" w:eastAsia="Times New Roman" w:hAnsi="Times New Roman" w:cs="Times New Roman"/>
                <w:sz w:val="24"/>
                <w:szCs w:val="24"/>
                <w:lang w:val="en-GB" w:eastAsia="pl-PL"/>
              </w:rPr>
              <w:t xml:space="preserve"> </w:t>
            </w:r>
          </w:p>
          <w:p w14:paraId="370E5D45"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3D1CEE38"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19EB9F21"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7F448515"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02B27D81"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14856F8B"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5E14EB62"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6396EECF"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30545DBB"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2F9CA34E"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2731AF0B"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38150C51"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1A8658AB"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2F045869"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54C08823"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 xml:space="preserve">Art. 2 pkt </w:t>
            </w:r>
            <w:r w:rsidR="008C31AE" w:rsidRPr="00FB76A9">
              <w:rPr>
                <w:rFonts w:ascii="Times New Roman" w:eastAsia="Times New Roman" w:hAnsi="Times New Roman" w:cs="Times New Roman"/>
                <w:sz w:val="24"/>
                <w:szCs w:val="24"/>
                <w:lang w:val="en-GB" w:eastAsia="pl-PL"/>
              </w:rPr>
              <w:t>16</w:t>
            </w:r>
          </w:p>
          <w:p w14:paraId="7933984E"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4B66D043"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425071C8"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2329DE86"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184A7E7E"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7CE36A02"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3B66BE72"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6FA4EEA8"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25649BAB"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1FB4B3AF"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725DFBC4"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1A907B14"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33CE5EE5"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0F1B4C9D"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2556D936"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0FD7AC9C"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600594CB"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512A0B75"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55066DEE"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72B428E9"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0492709A"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00F68476"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0C446568"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36F305A6"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242C7F7F"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5A23E02F"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2D5C5BFE"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4B41EED9"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3B74D0ED"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0B7FE2A0"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4425D563"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7A7818D1"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6C5D12AB"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49A216FE" w14:textId="77777777" w:rsidR="008C31AE" w:rsidRPr="00FB76A9" w:rsidRDefault="008C31AE" w:rsidP="00FD5CD5">
            <w:pPr>
              <w:spacing w:after="0" w:line="240" w:lineRule="auto"/>
              <w:rPr>
                <w:rFonts w:ascii="Times New Roman" w:eastAsia="Times New Roman" w:hAnsi="Times New Roman" w:cs="Times New Roman"/>
                <w:sz w:val="24"/>
                <w:szCs w:val="24"/>
                <w:lang w:val="en-GB" w:eastAsia="pl-PL"/>
              </w:rPr>
            </w:pPr>
          </w:p>
          <w:p w14:paraId="6A58E543"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Art. 2 pkt 1</w:t>
            </w:r>
            <w:r w:rsidR="00367D70" w:rsidRPr="00FB76A9">
              <w:rPr>
                <w:rFonts w:ascii="Times New Roman" w:eastAsia="Times New Roman" w:hAnsi="Times New Roman" w:cs="Times New Roman"/>
                <w:sz w:val="24"/>
                <w:szCs w:val="24"/>
                <w:lang w:val="en-GB" w:eastAsia="pl-PL"/>
              </w:rPr>
              <w:t>7</w:t>
            </w:r>
          </w:p>
          <w:p w14:paraId="6F60371E"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592F7CCC"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0DD3848A"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0690613A"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6BEE9F4C" w14:textId="77777777" w:rsidR="004F1DD9" w:rsidRPr="00FB76A9" w:rsidRDefault="004F1DD9" w:rsidP="00FD5CD5">
            <w:pPr>
              <w:spacing w:after="0" w:line="240" w:lineRule="auto"/>
              <w:rPr>
                <w:rFonts w:ascii="Times New Roman" w:eastAsia="Times New Roman" w:hAnsi="Times New Roman" w:cs="Times New Roman"/>
                <w:sz w:val="24"/>
                <w:szCs w:val="24"/>
                <w:lang w:val="en-GB" w:eastAsia="pl-PL"/>
              </w:rPr>
            </w:pPr>
          </w:p>
          <w:p w14:paraId="3C620D69"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18A95714"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337E5D41"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11CC48EE"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65167C6B"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2AB00A49"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3E875E33"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6A358F89"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23D05FC6"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0BF70314"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1E3DC912"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435770DC"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0C91800A"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44E9CA7C"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5809E27E"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0E42E7C0"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37C15A69"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0FB647B0"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5EE8E0BC"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2702762C"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247C42B7"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4E1819F5"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0DA89DAE"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18B5CF3D"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11DC2563"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459312B8"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3641E8D2"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198DA12D"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696CE980"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1246CF82"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4193794E" w14:textId="77777777" w:rsidR="00A94E49" w:rsidRPr="00FB76A9" w:rsidRDefault="00A94E49" w:rsidP="00FD5CD5">
            <w:pPr>
              <w:spacing w:after="0" w:line="240" w:lineRule="auto"/>
              <w:rPr>
                <w:rFonts w:ascii="Times New Roman" w:eastAsia="Times New Roman" w:hAnsi="Times New Roman" w:cs="Times New Roman"/>
                <w:sz w:val="24"/>
                <w:szCs w:val="24"/>
                <w:lang w:val="en-GB" w:eastAsia="pl-PL"/>
              </w:rPr>
            </w:pPr>
          </w:p>
          <w:p w14:paraId="51A17F53" w14:textId="77777777" w:rsidR="00367D70" w:rsidRPr="00FB76A9" w:rsidRDefault="00367D70" w:rsidP="00FD5CD5">
            <w:pPr>
              <w:spacing w:after="0" w:line="240" w:lineRule="auto"/>
              <w:rPr>
                <w:rFonts w:ascii="Times New Roman" w:eastAsia="Times New Roman" w:hAnsi="Times New Roman" w:cs="Times New Roman"/>
                <w:sz w:val="24"/>
                <w:szCs w:val="24"/>
                <w:lang w:val="en-GB" w:eastAsia="pl-PL"/>
              </w:rPr>
            </w:pPr>
          </w:p>
          <w:p w14:paraId="3B9E72C3" w14:textId="77777777" w:rsidR="00367D70" w:rsidRPr="00FB76A9" w:rsidRDefault="00367D70" w:rsidP="00FD5CD5">
            <w:pPr>
              <w:spacing w:after="0" w:line="240" w:lineRule="auto"/>
              <w:rPr>
                <w:rFonts w:ascii="Times New Roman" w:eastAsia="Times New Roman" w:hAnsi="Times New Roman" w:cs="Times New Roman"/>
                <w:sz w:val="24"/>
                <w:szCs w:val="24"/>
                <w:lang w:val="en-GB" w:eastAsia="pl-PL"/>
              </w:rPr>
            </w:pPr>
          </w:p>
          <w:p w14:paraId="48A573FD" w14:textId="77777777" w:rsidR="00367D70" w:rsidRPr="00FB76A9" w:rsidRDefault="00367D70" w:rsidP="00FD5CD5">
            <w:pPr>
              <w:spacing w:after="0" w:line="240" w:lineRule="auto"/>
              <w:rPr>
                <w:rFonts w:ascii="Times New Roman" w:eastAsia="Times New Roman" w:hAnsi="Times New Roman" w:cs="Times New Roman"/>
                <w:sz w:val="24"/>
                <w:szCs w:val="24"/>
                <w:lang w:val="en-GB" w:eastAsia="pl-PL"/>
              </w:rPr>
            </w:pPr>
          </w:p>
          <w:p w14:paraId="0E5F7FE3" w14:textId="77777777" w:rsidR="00367D70" w:rsidRPr="00FB76A9" w:rsidRDefault="00367D70" w:rsidP="00FD5CD5">
            <w:pPr>
              <w:spacing w:after="0" w:line="240" w:lineRule="auto"/>
              <w:rPr>
                <w:rFonts w:ascii="Times New Roman" w:eastAsia="Times New Roman" w:hAnsi="Times New Roman" w:cs="Times New Roman"/>
                <w:sz w:val="24"/>
                <w:szCs w:val="24"/>
                <w:lang w:val="en-GB" w:eastAsia="pl-PL"/>
              </w:rPr>
            </w:pPr>
          </w:p>
          <w:p w14:paraId="00B9EC2E" w14:textId="77777777" w:rsidR="00367D70" w:rsidRPr="00FB76A9" w:rsidRDefault="00367D70" w:rsidP="00FD5CD5">
            <w:pPr>
              <w:spacing w:after="0" w:line="240" w:lineRule="auto"/>
              <w:rPr>
                <w:rFonts w:ascii="Times New Roman" w:eastAsia="Times New Roman" w:hAnsi="Times New Roman" w:cs="Times New Roman"/>
                <w:sz w:val="24"/>
                <w:szCs w:val="24"/>
                <w:lang w:val="en-GB" w:eastAsia="pl-PL"/>
              </w:rPr>
            </w:pPr>
          </w:p>
          <w:p w14:paraId="77A64379" w14:textId="77777777" w:rsidR="00367D70" w:rsidRPr="00FB76A9" w:rsidRDefault="00367D70" w:rsidP="00FD5CD5">
            <w:pPr>
              <w:spacing w:after="0" w:line="240" w:lineRule="auto"/>
              <w:rPr>
                <w:rFonts w:ascii="Times New Roman" w:eastAsia="Times New Roman" w:hAnsi="Times New Roman" w:cs="Times New Roman"/>
                <w:sz w:val="24"/>
                <w:szCs w:val="24"/>
                <w:lang w:val="en-GB" w:eastAsia="pl-PL"/>
              </w:rPr>
            </w:pPr>
          </w:p>
          <w:p w14:paraId="407783F3" w14:textId="77777777" w:rsidR="00367D70" w:rsidRPr="00FB76A9" w:rsidRDefault="00367D70" w:rsidP="00FD5CD5">
            <w:pPr>
              <w:spacing w:after="0" w:line="240" w:lineRule="auto"/>
              <w:rPr>
                <w:rFonts w:ascii="Times New Roman" w:eastAsia="Times New Roman" w:hAnsi="Times New Roman" w:cs="Times New Roman"/>
                <w:sz w:val="24"/>
                <w:szCs w:val="24"/>
                <w:lang w:val="en-GB" w:eastAsia="pl-PL"/>
              </w:rPr>
            </w:pPr>
          </w:p>
          <w:p w14:paraId="440DE48F" w14:textId="77777777" w:rsidR="00367D70" w:rsidRPr="00FB76A9" w:rsidRDefault="00367D70" w:rsidP="00FD5CD5">
            <w:pPr>
              <w:spacing w:after="0" w:line="240" w:lineRule="auto"/>
              <w:rPr>
                <w:rFonts w:ascii="Times New Roman" w:eastAsia="Times New Roman" w:hAnsi="Times New Roman" w:cs="Times New Roman"/>
                <w:sz w:val="24"/>
                <w:szCs w:val="24"/>
                <w:lang w:val="en-GB" w:eastAsia="pl-PL"/>
              </w:rPr>
            </w:pPr>
          </w:p>
          <w:p w14:paraId="64060F46" w14:textId="77777777" w:rsidR="00367D70" w:rsidRPr="00FB76A9" w:rsidRDefault="00367D70" w:rsidP="00FD5CD5">
            <w:pPr>
              <w:spacing w:after="0" w:line="240" w:lineRule="auto"/>
              <w:rPr>
                <w:rFonts w:ascii="Times New Roman" w:eastAsia="Times New Roman" w:hAnsi="Times New Roman" w:cs="Times New Roman"/>
                <w:sz w:val="24"/>
                <w:szCs w:val="24"/>
                <w:lang w:val="en-GB" w:eastAsia="pl-PL"/>
              </w:rPr>
            </w:pPr>
          </w:p>
          <w:p w14:paraId="5784DBA7" w14:textId="77777777" w:rsidR="00F41E4A" w:rsidRPr="00FB76A9" w:rsidRDefault="00F41E4A" w:rsidP="00FD5CD5">
            <w:pPr>
              <w:spacing w:after="0" w:line="240" w:lineRule="auto"/>
              <w:rPr>
                <w:rFonts w:ascii="Times New Roman" w:eastAsia="Times New Roman" w:hAnsi="Times New Roman" w:cs="Times New Roman"/>
                <w:sz w:val="24"/>
                <w:szCs w:val="24"/>
                <w:lang w:val="en-GB" w:eastAsia="pl-PL"/>
              </w:rPr>
            </w:pPr>
          </w:p>
          <w:p w14:paraId="1EEB6CBD" w14:textId="77777777" w:rsidR="00F41E4A" w:rsidRPr="00FB76A9" w:rsidRDefault="00F41E4A" w:rsidP="00FD5CD5">
            <w:pPr>
              <w:spacing w:after="0" w:line="240" w:lineRule="auto"/>
              <w:rPr>
                <w:rFonts w:ascii="Times New Roman" w:eastAsia="Times New Roman" w:hAnsi="Times New Roman" w:cs="Times New Roman"/>
                <w:sz w:val="24"/>
                <w:szCs w:val="24"/>
                <w:lang w:val="en-GB" w:eastAsia="pl-PL"/>
              </w:rPr>
            </w:pPr>
          </w:p>
          <w:p w14:paraId="48B744AF" w14:textId="77777777" w:rsidR="00F41E4A" w:rsidRPr="00FB76A9" w:rsidRDefault="00F41E4A" w:rsidP="00FD5CD5">
            <w:pPr>
              <w:spacing w:after="0" w:line="240" w:lineRule="auto"/>
              <w:rPr>
                <w:rFonts w:ascii="Times New Roman" w:eastAsia="Times New Roman" w:hAnsi="Times New Roman" w:cs="Times New Roman"/>
                <w:sz w:val="24"/>
                <w:szCs w:val="24"/>
                <w:lang w:val="en-GB" w:eastAsia="pl-PL"/>
              </w:rPr>
            </w:pPr>
          </w:p>
          <w:p w14:paraId="39D2C5FE" w14:textId="77777777" w:rsidR="00F41E4A" w:rsidRPr="00FB76A9" w:rsidRDefault="00F41E4A" w:rsidP="00FD5CD5">
            <w:pPr>
              <w:spacing w:after="0" w:line="240" w:lineRule="auto"/>
              <w:rPr>
                <w:rFonts w:ascii="Times New Roman" w:eastAsia="Times New Roman" w:hAnsi="Times New Roman" w:cs="Times New Roman"/>
                <w:sz w:val="24"/>
                <w:szCs w:val="24"/>
                <w:lang w:val="en-GB" w:eastAsia="pl-PL"/>
              </w:rPr>
            </w:pPr>
          </w:p>
          <w:p w14:paraId="660261A3" w14:textId="77777777" w:rsidR="00F41E4A" w:rsidRPr="00FB76A9" w:rsidRDefault="00F41E4A" w:rsidP="00FD5CD5">
            <w:pPr>
              <w:spacing w:after="0" w:line="240" w:lineRule="auto"/>
              <w:rPr>
                <w:rFonts w:ascii="Times New Roman" w:eastAsia="Times New Roman" w:hAnsi="Times New Roman" w:cs="Times New Roman"/>
                <w:sz w:val="24"/>
                <w:szCs w:val="24"/>
                <w:lang w:val="en-GB" w:eastAsia="pl-PL"/>
              </w:rPr>
            </w:pPr>
          </w:p>
          <w:p w14:paraId="0468852F" w14:textId="77777777" w:rsidR="00F41E4A" w:rsidRPr="00FB76A9" w:rsidRDefault="00F41E4A" w:rsidP="00FD5CD5">
            <w:pPr>
              <w:spacing w:after="0" w:line="240" w:lineRule="auto"/>
              <w:rPr>
                <w:rFonts w:ascii="Times New Roman" w:eastAsia="Times New Roman" w:hAnsi="Times New Roman" w:cs="Times New Roman"/>
                <w:sz w:val="24"/>
                <w:szCs w:val="24"/>
                <w:lang w:val="en-GB" w:eastAsia="pl-PL"/>
              </w:rPr>
            </w:pPr>
          </w:p>
          <w:p w14:paraId="38C9FCD2" w14:textId="77777777" w:rsidR="00F41E4A" w:rsidRPr="00FB76A9" w:rsidRDefault="00F41E4A" w:rsidP="00FD5CD5">
            <w:pPr>
              <w:spacing w:after="0" w:line="240" w:lineRule="auto"/>
              <w:rPr>
                <w:rFonts w:ascii="Times New Roman" w:eastAsia="Times New Roman" w:hAnsi="Times New Roman" w:cs="Times New Roman"/>
                <w:sz w:val="24"/>
                <w:szCs w:val="24"/>
                <w:lang w:val="en-GB" w:eastAsia="pl-PL"/>
              </w:rPr>
            </w:pPr>
          </w:p>
          <w:p w14:paraId="37F4C63A" w14:textId="77777777" w:rsidR="00F41E4A" w:rsidRPr="00FB76A9" w:rsidRDefault="00F41E4A" w:rsidP="00FD5CD5">
            <w:pPr>
              <w:spacing w:after="0" w:line="240" w:lineRule="auto"/>
              <w:rPr>
                <w:rFonts w:ascii="Times New Roman" w:eastAsia="Times New Roman" w:hAnsi="Times New Roman" w:cs="Times New Roman"/>
                <w:sz w:val="24"/>
                <w:szCs w:val="24"/>
                <w:lang w:val="en-GB" w:eastAsia="pl-PL"/>
              </w:rPr>
            </w:pPr>
          </w:p>
          <w:p w14:paraId="446572EA" w14:textId="77777777" w:rsidR="00D769C1" w:rsidRPr="00FB76A9" w:rsidRDefault="00D769C1" w:rsidP="00FD5CD5">
            <w:pPr>
              <w:spacing w:after="0" w:line="240" w:lineRule="auto"/>
              <w:rPr>
                <w:rFonts w:ascii="Times New Roman" w:eastAsia="Times New Roman" w:hAnsi="Times New Roman" w:cs="Times New Roman"/>
                <w:sz w:val="24"/>
                <w:szCs w:val="24"/>
                <w:lang w:val="en-GB" w:eastAsia="pl-PL"/>
              </w:rPr>
            </w:pPr>
          </w:p>
          <w:p w14:paraId="02F65EAB" w14:textId="77777777" w:rsidR="00D769C1" w:rsidRPr="00FB76A9" w:rsidRDefault="00D769C1" w:rsidP="00FD5CD5">
            <w:pPr>
              <w:spacing w:after="0" w:line="240" w:lineRule="auto"/>
              <w:rPr>
                <w:rFonts w:ascii="Times New Roman" w:eastAsia="Times New Roman" w:hAnsi="Times New Roman" w:cs="Times New Roman"/>
                <w:sz w:val="24"/>
                <w:szCs w:val="24"/>
                <w:lang w:val="en-GB" w:eastAsia="pl-PL"/>
              </w:rPr>
            </w:pPr>
          </w:p>
          <w:p w14:paraId="409A6990" w14:textId="77777777" w:rsidR="00F41E4A" w:rsidRPr="00FB76A9" w:rsidRDefault="00F41E4A" w:rsidP="00FD5CD5">
            <w:pPr>
              <w:spacing w:after="0" w:line="240" w:lineRule="auto"/>
              <w:rPr>
                <w:rFonts w:ascii="Times New Roman" w:eastAsia="Times New Roman" w:hAnsi="Times New Roman" w:cs="Times New Roman"/>
                <w:sz w:val="24"/>
                <w:szCs w:val="24"/>
                <w:lang w:val="en-GB" w:eastAsia="pl-PL"/>
              </w:rPr>
            </w:pPr>
          </w:p>
        </w:tc>
        <w:tc>
          <w:tcPr>
            <w:tcW w:w="5103" w:type="dxa"/>
            <w:tcBorders>
              <w:top w:val="single" w:sz="4" w:space="0" w:color="auto"/>
              <w:left w:val="single" w:sz="4" w:space="0" w:color="auto"/>
              <w:bottom w:val="single" w:sz="4" w:space="0" w:color="auto"/>
              <w:right w:val="single" w:sz="4" w:space="0" w:color="auto"/>
            </w:tcBorders>
          </w:tcPr>
          <w:p w14:paraId="7ED08FEE" w14:textId="77777777" w:rsidR="004E3410" w:rsidRPr="00FB76A9" w:rsidRDefault="004E3410"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lastRenderedPageBreak/>
              <w:t>Art. 3:</w:t>
            </w:r>
          </w:p>
          <w:p w14:paraId="222E8D68" w14:textId="77777777" w:rsidR="00DE3253" w:rsidRPr="00FB76A9" w:rsidRDefault="00CF37BF" w:rsidP="00FD5CD5">
            <w:pPr>
              <w:spacing w:after="0" w:line="240" w:lineRule="auto"/>
              <w:rPr>
                <w:rFonts w:ascii="Times New Roman" w:eastAsia="Times New Roman" w:hAnsi="Times New Roman" w:cs="Times New Roman"/>
                <w:sz w:val="24"/>
                <w:szCs w:val="24"/>
                <w:lang w:eastAsia="pl-PL"/>
              </w:rPr>
            </w:pPr>
            <w:r w:rsidRPr="00B52C69">
              <w:rPr>
                <w:rFonts w:ascii="Times New Roman" w:eastAsia="Times New Roman" w:hAnsi="Times New Roman" w:cs="Times New Roman"/>
                <w:sz w:val="24"/>
                <w:szCs w:val="24"/>
                <w:lang w:eastAsia="pl-PL"/>
              </w:rPr>
              <w:t>„2. Dyrektor TDT prowadzi bazę świadectw zgodności przekazanych przez producentów pojazdów do centralnej ewidencji pojazdów, o której mowa w art. 80a ust. 1 ustawy z dnia 20 czerwca 1997 r. – Prawo o ruchu drogowym, zwaną dalej „ewidencją”.”,</w:t>
            </w:r>
          </w:p>
          <w:p w14:paraId="6EF390A4" w14:textId="77777777" w:rsidR="00D769C1" w:rsidRPr="00FB76A9" w:rsidRDefault="00D769C1" w:rsidP="00FD5CD5">
            <w:pPr>
              <w:spacing w:after="0" w:line="240" w:lineRule="auto"/>
              <w:rPr>
                <w:rFonts w:ascii="Times New Roman" w:eastAsia="Times New Roman" w:hAnsi="Times New Roman" w:cs="Times New Roman"/>
                <w:sz w:val="24"/>
                <w:szCs w:val="24"/>
                <w:lang w:eastAsia="pl-PL"/>
              </w:rPr>
            </w:pPr>
          </w:p>
          <w:p w14:paraId="1100D6D2" w14:textId="77777777" w:rsidR="003C2855" w:rsidRPr="00FB76A9" w:rsidRDefault="004E3410" w:rsidP="00FD5CD5">
            <w:pPr>
              <w:pStyle w:val="ZARTzmartartykuempunktem"/>
              <w:spacing w:line="240" w:lineRule="auto"/>
              <w:ind w:left="0" w:firstLine="0"/>
              <w:jc w:val="left"/>
              <w:rPr>
                <w:rFonts w:ascii="Times New Roman" w:eastAsia="Times New Roman" w:hAnsi="Times New Roman" w:cs="Times New Roman"/>
                <w:szCs w:val="24"/>
              </w:rPr>
            </w:pPr>
            <w:r w:rsidRPr="00FB76A9">
              <w:rPr>
                <w:rFonts w:ascii="Times New Roman" w:eastAsia="Times New Roman" w:hAnsi="Times New Roman" w:cs="Times New Roman"/>
                <w:szCs w:val="24"/>
              </w:rPr>
              <w:t xml:space="preserve">w art. 27 </w:t>
            </w:r>
          </w:p>
          <w:p w14:paraId="683DF7D9" w14:textId="77777777" w:rsidR="003C2855" w:rsidRPr="00FB76A9" w:rsidRDefault="004E3410" w:rsidP="00FD5CD5">
            <w:pPr>
              <w:pStyle w:val="ZARTzmartartykuempunktem"/>
              <w:spacing w:line="240" w:lineRule="auto"/>
              <w:ind w:left="0" w:firstLine="0"/>
              <w:jc w:val="left"/>
              <w:rPr>
                <w:rFonts w:ascii="Times New Roman" w:eastAsia="Times New Roman" w:hAnsi="Times New Roman" w:cs="Times New Roman"/>
                <w:szCs w:val="24"/>
              </w:rPr>
            </w:pPr>
            <w:r w:rsidRPr="00FB76A9">
              <w:rPr>
                <w:rFonts w:ascii="Times New Roman" w:eastAsia="Times New Roman" w:hAnsi="Times New Roman" w:cs="Times New Roman"/>
                <w:szCs w:val="24"/>
              </w:rPr>
              <w:t xml:space="preserve">w ust. 1 </w:t>
            </w:r>
          </w:p>
          <w:p w14:paraId="2C5A3D90" w14:textId="77777777" w:rsidR="004E3410" w:rsidRPr="00FB76A9" w:rsidRDefault="004E3410" w:rsidP="00FD5CD5">
            <w:pPr>
              <w:pStyle w:val="ZARTzmartartykuempunktem"/>
              <w:spacing w:line="240" w:lineRule="auto"/>
              <w:ind w:left="0" w:firstLine="0"/>
              <w:jc w:val="left"/>
              <w:rPr>
                <w:rFonts w:ascii="Times New Roman" w:eastAsia="Times New Roman" w:hAnsi="Times New Roman" w:cs="Times New Roman"/>
                <w:szCs w:val="24"/>
              </w:rPr>
            </w:pPr>
            <w:r w:rsidRPr="00FB76A9">
              <w:rPr>
                <w:rFonts w:ascii="Times New Roman" w:eastAsia="Times New Roman" w:hAnsi="Times New Roman" w:cs="Times New Roman"/>
                <w:szCs w:val="24"/>
              </w:rPr>
              <w:t xml:space="preserve">pkt 2 i 3 otrzymują brzmienie: </w:t>
            </w:r>
          </w:p>
          <w:p w14:paraId="1CF88F36" w14:textId="77777777" w:rsidR="0074230D" w:rsidRPr="00FB76A9" w:rsidRDefault="0074230D" w:rsidP="00FD5CD5">
            <w:pPr>
              <w:pStyle w:val="ZARTzmartartykuempunktem"/>
              <w:spacing w:line="240" w:lineRule="auto"/>
              <w:ind w:left="0" w:firstLine="0"/>
              <w:jc w:val="left"/>
              <w:rPr>
                <w:rFonts w:ascii="Times New Roman" w:eastAsia="Times New Roman" w:hAnsi="Times New Roman" w:cs="Times New Roman"/>
                <w:szCs w:val="24"/>
              </w:rPr>
            </w:pPr>
            <w:r w:rsidRPr="00FB76A9">
              <w:rPr>
                <w:rFonts w:ascii="Times New Roman" w:eastAsia="Times New Roman" w:hAnsi="Times New Roman" w:cs="Times New Roman"/>
                <w:szCs w:val="24"/>
              </w:rPr>
              <w:t xml:space="preserve">„2) wystawić w postaci papierowej świadectwo zgodności do każdego pojazdu, na którego typ wydano odpowiednie świadectwo homologacji; </w:t>
            </w:r>
            <w:r w:rsidRPr="00FB76A9">
              <w:rPr>
                <w:rFonts w:ascii="Times New Roman" w:eastAsia="Times New Roman" w:hAnsi="Times New Roman" w:cs="Times New Roman"/>
                <w:szCs w:val="24"/>
              </w:rPr>
              <w:lastRenderedPageBreak/>
              <w:t>świadectwo zgodności może być podpisane podpisem odbitym sposobem mechanicznym; świadectwo zgodności może być wystawione w postaci elektronicznej i wówczas powinno zostać przekazane do ewidencji,  z uwzględnieniem pkt 3a;</w:t>
            </w:r>
          </w:p>
          <w:p w14:paraId="069AD28D" w14:textId="77777777" w:rsidR="0074230D" w:rsidRPr="00FB76A9" w:rsidRDefault="0074230D" w:rsidP="00FD5CD5">
            <w:pPr>
              <w:pStyle w:val="ZARTzmartartykuempunktem"/>
              <w:spacing w:line="240" w:lineRule="auto"/>
              <w:ind w:left="0" w:firstLine="0"/>
              <w:jc w:val="left"/>
              <w:rPr>
                <w:rFonts w:ascii="Times New Roman" w:eastAsia="Times New Roman" w:hAnsi="Times New Roman" w:cs="Times New Roman"/>
                <w:szCs w:val="24"/>
              </w:rPr>
            </w:pPr>
            <w:r w:rsidRPr="00FB76A9">
              <w:rPr>
                <w:rFonts w:ascii="Times New Roman" w:eastAsia="Times New Roman" w:hAnsi="Times New Roman" w:cs="Times New Roman"/>
                <w:szCs w:val="24"/>
              </w:rPr>
              <w:t>3) wystawić w postaci papierowej oświadczenie zawierające dane i informacje o pojeździe niezbędne do rejestracji i ewidencji pojazdu, zgodnie ze wzorem określonym w przepisach wydanych na podstawie art. 54 ust. 1 lub art. 55 ust. 1; oświadczenie może być podpisane podpisem odbitym sposobem mechanicznym i może je wystawić w imieniu producenta pojazdu importer, dystrybutor lub przedstawiciel producenta; oświadczenie może być wystawione w postaci elektronicznej i wówczas powinno zostać przekazane do ewidencji, z uwzględnieniem pkt 3a;”,</w:t>
            </w:r>
          </w:p>
          <w:p w14:paraId="7C8C2D15" w14:textId="77777777" w:rsidR="007E23C4" w:rsidRPr="00FB76A9" w:rsidRDefault="0074230D" w:rsidP="00FD5CD5">
            <w:pPr>
              <w:spacing w:after="0" w:line="240" w:lineRule="auto"/>
              <w:rPr>
                <w:rFonts w:ascii="Times New Roman" w:eastAsia="Times New Roman" w:hAnsi="Times New Roman" w:cs="Times New Roman"/>
                <w:sz w:val="24"/>
                <w:szCs w:val="24"/>
              </w:rPr>
            </w:pPr>
            <w:r w:rsidRPr="00FB76A9">
              <w:rPr>
                <w:rFonts w:ascii="Times New Roman" w:eastAsia="Times New Roman" w:hAnsi="Times New Roman" w:cs="Times New Roman"/>
                <w:sz w:val="24"/>
                <w:szCs w:val="24"/>
              </w:rPr>
              <w:t xml:space="preserve">3a) wystawić w postaci elektronicznej świadectwo zgodności oraz oświadczenie, o którym mowa w pkt 3 do każdego pojazdu kategorii M, N, O, na którego typ Dyrektor TDT wydał świadectwo homologacji typu UE pojazdu i przekazać do ewidencji zgodnie z przepisami rozporządzenia wykonawczego Komisji (UE) 2021/133 z dnia 4 lutego 2021 r. w sprawie wykonania rozporządzenia Parlamentu Europejskiego i Rady (UE) 2018/858 w odniesieniu do podstawowego formatu, struktury i środków wymiany danych dotyczących świadectw zgodności w formacie </w:t>
            </w:r>
            <w:r w:rsidRPr="00FB76A9">
              <w:rPr>
                <w:rFonts w:ascii="Times New Roman" w:eastAsia="Times New Roman" w:hAnsi="Times New Roman" w:cs="Times New Roman"/>
                <w:sz w:val="24"/>
                <w:szCs w:val="24"/>
              </w:rPr>
              <w:lastRenderedPageBreak/>
              <w:t xml:space="preserve">elektronicznym (Dz. Urz. UE L 42 z 05.02.2021, str. 1, z późn. zm. ). </w:t>
            </w:r>
          </w:p>
          <w:p w14:paraId="28AA71DF" w14:textId="77777777" w:rsidR="00F91BE6" w:rsidRPr="00FB76A9" w:rsidRDefault="0074230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rPr>
              <w:t>W imieniu producenta pojazdu oświadczenie w postaci elektronicznej może być wystawione przez importera, dystrybutora lub przedstawiciela producenta. Przepisu pkt 2 i 3 w zakresie obowiązku stosowania postaci papierowej dokumentów, nie stosuje się, z wyjątkiem wystawienia duplikatu tych dokumentów w w przypadku, o którym mowa w art. 36 ust. 3 rozporządzenia 2018/858 na wniosek właściciela pojazdu lub w przypadku, o którym mowa w art. 37 ust. 10  rozporządzenia 2018/858 na wniosek organu, o którym mowa w art. 3 pkt 37 tego rozporządzenia;”</w:t>
            </w:r>
          </w:p>
          <w:p w14:paraId="2DDF3993" w14:textId="77777777" w:rsidR="00024DAA" w:rsidRPr="00FB76A9" w:rsidRDefault="003C2855" w:rsidP="00FD5CD5">
            <w:pPr>
              <w:pStyle w:val="LITlitera"/>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w:t>
            </w:r>
            <w:r w:rsidR="004F1DD9" w:rsidRPr="00FB76A9">
              <w:rPr>
                <w:rFonts w:ascii="Times New Roman" w:hAnsi="Times New Roman" w:cs="Times New Roman"/>
                <w:szCs w:val="24"/>
              </w:rPr>
              <w:t xml:space="preserve">) w </w:t>
            </w:r>
            <w:r w:rsidRPr="00FB76A9">
              <w:rPr>
                <w:rFonts w:ascii="Times New Roman" w:hAnsi="Times New Roman" w:cs="Times New Roman"/>
                <w:szCs w:val="24"/>
              </w:rPr>
              <w:t xml:space="preserve">art. 72 </w:t>
            </w:r>
            <w:r w:rsidR="004F1DD9" w:rsidRPr="00FB76A9">
              <w:rPr>
                <w:rFonts w:ascii="Times New Roman" w:hAnsi="Times New Roman" w:cs="Times New Roman"/>
                <w:szCs w:val="24"/>
              </w:rPr>
              <w:t xml:space="preserve">ust. 1 </w:t>
            </w:r>
            <w:r w:rsidR="00024DAA" w:rsidRPr="00FB76A9">
              <w:rPr>
                <w:rFonts w:ascii="Times New Roman" w:hAnsi="Times New Roman" w:cs="Times New Roman"/>
                <w:szCs w:val="24"/>
              </w:rPr>
              <w:t>otrzymuje brzmienie:</w:t>
            </w:r>
          </w:p>
          <w:p w14:paraId="67B093C4" w14:textId="77777777" w:rsidR="00024DAA" w:rsidRPr="00FB76A9" w:rsidRDefault="00024DAA" w:rsidP="00FD5CD5">
            <w:pPr>
              <w:pStyle w:val="LITlitera"/>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w:t>
            </w:r>
          </w:p>
          <w:p w14:paraId="7C21BE76" w14:textId="77777777" w:rsidR="004F1DD9" w:rsidRPr="00FB76A9" w:rsidRDefault="004F1DD9" w:rsidP="00FD5CD5">
            <w:pPr>
              <w:pStyle w:val="ZLITLITzmlitliter"/>
              <w:spacing w:line="240" w:lineRule="auto"/>
              <w:ind w:left="75" w:firstLine="0"/>
              <w:jc w:val="left"/>
              <w:rPr>
                <w:rFonts w:ascii="Times New Roman" w:hAnsi="Times New Roman" w:cs="Times New Roman"/>
                <w:szCs w:val="24"/>
              </w:rPr>
            </w:pPr>
            <w:r w:rsidRPr="00FB76A9">
              <w:rPr>
                <w:rFonts w:ascii="Times New Roman" w:hAnsi="Times New Roman" w:cs="Times New Roman"/>
                <w:szCs w:val="24"/>
              </w:rPr>
              <w:t>„c)</w:t>
            </w:r>
            <w:bookmarkStart w:id="67" w:name="_Hlk230168471"/>
            <w:r w:rsidR="00B52C69">
              <w:rPr>
                <w:rFonts w:ascii="Times New Roman" w:hAnsi="Times New Roman" w:cs="Times New Roman"/>
                <w:szCs w:val="24"/>
              </w:rPr>
              <w:t xml:space="preserve"> </w:t>
            </w:r>
            <w:r w:rsidRPr="00FB76A9">
              <w:rPr>
                <w:rFonts w:ascii="Times New Roman" w:hAnsi="Times New Roman" w:cs="Times New Roman"/>
                <w:szCs w:val="24"/>
              </w:rPr>
              <w:t xml:space="preserve">świadectwa zgodności, o którym mowa w </w:t>
            </w:r>
            <w:hyperlink w:history="1">
              <w:r w:rsidRPr="00FB76A9">
                <w:rPr>
                  <w:rFonts w:ascii="Times New Roman" w:hAnsi="Times New Roman" w:cs="Times New Roman"/>
                  <w:szCs w:val="24"/>
                </w:rPr>
                <w:t>art. 27 ust. 1 pkt 2</w:t>
              </w:r>
            </w:hyperlink>
            <w:bookmarkEnd w:id="67"/>
            <w:r w:rsidRPr="00FB76A9">
              <w:rPr>
                <w:rFonts w:ascii="Times New Roman" w:hAnsi="Times New Roman" w:cs="Times New Roman"/>
                <w:szCs w:val="24"/>
              </w:rPr>
              <w:t xml:space="preserve"> lub pkt 3a ustawy z dnia 14 kwietnia 2023 r. o systemach homologacji pojazdów oraz ich wyposażenia, wraz z oświadczeniem zawierającym dane i informacje o pojeździe niezbędne do rejestracji i ewidencji pojazdu,”,”</w:t>
            </w:r>
          </w:p>
          <w:p w14:paraId="3594A32A" w14:textId="77777777" w:rsidR="004F1DD9" w:rsidRPr="00FB76A9" w:rsidRDefault="004F1DD9" w:rsidP="00FD5CD5">
            <w:pPr>
              <w:pStyle w:val="ZLITLITzmlitliter"/>
              <w:spacing w:line="240" w:lineRule="auto"/>
              <w:ind w:left="350" w:firstLine="0"/>
              <w:jc w:val="left"/>
              <w:rPr>
                <w:rFonts w:ascii="Times New Roman" w:hAnsi="Times New Roman" w:cs="Times New Roman"/>
                <w:szCs w:val="24"/>
              </w:rPr>
            </w:pPr>
          </w:p>
          <w:p w14:paraId="2244441F" w14:textId="77777777" w:rsidR="007E23C4" w:rsidRPr="00FB76A9" w:rsidRDefault="007E23C4" w:rsidP="00FD5CD5">
            <w:pPr>
              <w:pStyle w:val="PKTpunkt"/>
              <w:keepNext/>
              <w:spacing w:line="240" w:lineRule="auto"/>
              <w:jc w:val="left"/>
              <w:rPr>
                <w:rFonts w:ascii="Times New Roman" w:hAnsi="Times New Roman" w:cs="Times New Roman"/>
                <w:szCs w:val="24"/>
              </w:rPr>
            </w:pPr>
            <w:r w:rsidRPr="00FB76A9">
              <w:rPr>
                <w:rFonts w:ascii="Times New Roman" w:hAnsi="Times New Roman" w:cs="Times New Roman"/>
                <w:szCs w:val="24"/>
              </w:rPr>
              <w:t>po art. 72a dodaje się art. 72b w brzmieniu:</w:t>
            </w:r>
          </w:p>
          <w:p w14:paraId="2FF62624" w14:textId="77777777" w:rsidR="00024DAA" w:rsidRPr="00FB76A9" w:rsidRDefault="007E23C4" w:rsidP="00FD5CD5">
            <w:pPr>
              <w:pStyle w:val="PKTpunkt"/>
              <w:keepNext/>
              <w:spacing w:line="240" w:lineRule="auto"/>
              <w:ind w:left="75" w:hanging="142"/>
              <w:jc w:val="left"/>
              <w:rPr>
                <w:rFonts w:ascii="Times New Roman" w:hAnsi="Times New Roman" w:cs="Times New Roman"/>
                <w:szCs w:val="24"/>
              </w:rPr>
            </w:pPr>
            <w:r w:rsidRPr="00FB76A9">
              <w:rPr>
                <w:rFonts w:ascii="Times New Roman" w:hAnsi="Times New Roman" w:cs="Times New Roman"/>
                <w:szCs w:val="24"/>
              </w:rPr>
              <w:t>„</w:t>
            </w:r>
            <w:r w:rsidR="00024DAA" w:rsidRPr="00FB76A9">
              <w:rPr>
                <w:rFonts w:ascii="Times New Roman" w:hAnsi="Times New Roman" w:cs="Times New Roman"/>
                <w:szCs w:val="24"/>
              </w:rPr>
              <w:t xml:space="preserve">Art. 72b.1. W przypadku gdy świadectwo zgodności i oświadczenie zawierające dane i informacje o pojeździe niezbędne do rejestracji i ewidencji pojazdu, o których mowa w art. 72 ust. 1 pkt 2 lit. c, zostały wystawione przez producenta pojazdu w postaci elektronicznej, na podstawie </w:t>
            </w:r>
            <w:r w:rsidR="00024DAA" w:rsidRPr="00FB76A9">
              <w:rPr>
                <w:rFonts w:ascii="Times New Roman" w:hAnsi="Times New Roman" w:cs="Times New Roman"/>
                <w:szCs w:val="24"/>
              </w:rPr>
              <w:lastRenderedPageBreak/>
              <w:t>świadectwa homologacji typu UE pojazdu albo świadectwa krajowej homologacji typu pojazdów produkowanych w małych seriach, wydanego przez Dyrektora Transportowego Dozoru Technicznego i są one dostępne w centralnej ewidencji pojazdów organ rejestrujący uznaje je na potrzeby rejestracji pojazdu.</w:t>
            </w:r>
          </w:p>
          <w:p w14:paraId="1121F47E" w14:textId="77777777" w:rsidR="004F1DD9" w:rsidRPr="00FB76A9" w:rsidRDefault="00024DAA"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2. W przypadku gdy świadectwo zgodności, o którym mowa w art. 72 ust. 1 pkt 2 lit. c, zostało wystawione przez producenta pojazdu w postaci elektronicznej, na podstawie świadectwa homologacji typu UE pojazdu wydanego przez inny niż Dyrektor Transportowego Dozoru Technicznego właściwy organ państwa członkowskiego Unii Europejskiej, organ rejestrujący występuje z zapytaniem o udostępnienie tego świadectwa zgodności, za pośrednictwem krajowego punktu dostępu, o którym mowa w art. 80aa ust. 1, a po otrzymaniu tego świadectwa uznaje je na potrzeby rejestracji pojazdu. Na potrzeby rejestracji uznaje się również oświadczenie wystawione w postaci elektronicznej przez producenta, przedstawiciela producenta lub importera tego pojazdu, jeżeli jest dostępne w centralnej ewidencji pojazdów</w:t>
            </w:r>
            <w:r w:rsidR="007E23C4" w:rsidRPr="00FB76A9">
              <w:rPr>
                <w:rFonts w:ascii="Times New Roman" w:hAnsi="Times New Roman" w:cs="Times New Roman"/>
                <w:szCs w:val="24"/>
              </w:rPr>
              <w:t>.”;</w:t>
            </w:r>
          </w:p>
          <w:p w14:paraId="5EAD4F34" w14:textId="77777777" w:rsidR="004F1DD9" w:rsidRPr="00FB76A9" w:rsidRDefault="004F1DD9" w:rsidP="00FD5CD5">
            <w:pPr>
              <w:pStyle w:val="ZUSTzmustartykuempunktem"/>
              <w:spacing w:line="240" w:lineRule="auto"/>
              <w:ind w:left="0" w:firstLine="0"/>
              <w:jc w:val="left"/>
              <w:rPr>
                <w:rFonts w:ascii="Times New Roman" w:hAnsi="Times New Roman" w:cs="Times New Roman"/>
                <w:szCs w:val="24"/>
              </w:rPr>
            </w:pPr>
          </w:p>
          <w:p w14:paraId="39C45808" w14:textId="77777777" w:rsidR="008C31AE" w:rsidRPr="00FB76A9" w:rsidRDefault="004F1DD9" w:rsidP="00FD5CD5">
            <w:pPr>
              <w:pStyle w:val="PKTpunkt"/>
              <w:keepNext/>
              <w:spacing w:line="240" w:lineRule="auto"/>
              <w:jc w:val="left"/>
              <w:rPr>
                <w:rFonts w:ascii="Times New Roman" w:hAnsi="Times New Roman" w:cs="Times New Roman"/>
                <w:szCs w:val="24"/>
              </w:rPr>
            </w:pPr>
            <w:r w:rsidRPr="00FB76A9">
              <w:rPr>
                <w:rFonts w:ascii="Times New Roman" w:hAnsi="Times New Roman" w:cs="Times New Roman"/>
                <w:szCs w:val="24"/>
              </w:rPr>
              <w:t>„</w:t>
            </w:r>
            <w:r w:rsidR="008C31AE" w:rsidRPr="00FB76A9">
              <w:rPr>
                <w:rFonts w:ascii="Times New Roman" w:hAnsi="Times New Roman" w:cs="Times New Roman"/>
                <w:szCs w:val="24"/>
              </w:rPr>
              <w:t>14)</w:t>
            </w:r>
            <w:r w:rsidR="008C31AE" w:rsidRPr="00FB76A9">
              <w:rPr>
                <w:rFonts w:ascii="Times New Roman" w:hAnsi="Times New Roman" w:cs="Times New Roman"/>
                <w:szCs w:val="24"/>
              </w:rPr>
              <w:tab/>
              <w:t xml:space="preserve">w art. 80a w ust. 2 w pkt 3 w literze d kropkę zastępuje się przecinkiem i dodaje się lit. e </w:t>
            </w:r>
            <w:r w:rsidR="00865686" w:rsidRPr="00FB76A9">
              <w:rPr>
                <w:rFonts w:ascii="Times New Roman" w:hAnsi="Times New Roman" w:cs="Times New Roman"/>
                <w:szCs w:val="24"/>
              </w:rPr>
              <w:t>-g</w:t>
            </w:r>
            <w:r w:rsidR="008C31AE" w:rsidRPr="00FB76A9">
              <w:rPr>
                <w:rFonts w:ascii="Times New Roman" w:hAnsi="Times New Roman" w:cs="Times New Roman"/>
                <w:szCs w:val="24"/>
              </w:rPr>
              <w:t xml:space="preserve"> w brzmieniu:</w:t>
            </w:r>
          </w:p>
          <w:p w14:paraId="3C71F217" w14:textId="77777777" w:rsidR="008C31AE" w:rsidRPr="00FB76A9" w:rsidRDefault="008C31AE" w:rsidP="00FD5CD5">
            <w:pPr>
              <w:pStyle w:val="PKTpunkt"/>
              <w:keepNext/>
              <w:spacing w:line="240" w:lineRule="auto"/>
              <w:jc w:val="left"/>
              <w:rPr>
                <w:rFonts w:ascii="Times New Roman" w:hAnsi="Times New Roman" w:cs="Times New Roman"/>
                <w:szCs w:val="24"/>
              </w:rPr>
            </w:pPr>
            <w:r w:rsidRPr="00FB76A9">
              <w:rPr>
                <w:rFonts w:ascii="Times New Roman" w:hAnsi="Times New Roman" w:cs="Times New Roman"/>
                <w:szCs w:val="24"/>
              </w:rPr>
              <w:t>„e)</w:t>
            </w:r>
            <w:r w:rsidRPr="00FB76A9">
              <w:rPr>
                <w:rFonts w:ascii="Times New Roman" w:hAnsi="Times New Roman" w:cs="Times New Roman"/>
                <w:szCs w:val="24"/>
              </w:rPr>
              <w:tab/>
              <w:t>wystawiono świadectwo zgodności w postaci elektronicznej, o którym mowa w art. 72 ust. 1 pkt 2 lit. c ustawy,</w:t>
            </w:r>
          </w:p>
          <w:p w14:paraId="7A612542" w14:textId="77777777" w:rsidR="008C31AE" w:rsidRPr="00FB76A9" w:rsidRDefault="008C31AE" w:rsidP="00FD5CD5">
            <w:pPr>
              <w:pStyle w:val="PKTpunkt"/>
              <w:keepNext/>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f)</w:t>
            </w:r>
            <w:r w:rsidRPr="00FB76A9">
              <w:rPr>
                <w:rFonts w:ascii="Times New Roman" w:hAnsi="Times New Roman" w:cs="Times New Roman"/>
                <w:szCs w:val="24"/>
              </w:rPr>
              <w:tab/>
              <w:t xml:space="preserve">wystawiono oświadczenie w postaci elektronicznej zawierające dane i informacje o pojeździe niezbędne do rejestracji i ewidencji pojazdu, o którym mowa w art. 72 ust. 1 pkt 2 lit. c ustawy, </w:t>
            </w:r>
          </w:p>
          <w:p w14:paraId="7BDF4B0F" w14:textId="77777777" w:rsidR="004F1DD9" w:rsidRPr="00FB76A9" w:rsidRDefault="008C31AE" w:rsidP="00FD5CD5">
            <w:pPr>
              <w:pStyle w:val="ZLITLITzmlitliter"/>
              <w:spacing w:line="240" w:lineRule="auto"/>
              <w:ind w:left="493"/>
              <w:jc w:val="left"/>
              <w:rPr>
                <w:rFonts w:ascii="Times New Roman" w:hAnsi="Times New Roman" w:cs="Times New Roman"/>
                <w:szCs w:val="24"/>
              </w:rPr>
            </w:pPr>
            <w:r w:rsidRPr="00FB76A9">
              <w:rPr>
                <w:rFonts w:ascii="Times New Roman" w:hAnsi="Times New Roman" w:cs="Times New Roman"/>
                <w:szCs w:val="24"/>
              </w:rPr>
              <w:t>g)</w:t>
            </w:r>
            <w:r w:rsidRPr="00FB76A9">
              <w:rPr>
                <w:rFonts w:ascii="Times New Roman" w:hAnsi="Times New Roman" w:cs="Times New Roman"/>
                <w:szCs w:val="24"/>
              </w:rPr>
              <w:tab/>
              <w:t>przeprowadzono procedurę uzyskania świadectwa krajowego indywidualnego dopuszczenia pojazdu niebędącego nowym pojazdem.”;</w:t>
            </w:r>
            <w:r w:rsidR="004F1DD9" w:rsidRPr="00FB76A9">
              <w:rPr>
                <w:rFonts w:ascii="Times New Roman" w:hAnsi="Times New Roman" w:cs="Times New Roman"/>
                <w:szCs w:val="24"/>
              </w:rPr>
              <w:t>”</w:t>
            </w:r>
          </w:p>
          <w:p w14:paraId="404F88D8" w14:textId="77777777" w:rsidR="004F1DD9" w:rsidRPr="00FB76A9" w:rsidRDefault="004F1DD9" w:rsidP="00FD5CD5">
            <w:pPr>
              <w:pStyle w:val="ARTartustawynprozporzdzenia"/>
              <w:spacing w:before="0" w:line="240" w:lineRule="auto"/>
              <w:ind w:firstLine="0"/>
              <w:jc w:val="left"/>
              <w:rPr>
                <w:rStyle w:val="Ppogrubienie"/>
                <w:rFonts w:ascii="Times New Roman" w:hAnsi="Times New Roman" w:cs="Times New Roman"/>
                <w:b w:val="0"/>
                <w:szCs w:val="24"/>
              </w:rPr>
            </w:pPr>
          </w:p>
          <w:p w14:paraId="46418CD4" w14:textId="77777777" w:rsidR="008C31AE" w:rsidRPr="00FB76A9" w:rsidRDefault="004F1DD9" w:rsidP="00FD5CD5">
            <w:pPr>
              <w:pStyle w:val="PKTpunkt"/>
              <w:keepNext/>
              <w:spacing w:line="240" w:lineRule="auto"/>
              <w:jc w:val="left"/>
              <w:rPr>
                <w:rFonts w:ascii="Times New Roman" w:hAnsi="Times New Roman" w:cs="Times New Roman"/>
                <w:szCs w:val="24"/>
              </w:rPr>
            </w:pPr>
            <w:r w:rsidRPr="00FB76A9">
              <w:rPr>
                <w:rFonts w:ascii="Times New Roman" w:hAnsi="Times New Roman" w:cs="Times New Roman"/>
                <w:szCs w:val="24"/>
              </w:rPr>
              <w:t>1</w:t>
            </w:r>
            <w:r w:rsidR="008C31AE" w:rsidRPr="00FB76A9">
              <w:rPr>
                <w:rFonts w:ascii="Times New Roman" w:hAnsi="Times New Roman" w:cs="Times New Roman"/>
                <w:szCs w:val="24"/>
              </w:rPr>
              <w:t>6</w:t>
            </w:r>
            <w:r w:rsidRPr="00FB76A9">
              <w:rPr>
                <w:rFonts w:ascii="Times New Roman" w:hAnsi="Times New Roman" w:cs="Times New Roman"/>
                <w:szCs w:val="24"/>
              </w:rPr>
              <w:t xml:space="preserve">) </w:t>
            </w:r>
            <w:r w:rsidR="008C31AE" w:rsidRPr="00FB76A9">
              <w:rPr>
                <w:rFonts w:ascii="Times New Roman" w:hAnsi="Times New Roman" w:cs="Times New Roman"/>
                <w:szCs w:val="24"/>
              </w:rPr>
              <w:t>w art. 80b:</w:t>
            </w:r>
          </w:p>
          <w:p w14:paraId="5BC469FF" w14:textId="77777777" w:rsidR="008C31AE" w:rsidRPr="00FB76A9" w:rsidRDefault="008C31AE" w:rsidP="00FD5CD5">
            <w:pPr>
              <w:pStyle w:val="PKTpunkt"/>
              <w:keepNext/>
              <w:spacing w:line="240" w:lineRule="auto"/>
              <w:jc w:val="left"/>
              <w:rPr>
                <w:rFonts w:ascii="Times New Roman" w:hAnsi="Times New Roman" w:cs="Times New Roman"/>
                <w:szCs w:val="24"/>
              </w:rPr>
            </w:pPr>
            <w:r w:rsidRPr="00FB76A9">
              <w:rPr>
                <w:rFonts w:ascii="Times New Roman" w:hAnsi="Times New Roman" w:cs="Times New Roman"/>
                <w:szCs w:val="24"/>
              </w:rPr>
              <w:t>a) w ust. 1 po pkt 18 dodaje się pkt 18a-18d w brzmieniu:</w:t>
            </w:r>
          </w:p>
          <w:p w14:paraId="19233255" w14:textId="77777777" w:rsidR="008C31AE" w:rsidRPr="00FB76A9" w:rsidRDefault="008C31AE" w:rsidP="00FD5CD5">
            <w:pPr>
              <w:pStyle w:val="PKTpunkt"/>
              <w:keepNext/>
              <w:spacing w:line="240" w:lineRule="auto"/>
              <w:jc w:val="left"/>
              <w:rPr>
                <w:rFonts w:ascii="Times New Roman" w:hAnsi="Times New Roman" w:cs="Times New Roman"/>
                <w:szCs w:val="24"/>
              </w:rPr>
            </w:pPr>
            <w:r w:rsidRPr="00FB76A9">
              <w:rPr>
                <w:rFonts w:ascii="Times New Roman" w:hAnsi="Times New Roman" w:cs="Times New Roman"/>
                <w:szCs w:val="24"/>
              </w:rPr>
              <w:t>„18a)</w:t>
            </w:r>
            <w:r w:rsidRPr="00FB76A9">
              <w:rPr>
                <w:rFonts w:ascii="Times New Roman" w:hAnsi="Times New Roman" w:cs="Times New Roman"/>
                <w:szCs w:val="24"/>
              </w:rPr>
              <w:tab/>
              <w:t>o świadectwach zgodności w postaci elektronicznej oraz, o których mowa w art. 72 ust. 1 pkt 2 lit. c;</w:t>
            </w:r>
          </w:p>
          <w:p w14:paraId="764EA06C" w14:textId="77777777" w:rsidR="008C31AE" w:rsidRPr="00FB76A9" w:rsidRDefault="008C31AE" w:rsidP="00FD5CD5">
            <w:pPr>
              <w:pStyle w:val="PKTpunkt"/>
              <w:keepNext/>
              <w:spacing w:line="240" w:lineRule="auto"/>
              <w:jc w:val="left"/>
              <w:rPr>
                <w:rFonts w:ascii="Times New Roman" w:hAnsi="Times New Roman" w:cs="Times New Roman"/>
                <w:szCs w:val="24"/>
              </w:rPr>
            </w:pPr>
            <w:r w:rsidRPr="00FB76A9">
              <w:rPr>
                <w:rFonts w:ascii="Times New Roman" w:hAnsi="Times New Roman" w:cs="Times New Roman"/>
                <w:szCs w:val="24"/>
              </w:rPr>
              <w:t>18b)</w:t>
            </w:r>
            <w:r w:rsidRPr="00FB76A9">
              <w:rPr>
                <w:rFonts w:ascii="Times New Roman" w:hAnsi="Times New Roman" w:cs="Times New Roman"/>
                <w:szCs w:val="24"/>
              </w:rPr>
              <w:tab/>
              <w:t>o oświadczeniach producenta zawierających dane i informacje o pojeździe niezbędne do rejestracji i ewidencji pojazdu;</w:t>
            </w:r>
          </w:p>
          <w:p w14:paraId="416D3C41" w14:textId="77777777" w:rsidR="008C31AE" w:rsidRPr="00FB76A9" w:rsidRDefault="008C31AE" w:rsidP="00FD5CD5">
            <w:pPr>
              <w:pStyle w:val="PKTpunkt"/>
              <w:keepNext/>
              <w:spacing w:line="240" w:lineRule="auto"/>
              <w:jc w:val="left"/>
              <w:rPr>
                <w:rFonts w:ascii="Times New Roman" w:hAnsi="Times New Roman" w:cs="Times New Roman"/>
                <w:szCs w:val="24"/>
              </w:rPr>
            </w:pPr>
            <w:r w:rsidRPr="00FB76A9">
              <w:rPr>
                <w:rFonts w:ascii="Times New Roman" w:hAnsi="Times New Roman" w:cs="Times New Roman"/>
                <w:szCs w:val="24"/>
              </w:rPr>
              <w:t>18c)</w:t>
            </w:r>
            <w:r w:rsidRPr="00FB76A9">
              <w:rPr>
                <w:rFonts w:ascii="Times New Roman" w:hAnsi="Times New Roman" w:cs="Times New Roman"/>
                <w:szCs w:val="24"/>
              </w:rPr>
              <w:tab/>
              <w:t>o decyzjach o wycofaniu pojazdu z rynku lub użytku, o których mowa w art. 53b ust. 1 lub ust. 3 ustawy z dnia 14 kwietnia 2023 r. o systemach homologacji pojazdów oraz ich wyposażenia;</w:t>
            </w:r>
          </w:p>
          <w:p w14:paraId="16AD6E8B" w14:textId="77777777" w:rsidR="008C31AE" w:rsidRPr="00FB76A9" w:rsidRDefault="008C31AE" w:rsidP="00FD5CD5">
            <w:pPr>
              <w:pStyle w:val="PKTpunkt"/>
              <w:keepNext/>
              <w:spacing w:line="240" w:lineRule="auto"/>
              <w:jc w:val="left"/>
              <w:rPr>
                <w:rFonts w:ascii="Times New Roman" w:hAnsi="Times New Roman" w:cs="Times New Roman"/>
                <w:szCs w:val="24"/>
              </w:rPr>
            </w:pPr>
            <w:r w:rsidRPr="00FB76A9">
              <w:rPr>
                <w:rFonts w:ascii="Times New Roman" w:hAnsi="Times New Roman" w:cs="Times New Roman"/>
                <w:szCs w:val="24"/>
              </w:rPr>
              <w:t>18d) o wydanych lub cofniętych świadectwach krajowego indywidualnego dopuszczenia pojazdu niebędącego nowym pojazdem albo wydanych zaświadczeniach o braku spełnienia wymagań do wydania świadectwa krajowego indywidualnego dopuszczenia pojazdu niebędącego nowym pojazdem;</w:t>
            </w:r>
          </w:p>
          <w:p w14:paraId="167697AD" w14:textId="77777777" w:rsidR="008C31AE" w:rsidRPr="00FB76A9" w:rsidRDefault="008C31AE" w:rsidP="00FD5CD5">
            <w:pPr>
              <w:pStyle w:val="PKTpunkt"/>
              <w:keepNext/>
              <w:spacing w:line="240" w:lineRule="auto"/>
              <w:jc w:val="left"/>
              <w:rPr>
                <w:rFonts w:ascii="Times New Roman" w:hAnsi="Times New Roman" w:cs="Times New Roman"/>
                <w:szCs w:val="24"/>
              </w:rPr>
            </w:pPr>
            <w:r w:rsidRPr="00FB76A9">
              <w:rPr>
                <w:rFonts w:ascii="Times New Roman" w:hAnsi="Times New Roman" w:cs="Times New Roman"/>
                <w:szCs w:val="24"/>
              </w:rPr>
              <w:t>b) ust. 2 otrzymuje brzmienie:</w:t>
            </w:r>
          </w:p>
          <w:p w14:paraId="5EA57EC5" w14:textId="77777777" w:rsidR="004F1DD9" w:rsidRPr="00FB76A9" w:rsidRDefault="008C31AE" w:rsidP="00FD5CD5">
            <w:pPr>
              <w:pStyle w:val="ZTIRPKTzmpkttiret"/>
              <w:spacing w:line="240" w:lineRule="auto"/>
              <w:ind w:left="209" w:firstLine="0"/>
              <w:jc w:val="left"/>
              <w:rPr>
                <w:rFonts w:ascii="Times New Roman" w:hAnsi="Times New Roman" w:cs="Times New Roman"/>
                <w:szCs w:val="24"/>
              </w:rPr>
            </w:pPr>
            <w:r w:rsidRPr="00FB76A9">
              <w:rPr>
                <w:rFonts w:ascii="Times New Roman" w:hAnsi="Times New Roman" w:cs="Times New Roman"/>
                <w:szCs w:val="24"/>
              </w:rPr>
              <w:lastRenderedPageBreak/>
              <w:t>„2. Minister właściwy do spraw informatyzacji określi, w drodze rozporządzenia, szczegółowy katalog gromadzonych w ewidencji danych, o których mowa w ust. 1 pkt 6 lit. e i f, pkt 7 lit. a, pkt 8–18d i 20–23, przekazywanych przez podmioty, o których mowa w art. 80ba ust. 1, oraz uzupełnianych automatycznie przez system teleinformatyczny obsługujący ewidencję, mając na względzie użyteczność oraz proporcjonalność zakresu i rodzaju przetwarzanych danych, a także obowiązek monitorowania i sprawozdawczości w odniesieniu do emisji CO2.”</w:t>
            </w:r>
          </w:p>
          <w:p w14:paraId="0DFD2AE1" w14:textId="77777777" w:rsidR="00367D70" w:rsidRPr="00FB76A9" w:rsidRDefault="00A94E49" w:rsidP="00FD5CD5">
            <w:pPr>
              <w:pStyle w:val="PKTpunkt"/>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1</w:t>
            </w:r>
            <w:r w:rsidR="00367D70" w:rsidRPr="00FB76A9">
              <w:rPr>
                <w:rFonts w:ascii="Times New Roman" w:hAnsi="Times New Roman" w:cs="Times New Roman"/>
                <w:szCs w:val="24"/>
              </w:rPr>
              <w:t>7</w:t>
            </w:r>
            <w:r w:rsidRPr="00FB76A9">
              <w:rPr>
                <w:rFonts w:ascii="Times New Roman" w:hAnsi="Times New Roman" w:cs="Times New Roman"/>
                <w:szCs w:val="24"/>
              </w:rPr>
              <w:t>) w art. 80ba:</w:t>
            </w:r>
          </w:p>
          <w:p w14:paraId="4462AF03" w14:textId="77777777" w:rsidR="00367D70" w:rsidRPr="00FB76A9" w:rsidRDefault="00367D70" w:rsidP="00FD5CD5">
            <w:pPr>
              <w:pStyle w:val="LITlitera"/>
              <w:keepNext/>
              <w:spacing w:line="240" w:lineRule="auto"/>
              <w:ind w:left="358" w:hanging="142"/>
              <w:jc w:val="left"/>
              <w:rPr>
                <w:rFonts w:ascii="Times New Roman" w:hAnsi="Times New Roman" w:cs="Times New Roman"/>
                <w:szCs w:val="24"/>
              </w:rPr>
            </w:pPr>
            <w:r w:rsidRPr="00FB76A9">
              <w:rPr>
                <w:rFonts w:ascii="Times New Roman" w:hAnsi="Times New Roman" w:cs="Times New Roman"/>
                <w:szCs w:val="24"/>
              </w:rPr>
              <w:t>a)</w:t>
            </w:r>
            <w:r w:rsidRPr="00FB76A9">
              <w:rPr>
                <w:rFonts w:ascii="Times New Roman" w:hAnsi="Times New Roman" w:cs="Times New Roman"/>
                <w:szCs w:val="24"/>
              </w:rPr>
              <w:tab/>
              <w:t>w ust 1:</w:t>
            </w:r>
          </w:p>
          <w:p w14:paraId="18E0E58D" w14:textId="77777777" w:rsidR="00367D70" w:rsidRPr="00FB76A9" w:rsidRDefault="00367D70" w:rsidP="00FD5CD5">
            <w:pPr>
              <w:pStyle w:val="LITlitera"/>
              <w:keepNext/>
              <w:spacing w:line="240" w:lineRule="auto"/>
              <w:ind w:left="358" w:hanging="142"/>
              <w:jc w:val="left"/>
              <w:rPr>
                <w:rFonts w:ascii="Times New Roman" w:hAnsi="Times New Roman" w:cs="Times New Roman"/>
                <w:szCs w:val="24"/>
              </w:rPr>
            </w:pPr>
            <w:r w:rsidRPr="00FB76A9">
              <w:rPr>
                <w:rFonts w:ascii="Times New Roman" w:hAnsi="Times New Roman" w:cs="Times New Roman"/>
                <w:szCs w:val="24"/>
              </w:rPr>
              <w:t>–</w:t>
            </w:r>
            <w:r w:rsidRPr="00FB76A9">
              <w:rPr>
                <w:rFonts w:ascii="Times New Roman" w:hAnsi="Times New Roman" w:cs="Times New Roman"/>
                <w:szCs w:val="24"/>
              </w:rPr>
              <w:tab/>
              <w:t>pkt 6 otrzymuje brzmienie:</w:t>
            </w:r>
          </w:p>
          <w:p w14:paraId="06D31570" w14:textId="77777777" w:rsidR="00367D70" w:rsidRPr="00FB76A9" w:rsidRDefault="00367D70" w:rsidP="00FD5CD5">
            <w:pPr>
              <w:pStyle w:val="LITlitera"/>
              <w:keepNext/>
              <w:spacing w:line="240" w:lineRule="auto"/>
              <w:ind w:left="358" w:hanging="142"/>
              <w:jc w:val="left"/>
              <w:rPr>
                <w:rFonts w:ascii="Times New Roman" w:hAnsi="Times New Roman" w:cs="Times New Roman"/>
                <w:szCs w:val="24"/>
              </w:rPr>
            </w:pPr>
            <w:r w:rsidRPr="00FB76A9">
              <w:rPr>
                <w:rFonts w:ascii="Times New Roman" w:hAnsi="Times New Roman" w:cs="Times New Roman"/>
                <w:szCs w:val="24"/>
              </w:rPr>
              <w:t>„6)</w:t>
            </w:r>
            <w:r w:rsidRPr="00FB76A9">
              <w:rPr>
                <w:rFonts w:ascii="Times New Roman" w:hAnsi="Times New Roman" w:cs="Times New Roman"/>
                <w:szCs w:val="24"/>
              </w:rPr>
              <w:tab/>
              <w:t xml:space="preserve"> przez stacje kontroli pojazdów – z wyłączeniem pojazdów, o których mowa w art. 73 ust. 3 – w zakresie danych, o których mowa w art. 80b ust. 1 pkt 10, 15 i 21, w przypadku przeprowadzania badania technicznego lub dokonania odczytu drogomierza pojazdu niezarejestrowanego – także pkt 1 i 13 oraz w zakresie danych, o których mowa w pkt 18d;</w:t>
            </w:r>
          </w:p>
          <w:p w14:paraId="6AEA1A8A" w14:textId="77777777" w:rsidR="00367D70" w:rsidRPr="00FB76A9" w:rsidRDefault="00367D70" w:rsidP="00FD5CD5">
            <w:pPr>
              <w:pStyle w:val="LITlitera"/>
              <w:keepNext/>
              <w:spacing w:line="240" w:lineRule="auto"/>
              <w:ind w:left="358" w:hanging="142"/>
              <w:jc w:val="left"/>
              <w:rPr>
                <w:rFonts w:ascii="Times New Roman" w:hAnsi="Times New Roman" w:cs="Times New Roman"/>
                <w:szCs w:val="24"/>
              </w:rPr>
            </w:pPr>
            <w:r w:rsidRPr="00FB76A9">
              <w:rPr>
                <w:rFonts w:ascii="Times New Roman" w:hAnsi="Times New Roman" w:cs="Times New Roman"/>
                <w:szCs w:val="24"/>
              </w:rPr>
              <w:t xml:space="preserve">– pkt 10 otrzymuje brzmienie: </w:t>
            </w:r>
          </w:p>
          <w:p w14:paraId="32090A75" w14:textId="77777777" w:rsidR="00367D70" w:rsidRPr="00FB76A9" w:rsidRDefault="00367D70" w:rsidP="00FD5CD5">
            <w:pPr>
              <w:pStyle w:val="LITlitera"/>
              <w:keepNext/>
              <w:spacing w:line="240" w:lineRule="auto"/>
              <w:ind w:left="358" w:hanging="142"/>
              <w:jc w:val="left"/>
              <w:rPr>
                <w:rFonts w:ascii="Times New Roman" w:hAnsi="Times New Roman" w:cs="Times New Roman"/>
                <w:szCs w:val="24"/>
              </w:rPr>
            </w:pPr>
            <w:r w:rsidRPr="00FB76A9">
              <w:rPr>
                <w:rFonts w:ascii="Times New Roman" w:hAnsi="Times New Roman" w:cs="Times New Roman"/>
                <w:szCs w:val="24"/>
              </w:rPr>
              <w:t xml:space="preserve">„10) przez Dyrektora Transportowego Dozoru Technicznego – w zakresie danych, o których mowa w art. 80b ust. 1 pkt 18a-18c, pkt 18d, pkt 21a, dodatkowo w przypadku wydania zezwolenia na odstępstwo od warunków technicznych, jakim powinien odpowiadać pojazd, o którym mowa w pkt 21a, dla pojazdu </w:t>
            </w:r>
            <w:r w:rsidRPr="00FB76A9">
              <w:rPr>
                <w:rFonts w:ascii="Times New Roman" w:hAnsi="Times New Roman" w:cs="Times New Roman"/>
                <w:szCs w:val="24"/>
              </w:rPr>
              <w:lastRenderedPageBreak/>
              <w:t>niezarejestrowanego – także w zakresie danych, o których mowa w art. 80b ust. 1 pkt 1 lit. a i pkt 13.”;</w:t>
            </w:r>
          </w:p>
          <w:p w14:paraId="1FE2FAC1" w14:textId="77777777" w:rsidR="00367D70" w:rsidRPr="00FB76A9" w:rsidRDefault="00367D70" w:rsidP="00FD5CD5">
            <w:pPr>
              <w:pStyle w:val="LITlitera"/>
              <w:keepNext/>
              <w:spacing w:line="240" w:lineRule="auto"/>
              <w:ind w:left="358" w:hanging="142"/>
              <w:jc w:val="left"/>
              <w:rPr>
                <w:rFonts w:ascii="Times New Roman" w:hAnsi="Times New Roman" w:cs="Times New Roman"/>
                <w:szCs w:val="24"/>
              </w:rPr>
            </w:pPr>
            <w:r w:rsidRPr="00FB76A9">
              <w:rPr>
                <w:rFonts w:ascii="Times New Roman" w:hAnsi="Times New Roman" w:cs="Times New Roman"/>
                <w:szCs w:val="24"/>
              </w:rPr>
              <w:t>–</w:t>
            </w:r>
            <w:r w:rsidRPr="00FB76A9">
              <w:rPr>
                <w:rFonts w:ascii="Times New Roman" w:hAnsi="Times New Roman" w:cs="Times New Roman"/>
                <w:szCs w:val="24"/>
              </w:rPr>
              <w:tab/>
              <w:t>dodaje się pkt 11–12 w brzmieniu:</w:t>
            </w:r>
          </w:p>
          <w:p w14:paraId="61BA8631" w14:textId="77777777" w:rsidR="00367D70" w:rsidRPr="00FB76A9" w:rsidRDefault="00367D70" w:rsidP="00FD5CD5">
            <w:pPr>
              <w:pStyle w:val="LITlitera"/>
              <w:keepNext/>
              <w:spacing w:line="240" w:lineRule="auto"/>
              <w:ind w:left="358" w:hanging="142"/>
              <w:jc w:val="left"/>
              <w:rPr>
                <w:rFonts w:ascii="Times New Roman" w:hAnsi="Times New Roman" w:cs="Times New Roman"/>
                <w:szCs w:val="24"/>
              </w:rPr>
            </w:pPr>
            <w:r w:rsidRPr="00FB76A9">
              <w:rPr>
                <w:rFonts w:ascii="Times New Roman" w:hAnsi="Times New Roman" w:cs="Times New Roman"/>
                <w:szCs w:val="24"/>
              </w:rPr>
              <w:t>„11)</w:t>
            </w:r>
            <w:r w:rsidRPr="00FB76A9">
              <w:rPr>
                <w:rFonts w:ascii="Times New Roman" w:hAnsi="Times New Roman" w:cs="Times New Roman"/>
                <w:szCs w:val="24"/>
              </w:rPr>
              <w:tab/>
              <w:t xml:space="preserve"> przez producentów pojazdów, w przypadku gdy świadectwo zgodności w postaci elektronicznej zostało wystawione na podstawie świadectwa homologacji typu UE pojazdu albo świadectwa krajowej homologacji typu pojazdów produkowanych w małych seriach, wydanego przez Dyrektora Transportowego Dozoru Technicznego albo przez krajowy punkt dostępu, w przypadku gdy świadectwo zgodności w postaci elektronicznej zostało wystawione na podstawie świadectwa homologacji typu UE pojazdu wydanego przez inny niż Dyrektor Transportowego Dozoru Technicznego właściwy organ państwa członkowskiego Unii Europejskiej – w zakresie danych, o których mowa w pkt 18a; </w:t>
            </w:r>
          </w:p>
          <w:p w14:paraId="4BBAFBF6" w14:textId="77777777" w:rsidR="00367D70" w:rsidRPr="00FB76A9" w:rsidRDefault="00367D70" w:rsidP="00FD5CD5">
            <w:pPr>
              <w:pStyle w:val="LITlitera"/>
              <w:keepNext/>
              <w:spacing w:line="240" w:lineRule="auto"/>
              <w:ind w:left="358" w:hanging="142"/>
              <w:jc w:val="left"/>
              <w:rPr>
                <w:rFonts w:ascii="Times New Roman" w:hAnsi="Times New Roman" w:cs="Times New Roman"/>
                <w:szCs w:val="24"/>
              </w:rPr>
            </w:pPr>
            <w:r w:rsidRPr="00FB76A9">
              <w:rPr>
                <w:rFonts w:ascii="Times New Roman" w:hAnsi="Times New Roman" w:cs="Times New Roman"/>
                <w:szCs w:val="24"/>
              </w:rPr>
              <w:t>12)</w:t>
            </w:r>
            <w:r w:rsidRPr="00FB76A9">
              <w:rPr>
                <w:rFonts w:ascii="Times New Roman" w:hAnsi="Times New Roman" w:cs="Times New Roman"/>
                <w:szCs w:val="24"/>
              </w:rPr>
              <w:tab/>
              <w:t>przez odpowiednio producenta, przedstawiciela producenta lub importera – w zakresie danych, o których mowa w pkt 18b.”;</w:t>
            </w:r>
          </w:p>
          <w:p w14:paraId="5F60F75D" w14:textId="77777777" w:rsidR="00367D70" w:rsidRPr="00FB76A9" w:rsidRDefault="00367D70" w:rsidP="00FD5CD5">
            <w:pPr>
              <w:pStyle w:val="LITlitera"/>
              <w:keepNext/>
              <w:spacing w:line="240" w:lineRule="auto"/>
              <w:jc w:val="left"/>
              <w:rPr>
                <w:rFonts w:ascii="Times New Roman" w:hAnsi="Times New Roman" w:cs="Times New Roman"/>
                <w:szCs w:val="24"/>
              </w:rPr>
            </w:pPr>
            <w:r w:rsidRPr="00FB76A9">
              <w:rPr>
                <w:rFonts w:ascii="Times New Roman" w:hAnsi="Times New Roman" w:cs="Times New Roman"/>
                <w:szCs w:val="24"/>
              </w:rPr>
              <w:t>b) ust. 1a otrzymuje brzmienie:</w:t>
            </w:r>
          </w:p>
          <w:p w14:paraId="25FE9350" w14:textId="77777777" w:rsidR="00B90467" w:rsidRPr="00B52C69" w:rsidRDefault="00367D70" w:rsidP="00FD5CD5">
            <w:pPr>
              <w:pStyle w:val="ZLITUSTzmustliter"/>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„1a. Dane, o których mowa w art. 80b ust. 1 pkt 6 lit. e i f, pkt 7 lit. a, pkt 8–18e i 20–23, mogą zawierać dodatkowo dane uzupełniane automatycznie przez system teleinformatyczny obsługujący ewidencję.”</w:t>
            </w:r>
            <w:r w:rsidR="00A94E49" w:rsidRPr="00FB76A9">
              <w:rPr>
                <w:rFonts w:ascii="Times New Roman" w:hAnsi="Times New Roman" w:cs="Times New Roman"/>
                <w:szCs w:val="24"/>
              </w:rPr>
              <w:t>;</w:t>
            </w:r>
          </w:p>
        </w:tc>
        <w:tc>
          <w:tcPr>
            <w:tcW w:w="1675" w:type="dxa"/>
          </w:tcPr>
          <w:p w14:paraId="32662673" w14:textId="77777777" w:rsidR="00B90467" w:rsidRPr="00FB76A9" w:rsidRDefault="00B90467" w:rsidP="00FD5CD5">
            <w:pPr>
              <w:spacing w:after="0" w:line="240" w:lineRule="auto"/>
              <w:rPr>
                <w:rFonts w:ascii="Times New Roman" w:eastAsia="Times New Roman" w:hAnsi="Times New Roman" w:cs="Times New Roman"/>
                <w:sz w:val="24"/>
                <w:szCs w:val="24"/>
                <w:lang w:eastAsia="pl-PL"/>
              </w:rPr>
            </w:pPr>
          </w:p>
        </w:tc>
      </w:tr>
      <w:tr w:rsidR="00B90467" w:rsidRPr="00FB76A9" w14:paraId="366E7696" w14:textId="77777777" w:rsidTr="004F4113">
        <w:trPr>
          <w:trHeight w:val="1119"/>
        </w:trPr>
        <w:tc>
          <w:tcPr>
            <w:tcW w:w="988" w:type="dxa"/>
            <w:tcBorders>
              <w:top w:val="single" w:sz="4" w:space="0" w:color="auto"/>
              <w:left w:val="single" w:sz="4" w:space="0" w:color="auto"/>
              <w:bottom w:val="single" w:sz="4" w:space="0" w:color="auto"/>
              <w:right w:val="single" w:sz="4" w:space="0" w:color="auto"/>
            </w:tcBorders>
          </w:tcPr>
          <w:p w14:paraId="42103A78" w14:textId="77777777" w:rsidR="00B90467" w:rsidRPr="00FB76A9" w:rsidRDefault="00B9050D"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lastRenderedPageBreak/>
              <w:t xml:space="preserve">Art. 37 ust. 3 </w:t>
            </w:r>
          </w:p>
        </w:tc>
        <w:tc>
          <w:tcPr>
            <w:tcW w:w="5386" w:type="dxa"/>
            <w:gridSpan w:val="2"/>
            <w:tcBorders>
              <w:top w:val="single" w:sz="4" w:space="0" w:color="auto"/>
              <w:left w:val="single" w:sz="4" w:space="0" w:color="auto"/>
              <w:bottom w:val="single" w:sz="4" w:space="0" w:color="auto"/>
              <w:right w:val="single" w:sz="4" w:space="0" w:color="auto"/>
            </w:tcBorders>
          </w:tcPr>
          <w:p w14:paraId="039FD9A6" w14:textId="77777777" w:rsidR="00B90467" w:rsidRPr="00FB76A9" w:rsidRDefault="00D769C1"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„3. Organ udzielający homologacji udostępnia świadectwo zgodności jako dane ustrukturyzowane w formacie elektronicznym określonym w aktach wykonawczych, o których mowa w ust. 8, tak by do świadectwo zgodności miały dostęp organy udzielające homologacji, organy nadzoru rynku i organy rejestrujące państw członkowskich oraz Komisja.”</w:t>
            </w:r>
          </w:p>
        </w:tc>
        <w:tc>
          <w:tcPr>
            <w:tcW w:w="851" w:type="dxa"/>
            <w:tcBorders>
              <w:top w:val="single" w:sz="4" w:space="0" w:color="auto"/>
              <w:left w:val="single" w:sz="4" w:space="0" w:color="auto"/>
              <w:bottom w:val="single" w:sz="4" w:space="0" w:color="auto"/>
              <w:right w:val="single" w:sz="4" w:space="0" w:color="auto"/>
            </w:tcBorders>
          </w:tcPr>
          <w:p w14:paraId="266D76CB" w14:textId="77777777" w:rsidR="00B90467" w:rsidRPr="00FB76A9" w:rsidRDefault="00EE3122"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992" w:type="dxa"/>
            <w:tcBorders>
              <w:top w:val="single" w:sz="4" w:space="0" w:color="auto"/>
              <w:left w:val="single" w:sz="4" w:space="0" w:color="auto"/>
              <w:bottom w:val="single" w:sz="4" w:space="0" w:color="auto"/>
              <w:right w:val="single" w:sz="4" w:space="0" w:color="auto"/>
            </w:tcBorders>
          </w:tcPr>
          <w:p w14:paraId="50731A25" w14:textId="77777777" w:rsidR="00B90467" w:rsidRPr="00FB76A9" w:rsidRDefault="00B9050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val="en-GB" w:eastAsia="pl-PL"/>
              </w:rPr>
              <w:t>Art. 2 pkt 1</w:t>
            </w:r>
            <w:r w:rsidR="00367D70" w:rsidRPr="00FB76A9">
              <w:rPr>
                <w:rFonts w:ascii="Times New Roman" w:eastAsia="Times New Roman" w:hAnsi="Times New Roman" w:cs="Times New Roman"/>
                <w:sz w:val="24"/>
                <w:szCs w:val="24"/>
                <w:lang w:val="en-GB" w:eastAsia="pl-PL"/>
              </w:rPr>
              <w:t>5</w:t>
            </w:r>
          </w:p>
        </w:tc>
        <w:tc>
          <w:tcPr>
            <w:tcW w:w="5103" w:type="dxa"/>
            <w:tcBorders>
              <w:top w:val="single" w:sz="4" w:space="0" w:color="auto"/>
              <w:left w:val="single" w:sz="4" w:space="0" w:color="auto"/>
              <w:bottom w:val="single" w:sz="4" w:space="0" w:color="auto"/>
              <w:right w:val="single" w:sz="4" w:space="0" w:color="auto"/>
            </w:tcBorders>
          </w:tcPr>
          <w:p w14:paraId="6ABED375" w14:textId="77777777" w:rsidR="00367D70" w:rsidRPr="00FB76A9" w:rsidRDefault="00B9050D" w:rsidP="00FD5CD5">
            <w:pPr>
              <w:pStyle w:val="ZARTzmartartykuempunktem"/>
              <w:spacing w:line="240" w:lineRule="auto"/>
              <w:ind w:left="0" w:firstLine="0"/>
              <w:jc w:val="left"/>
              <w:rPr>
                <w:rFonts w:ascii="Times New Roman" w:eastAsia="Times New Roman" w:hAnsi="Times New Roman" w:cs="Times New Roman"/>
                <w:szCs w:val="24"/>
              </w:rPr>
            </w:pPr>
            <w:r w:rsidRPr="00FB76A9">
              <w:rPr>
                <w:rFonts w:ascii="Times New Roman" w:eastAsia="Times New Roman" w:hAnsi="Times New Roman" w:cs="Times New Roman"/>
                <w:szCs w:val="24"/>
              </w:rPr>
              <w:t>„Art. 80aa.1</w:t>
            </w:r>
            <w:r w:rsidR="00367D70" w:rsidRPr="00FB76A9">
              <w:rPr>
                <w:rFonts w:ascii="Times New Roman" w:eastAsia="Times New Roman" w:hAnsi="Times New Roman" w:cs="Times New Roman"/>
                <w:szCs w:val="24"/>
              </w:rPr>
              <w:t xml:space="preserve"> Tworzy się krajowy punkt dostępu przy centralnej ewidencji pojazdów.</w:t>
            </w:r>
          </w:p>
          <w:p w14:paraId="35C31D6D" w14:textId="77777777" w:rsidR="00367D70" w:rsidRPr="00FB76A9" w:rsidRDefault="00367D70" w:rsidP="00FD5CD5">
            <w:pPr>
              <w:pStyle w:val="ZARTzmartartykuempunktem"/>
              <w:spacing w:line="240" w:lineRule="auto"/>
              <w:ind w:left="0" w:firstLine="0"/>
              <w:jc w:val="left"/>
              <w:rPr>
                <w:rFonts w:ascii="Times New Roman" w:eastAsia="Times New Roman" w:hAnsi="Times New Roman" w:cs="Times New Roman"/>
                <w:szCs w:val="24"/>
              </w:rPr>
            </w:pPr>
            <w:r w:rsidRPr="00FB76A9">
              <w:rPr>
                <w:rFonts w:ascii="Times New Roman" w:eastAsia="Times New Roman" w:hAnsi="Times New Roman" w:cs="Times New Roman"/>
                <w:szCs w:val="24"/>
              </w:rPr>
              <w:t xml:space="preserve">2.Krajowy punkt dostępu prowadzi minister właściwy do spraw informatyzacji w systemie teleinformatycznym, o którym mowa w art. 80a ust. 4. </w:t>
            </w:r>
          </w:p>
          <w:p w14:paraId="194CA3FC" w14:textId="77777777" w:rsidR="00367D70" w:rsidRPr="00FB76A9" w:rsidRDefault="00367D70" w:rsidP="00FD5CD5">
            <w:pPr>
              <w:pStyle w:val="ZARTzmartartykuempunktem"/>
              <w:spacing w:line="240" w:lineRule="auto"/>
              <w:ind w:left="0" w:firstLine="0"/>
              <w:jc w:val="left"/>
              <w:rPr>
                <w:rFonts w:ascii="Times New Roman" w:eastAsia="Times New Roman" w:hAnsi="Times New Roman" w:cs="Times New Roman"/>
                <w:szCs w:val="24"/>
              </w:rPr>
            </w:pPr>
            <w:r w:rsidRPr="00FB76A9">
              <w:rPr>
                <w:rFonts w:ascii="Times New Roman" w:eastAsia="Times New Roman" w:hAnsi="Times New Roman" w:cs="Times New Roman"/>
                <w:szCs w:val="24"/>
              </w:rPr>
              <w:t>3.Krajowy punkt dostępu umożliwia wymianę danych pomiędzy krajowymi punktami dostępowymi innych państw członkowskich Unii Europejskiej oraz z krajowymi podmiotami uprawnionymi – w zakresie danych dotyczących świadectw zgodności w postaci elektronicznej, zgodnie z art. 1 ust. 1 rozporządzenia wykonawczego Komisji (UE) 2021/133 z dnia 4 lutego 2021 r. w sprawie wykonania rozporządzenia Parlamentu Europejskiego i Rady (UE) 2018/858 w odniesieniu do podstawowego formatu, struktury i środków wymiany danych dotyczących świadectw zgodności w formacie elektronicznym (Dz. Urz. UE L 42 z 05.02.2021, str. 1, z późn. zm. )).</w:t>
            </w:r>
          </w:p>
          <w:p w14:paraId="2C3BB5AB" w14:textId="77777777" w:rsidR="00367D70" w:rsidRPr="00FB76A9" w:rsidRDefault="00367D70" w:rsidP="00FD5CD5">
            <w:pPr>
              <w:pStyle w:val="ZARTzmartartykuempunktem"/>
              <w:spacing w:line="240" w:lineRule="auto"/>
              <w:ind w:left="0" w:firstLine="0"/>
              <w:jc w:val="left"/>
              <w:rPr>
                <w:rFonts w:ascii="Times New Roman" w:eastAsia="Times New Roman" w:hAnsi="Times New Roman" w:cs="Times New Roman"/>
                <w:szCs w:val="24"/>
              </w:rPr>
            </w:pPr>
            <w:r w:rsidRPr="00FB76A9">
              <w:rPr>
                <w:rFonts w:ascii="Times New Roman" w:eastAsia="Times New Roman" w:hAnsi="Times New Roman" w:cs="Times New Roman"/>
                <w:szCs w:val="24"/>
              </w:rPr>
              <w:t>4.Krajowymi podmiotami uprawnionymi, w zakresie niezbędnym do realizacji ich ustawowych zadań, są:</w:t>
            </w:r>
          </w:p>
          <w:p w14:paraId="09B520AA" w14:textId="77777777" w:rsidR="00367D70" w:rsidRPr="00FB76A9" w:rsidRDefault="00367D70" w:rsidP="00FD5CD5">
            <w:pPr>
              <w:pStyle w:val="ZARTzmartartykuempunktem"/>
              <w:spacing w:line="240" w:lineRule="auto"/>
              <w:ind w:left="209" w:firstLine="149"/>
              <w:jc w:val="left"/>
              <w:rPr>
                <w:rFonts w:ascii="Times New Roman" w:eastAsia="Times New Roman" w:hAnsi="Times New Roman" w:cs="Times New Roman"/>
                <w:szCs w:val="24"/>
              </w:rPr>
            </w:pPr>
            <w:r w:rsidRPr="00FB76A9">
              <w:rPr>
                <w:rFonts w:ascii="Times New Roman" w:eastAsia="Times New Roman" w:hAnsi="Times New Roman" w:cs="Times New Roman"/>
                <w:szCs w:val="24"/>
              </w:rPr>
              <w:lastRenderedPageBreak/>
              <w:t>1)</w:t>
            </w:r>
            <w:r w:rsidRPr="00FB76A9">
              <w:rPr>
                <w:rFonts w:ascii="Times New Roman" w:eastAsia="Times New Roman" w:hAnsi="Times New Roman" w:cs="Times New Roman"/>
                <w:szCs w:val="24"/>
              </w:rPr>
              <w:tab/>
              <w:t>organy właściwe w sprawach rejestracji pojazdów;</w:t>
            </w:r>
          </w:p>
          <w:p w14:paraId="04B2CE70" w14:textId="77777777" w:rsidR="00367D70" w:rsidRPr="00FB76A9" w:rsidRDefault="00367D70" w:rsidP="00FD5CD5">
            <w:pPr>
              <w:pStyle w:val="ZARTzmartartykuempunktem"/>
              <w:spacing w:line="240" w:lineRule="auto"/>
              <w:ind w:left="209" w:firstLine="149"/>
              <w:jc w:val="left"/>
              <w:rPr>
                <w:rFonts w:ascii="Times New Roman" w:eastAsia="Times New Roman" w:hAnsi="Times New Roman" w:cs="Times New Roman"/>
                <w:szCs w:val="24"/>
              </w:rPr>
            </w:pPr>
            <w:r w:rsidRPr="00FB76A9">
              <w:rPr>
                <w:rFonts w:ascii="Times New Roman" w:eastAsia="Times New Roman" w:hAnsi="Times New Roman" w:cs="Times New Roman"/>
                <w:szCs w:val="24"/>
              </w:rPr>
              <w:t>2)</w:t>
            </w:r>
            <w:r w:rsidRPr="00FB76A9">
              <w:rPr>
                <w:rFonts w:ascii="Times New Roman" w:eastAsia="Times New Roman" w:hAnsi="Times New Roman" w:cs="Times New Roman"/>
                <w:szCs w:val="24"/>
              </w:rPr>
              <w:tab/>
              <w:t>Dyrektor Transportowego Dozoru Technicznego;</w:t>
            </w:r>
          </w:p>
          <w:p w14:paraId="5AA64666" w14:textId="77777777" w:rsidR="00367D70" w:rsidRPr="00FB76A9" w:rsidRDefault="00367D70" w:rsidP="00FD5CD5">
            <w:pPr>
              <w:pStyle w:val="ZARTzmartartykuempunktem"/>
              <w:spacing w:line="240" w:lineRule="auto"/>
              <w:ind w:left="209" w:firstLine="149"/>
              <w:jc w:val="left"/>
              <w:rPr>
                <w:rFonts w:ascii="Times New Roman" w:eastAsia="Times New Roman" w:hAnsi="Times New Roman" w:cs="Times New Roman"/>
                <w:szCs w:val="24"/>
              </w:rPr>
            </w:pPr>
            <w:r w:rsidRPr="00FB76A9">
              <w:rPr>
                <w:rFonts w:ascii="Times New Roman" w:eastAsia="Times New Roman" w:hAnsi="Times New Roman" w:cs="Times New Roman"/>
                <w:szCs w:val="24"/>
              </w:rPr>
              <w:t>3)</w:t>
            </w:r>
            <w:r w:rsidRPr="00FB76A9">
              <w:rPr>
                <w:rFonts w:ascii="Times New Roman" w:eastAsia="Times New Roman" w:hAnsi="Times New Roman" w:cs="Times New Roman"/>
                <w:szCs w:val="24"/>
              </w:rPr>
              <w:tab/>
              <w:t>podmiot odpowiedzialny za prowadzenie katalogu marek i typów pojazdów homologowanych oraz dopuszczonych do ruchu na terytorium Rzeczypospolitej Polskiej, o którym mowa w art. 80bh ust. 1;</w:t>
            </w:r>
          </w:p>
          <w:p w14:paraId="37E79B3C" w14:textId="77777777" w:rsidR="004A0BDC" w:rsidRPr="00FB76A9" w:rsidRDefault="00367D70" w:rsidP="00FD5CD5">
            <w:pPr>
              <w:pStyle w:val="ZPKTzmpktartykuempunktem"/>
              <w:spacing w:line="240" w:lineRule="auto"/>
              <w:ind w:left="209" w:firstLine="149"/>
              <w:jc w:val="left"/>
              <w:rPr>
                <w:rFonts w:ascii="Times New Roman" w:hAnsi="Times New Roman" w:cs="Times New Roman"/>
                <w:szCs w:val="24"/>
              </w:rPr>
            </w:pPr>
            <w:r w:rsidRPr="00FB76A9">
              <w:rPr>
                <w:rFonts w:ascii="Times New Roman" w:hAnsi="Times New Roman" w:cs="Times New Roman"/>
                <w:szCs w:val="24"/>
              </w:rPr>
              <w:t>4)</w:t>
            </w:r>
            <w:r w:rsidRPr="00FB76A9">
              <w:rPr>
                <w:rFonts w:ascii="Times New Roman" w:hAnsi="Times New Roman" w:cs="Times New Roman"/>
                <w:szCs w:val="24"/>
              </w:rPr>
              <w:tab/>
              <w:t>minister właściwy do spraw transportu.”</w:t>
            </w:r>
          </w:p>
        </w:tc>
        <w:tc>
          <w:tcPr>
            <w:tcW w:w="1675" w:type="dxa"/>
          </w:tcPr>
          <w:p w14:paraId="4B3B2104" w14:textId="77777777" w:rsidR="00B90467" w:rsidRPr="00FB76A9" w:rsidRDefault="00B90467" w:rsidP="00FD5CD5">
            <w:pPr>
              <w:spacing w:after="0" w:line="240" w:lineRule="auto"/>
              <w:rPr>
                <w:rFonts w:ascii="Times New Roman" w:eastAsia="Times New Roman" w:hAnsi="Times New Roman" w:cs="Times New Roman"/>
                <w:sz w:val="24"/>
                <w:szCs w:val="24"/>
                <w:lang w:eastAsia="pl-PL"/>
              </w:rPr>
            </w:pPr>
          </w:p>
        </w:tc>
      </w:tr>
      <w:tr w:rsidR="005435E2" w:rsidRPr="00FB76A9" w14:paraId="2F4B462D" w14:textId="77777777" w:rsidTr="004F1DD9">
        <w:trPr>
          <w:trHeight w:val="334"/>
        </w:trPr>
        <w:tc>
          <w:tcPr>
            <w:tcW w:w="988" w:type="dxa"/>
            <w:tcBorders>
              <w:top w:val="single" w:sz="4" w:space="0" w:color="auto"/>
              <w:left w:val="single" w:sz="4" w:space="0" w:color="auto"/>
              <w:bottom w:val="single" w:sz="4" w:space="0" w:color="auto"/>
              <w:right w:val="single" w:sz="4" w:space="0" w:color="auto"/>
            </w:tcBorders>
          </w:tcPr>
          <w:p w14:paraId="46C8340E" w14:textId="77777777" w:rsidR="005435E2" w:rsidRPr="00FB76A9" w:rsidRDefault="005435E2"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Art. 37</w:t>
            </w:r>
            <w:r w:rsidR="00F41E4A" w:rsidRPr="00FB76A9">
              <w:rPr>
                <w:rFonts w:ascii="Times New Roman" w:eastAsia="Times New Roman" w:hAnsi="Times New Roman" w:cs="Times New Roman"/>
                <w:b/>
                <w:sz w:val="24"/>
                <w:szCs w:val="24"/>
                <w:lang w:eastAsia="pl-PL"/>
              </w:rPr>
              <w:t xml:space="preserve"> ust. </w:t>
            </w:r>
            <w:r w:rsidR="00B9050D" w:rsidRPr="00FB76A9">
              <w:rPr>
                <w:rFonts w:ascii="Times New Roman" w:eastAsia="Times New Roman" w:hAnsi="Times New Roman" w:cs="Times New Roman"/>
                <w:b/>
                <w:sz w:val="24"/>
                <w:szCs w:val="24"/>
                <w:lang w:eastAsia="pl-PL"/>
              </w:rPr>
              <w:t>4</w:t>
            </w:r>
            <w:r w:rsidRPr="00FB76A9">
              <w:rPr>
                <w:rFonts w:ascii="Times New Roman" w:eastAsia="Times New Roman" w:hAnsi="Times New Roman" w:cs="Times New Roman"/>
                <w:b/>
                <w:sz w:val="24"/>
                <w:szCs w:val="24"/>
                <w:lang w:eastAsia="pl-PL"/>
              </w:rPr>
              <w:t xml:space="preserve"> </w:t>
            </w:r>
          </w:p>
        </w:tc>
        <w:tc>
          <w:tcPr>
            <w:tcW w:w="5386" w:type="dxa"/>
            <w:gridSpan w:val="2"/>
            <w:tcBorders>
              <w:top w:val="single" w:sz="4" w:space="0" w:color="auto"/>
              <w:left w:val="single" w:sz="4" w:space="0" w:color="auto"/>
              <w:bottom w:val="single" w:sz="4" w:space="0" w:color="auto"/>
              <w:right w:val="single" w:sz="4" w:space="0" w:color="auto"/>
            </w:tcBorders>
          </w:tcPr>
          <w:p w14:paraId="0981D594" w14:textId="77777777" w:rsidR="005435E2" w:rsidRPr="00FB76A9" w:rsidRDefault="00B9050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„4. Państwa członkowskie mogą zwolnić producenta z obowiązku, określonego w ust. 1 niniejszego artykułu, w przypadku typów pojazdów, które posiadają krajową homologację typu udzielaną pojazdom produkowanym w małych seriach, zgodnie z art. 42.”</w:t>
            </w:r>
          </w:p>
        </w:tc>
        <w:tc>
          <w:tcPr>
            <w:tcW w:w="851" w:type="dxa"/>
            <w:tcBorders>
              <w:top w:val="single" w:sz="4" w:space="0" w:color="auto"/>
              <w:left w:val="single" w:sz="4" w:space="0" w:color="auto"/>
              <w:bottom w:val="single" w:sz="4" w:space="0" w:color="auto"/>
              <w:right w:val="single" w:sz="4" w:space="0" w:color="auto"/>
            </w:tcBorders>
          </w:tcPr>
          <w:p w14:paraId="54EB5619" w14:textId="77777777" w:rsidR="005435E2" w:rsidRPr="00FB76A9" w:rsidRDefault="00EE3122"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992" w:type="dxa"/>
            <w:tcBorders>
              <w:top w:val="single" w:sz="4" w:space="0" w:color="auto"/>
              <w:left w:val="single" w:sz="4" w:space="0" w:color="auto"/>
              <w:bottom w:val="single" w:sz="4" w:space="0" w:color="auto"/>
              <w:right w:val="single" w:sz="4" w:space="0" w:color="auto"/>
            </w:tcBorders>
          </w:tcPr>
          <w:p w14:paraId="6352D3EC" w14:textId="77777777" w:rsidR="005435E2" w:rsidRPr="00FB76A9" w:rsidRDefault="005435E2"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w:t>
            </w:r>
            <w:r w:rsidR="00367D70" w:rsidRPr="00FB76A9">
              <w:rPr>
                <w:rFonts w:ascii="Times New Roman" w:eastAsia="Times New Roman" w:hAnsi="Times New Roman" w:cs="Times New Roman"/>
                <w:sz w:val="24"/>
                <w:szCs w:val="24"/>
                <w:lang w:eastAsia="pl-PL"/>
              </w:rPr>
              <w:t>14</w:t>
            </w:r>
            <w:r w:rsidRPr="00FB76A9">
              <w:rPr>
                <w:rFonts w:ascii="Times New Roman" w:eastAsia="Times New Roman" w:hAnsi="Times New Roman" w:cs="Times New Roman"/>
                <w:sz w:val="24"/>
                <w:szCs w:val="24"/>
                <w:lang w:eastAsia="pl-PL"/>
              </w:rPr>
              <w:t xml:space="preserve"> lit. b</w:t>
            </w:r>
          </w:p>
        </w:tc>
        <w:tc>
          <w:tcPr>
            <w:tcW w:w="5103" w:type="dxa"/>
            <w:tcBorders>
              <w:top w:val="single" w:sz="4" w:space="0" w:color="auto"/>
              <w:left w:val="single" w:sz="4" w:space="0" w:color="auto"/>
              <w:bottom w:val="single" w:sz="4" w:space="0" w:color="auto"/>
              <w:right w:val="single" w:sz="4" w:space="0" w:color="auto"/>
            </w:tcBorders>
          </w:tcPr>
          <w:p w14:paraId="7B98F293" w14:textId="77777777" w:rsidR="005435E2" w:rsidRPr="00FB76A9" w:rsidRDefault="005435E2" w:rsidP="00FD5CD5">
            <w:pPr>
              <w:pStyle w:val="ZLITUSTzmustliter"/>
              <w:spacing w:line="240" w:lineRule="auto"/>
              <w:ind w:left="0" w:firstLine="0"/>
              <w:jc w:val="left"/>
              <w:rPr>
                <w:rFonts w:ascii="Times New Roman" w:eastAsia="Times New Roman" w:hAnsi="Times New Roman" w:cs="Times New Roman"/>
                <w:szCs w:val="24"/>
              </w:rPr>
            </w:pPr>
            <w:r w:rsidRPr="00FB76A9">
              <w:rPr>
                <w:rFonts w:ascii="Times New Roman" w:eastAsia="Times New Roman" w:hAnsi="Times New Roman" w:cs="Times New Roman"/>
                <w:bCs w:val="0"/>
                <w:szCs w:val="24"/>
              </w:rPr>
              <w:t>„</w:t>
            </w:r>
            <w:r w:rsidR="00B9050D" w:rsidRPr="00FB76A9">
              <w:rPr>
                <w:rFonts w:ascii="Times New Roman" w:eastAsia="Times New Roman" w:hAnsi="Times New Roman" w:cs="Times New Roman"/>
                <w:bCs w:val="0"/>
                <w:szCs w:val="24"/>
              </w:rPr>
              <w:t>Art. 27.</w:t>
            </w:r>
            <w:r w:rsidRPr="00FB76A9">
              <w:rPr>
                <w:rFonts w:ascii="Times New Roman" w:eastAsia="Times New Roman" w:hAnsi="Times New Roman" w:cs="Times New Roman"/>
                <w:bCs w:val="0"/>
                <w:szCs w:val="24"/>
              </w:rPr>
              <w:t xml:space="preserve">1a. </w:t>
            </w:r>
            <w:r w:rsidR="00367D70" w:rsidRPr="00FB76A9">
              <w:rPr>
                <w:rFonts w:ascii="Times New Roman" w:eastAsia="Times New Roman" w:hAnsi="Times New Roman" w:cs="Times New Roman"/>
                <w:bCs w:val="0"/>
                <w:szCs w:val="24"/>
              </w:rPr>
              <w:t>Producent pojazdu kategorii M, N, O, na którego typ Dyrektor TDT wydał świadectwo krajowej homologacji typu pojazdów produkowanych w małych seriach może wystawić świadectwo zgodności oraz oświadczenie zawierające dane i informacje o pojeździe niezbędne do rejestracji i ewidencji pojazdu w postaci elektronicznej do każdego takiego pojazdu i przekazać je do ewidencji zgodnie z ust. 1 pkt 3a. W imieniu producenta pojazdu oświadczenie w postaci elektronicznej może być wystawione przez importera, dystrybutora lub przedstawiciela producenta. Przepisu ust. 1 pkt 2 i 3 w zakresie obowiązku stosowania postaci papierowej dokumentów, nie stosuje się.</w:t>
            </w:r>
            <w:r w:rsidRPr="00FB76A9">
              <w:rPr>
                <w:rFonts w:ascii="Times New Roman" w:eastAsia="Times New Roman" w:hAnsi="Times New Roman" w:cs="Times New Roman"/>
                <w:bCs w:val="0"/>
                <w:szCs w:val="24"/>
              </w:rPr>
              <w:t>;”</w:t>
            </w:r>
          </w:p>
        </w:tc>
        <w:tc>
          <w:tcPr>
            <w:tcW w:w="1675" w:type="dxa"/>
          </w:tcPr>
          <w:p w14:paraId="359EFC8C" w14:textId="77777777" w:rsidR="005435E2" w:rsidRPr="00FB76A9" w:rsidRDefault="005435E2" w:rsidP="00FD5CD5">
            <w:pPr>
              <w:spacing w:after="0" w:line="240" w:lineRule="auto"/>
              <w:rPr>
                <w:rFonts w:ascii="Times New Roman" w:eastAsia="Times New Roman" w:hAnsi="Times New Roman" w:cs="Times New Roman"/>
                <w:sz w:val="24"/>
                <w:szCs w:val="24"/>
                <w:lang w:eastAsia="pl-PL"/>
              </w:rPr>
            </w:pPr>
          </w:p>
        </w:tc>
      </w:tr>
      <w:tr w:rsidR="005435E2" w:rsidRPr="00FB76A9" w14:paraId="756BD3EF" w14:textId="77777777" w:rsidTr="004F1DD9">
        <w:trPr>
          <w:trHeight w:val="100"/>
        </w:trPr>
        <w:tc>
          <w:tcPr>
            <w:tcW w:w="988" w:type="dxa"/>
            <w:tcBorders>
              <w:top w:val="single" w:sz="4" w:space="0" w:color="auto"/>
              <w:left w:val="single" w:sz="4" w:space="0" w:color="auto"/>
              <w:bottom w:val="single" w:sz="4" w:space="0" w:color="auto"/>
              <w:right w:val="single" w:sz="4" w:space="0" w:color="auto"/>
            </w:tcBorders>
          </w:tcPr>
          <w:p w14:paraId="75CFF27A" w14:textId="77777777" w:rsidR="005435E2" w:rsidRPr="00FB76A9" w:rsidRDefault="00B9050D"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 xml:space="preserve">Art. 37 ust. 5 </w:t>
            </w:r>
          </w:p>
        </w:tc>
        <w:tc>
          <w:tcPr>
            <w:tcW w:w="5386" w:type="dxa"/>
            <w:gridSpan w:val="2"/>
            <w:tcBorders>
              <w:top w:val="single" w:sz="4" w:space="0" w:color="auto"/>
              <w:left w:val="single" w:sz="4" w:space="0" w:color="auto"/>
              <w:bottom w:val="single" w:sz="4" w:space="0" w:color="auto"/>
              <w:right w:val="single" w:sz="4" w:space="0" w:color="auto"/>
            </w:tcBorders>
          </w:tcPr>
          <w:p w14:paraId="4596331F" w14:textId="77777777" w:rsidR="005435E2" w:rsidRPr="00FB76A9" w:rsidRDefault="00B9050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„5. Organ udzielający homologacji otrzymujący świadectwo zgodności jako dane ustrukturyzowane w formacie elektronicznym określonym w aktach wykonawczych, o których mowa w ust. 8 niniejszego artykułu, zapewnia dostęp do świadectwa zgodności wyłącznie z prawem odczytu, zgodnie z art. 12 ust. 2. </w:t>
            </w:r>
            <w:r w:rsidRPr="00FB76A9">
              <w:rPr>
                <w:rFonts w:ascii="Times New Roman" w:eastAsia="Times New Roman" w:hAnsi="Times New Roman" w:cs="Times New Roman"/>
                <w:sz w:val="24"/>
                <w:szCs w:val="24"/>
                <w:lang w:eastAsia="pl-PL"/>
              </w:rPr>
              <w:lastRenderedPageBreak/>
              <w:t>W przypadku pojazdów budowanych w wielu etapach zapewnia taki dostęp producentowi kolejnego etapu.”</w:t>
            </w:r>
          </w:p>
        </w:tc>
        <w:tc>
          <w:tcPr>
            <w:tcW w:w="851" w:type="dxa"/>
            <w:tcBorders>
              <w:top w:val="single" w:sz="4" w:space="0" w:color="auto"/>
              <w:left w:val="single" w:sz="4" w:space="0" w:color="auto"/>
              <w:bottom w:val="single" w:sz="4" w:space="0" w:color="auto"/>
              <w:right w:val="single" w:sz="4" w:space="0" w:color="auto"/>
            </w:tcBorders>
          </w:tcPr>
          <w:p w14:paraId="2E340F65" w14:textId="77777777" w:rsidR="005435E2" w:rsidRPr="00FB76A9" w:rsidRDefault="00EE3122"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lastRenderedPageBreak/>
              <w:t>T</w:t>
            </w:r>
          </w:p>
        </w:tc>
        <w:tc>
          <w:tcPr>
            <w:tcW w:w="992" w:type="dxa"/>
            <w:tcBorders>
              <w:top w:val="single" w:sz="4" w:space="0" w:color="auto"/>
              <w:left w:val="single" w:sz="4" w:space="0" w:color="auto"/>
              <w:bottom w:val="single" w:sz="4" w:space="0" w:color="auto"/>
              <w:right w:val="single" w:sz="4" w:space="0" w:color="auto"/>
            </w:tcBorders>
          </w:tcPr>
          <w:p w14:paraId="1E3F5515" w14:textId="77777777" w:rsidR="005435E2" w:rsidRPr="00FB76A9" w:rsidRDefault="00B9050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4 lit. </w:t>
            </w:r>
            <w:r w:rsidR="008E6196" w:rsidRPr="00FB76A9">
              <w:rPr>
                <w:rFonts w:ascii="Times New Roman" w:eastAsia="Times New Roman" w:hAnsi="Times New Roman" w:cs="Times New Roman"/>
                <w:sz w:val="24"/>
                <w:szCs w:val="24"/>
                <w:lang w:eastAsia="pl-PL"/>
              </w:rPr>
              <w:t>c</w:t>
            </w:r>
          </w:p>
        </w:tc>
        <w:tc>
          <w:tcPr>
            <w:tcW w:w="5103" w:type="dxa"/>
            <w:tcBorders>
              <w:top w:val="single" w:sz="4" w:space="0" w:color="auto"/>
              <w:left w:val="single" w:sz="4" w:space="0" w:color="auto"/>
              <w:bottom w:val="single" w:sz="4" w:space="0" w:color="auto"/>
              <w:right w:val="single" w:sz="4" w:space="0" w:color="auto"/>
            </w:tcBorders>
          </w:tcPr>
          <w:p w14:paraId="7EAFD3BA" w14:textId="77777777" w:rsidR="00B9050D" w:rsidRPr="00FB76A9" w:rsidRDefault="00B9050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„2a. </w:t>
            </w:r>
            <w:r w:rsidR="00367D70" w:rsidRPr="00FB76A9">
              <w:rPr>
                <w:rFonts w:ascii="Times New Roman" w:eastAsia="Times New Roman" w:hAnsi="Times New Roman" w:cs="Times New Roman"/>
                <w:sz w:val="24"/>
                <w:szCs w:val="24"/>
                <w:lang w:eastAsia="pl-PL"/>
              </w:rPr>
              <w:t>Dyrektor TDT poprzez ewidencję zapewnia producentom pojazdów, o których mowa w art. 37 ust. 5 rozporządzenia 2018/858, dostęp do świadectw zgodności przekazanych przez producentów pojazdów zgodnie z ust. 2.</w:t>
            </w:r>
            <w:r w:rsidRPr="00FB76A9">
              <w:rPr>
                <w:rFonts w:ascii="Times New Roman" w:eastAsia="Times New Roman" w:hAnsi="Times New Roman" w:cs="Times New Roman"/>
                <w:sz w:val="24"/>
                <w:szCs w:val="24"/>
                <w:lang w:eastAsia="pl-PL"/>
              </w:rPr>
              <w:t>”,”</w:t>
            </w:r>
          </w:p>
          <w:p w14:paraId="3A5A8340" w14:textId="77777777" w:rsidR="00380289" w:rsidRPr="00FB76A9" w:rsidRDefault="00380289" w:rsidP="00FD5CD5">
            <w:pPr>
              <w:pStyle w:val="ZUSTzmustartykuempunktem"/>
              <w:spacing w:line="240" w:lineRule="auto"/>
              <w:ind w:left="0" w:firstLine="0"/>
              <w:jc w:val="left"/>
              <w:rPr>
                <w:rFonts w:ascii="Times New Roman" w:hAnsi="Times New Roman" w:cs="Times New Roman"/>
                <w:szCs w:val="24"/>
              </w:rPr>
            </w:pPr>
          </w:p>
          <w:p w14:paraId="3D6A11AE" w14:textId="77777777" w:rsidR="005435E2" w:rsidRPr="00FB76A9" w:rsidRDefault="005435E2" w:rsidP="00FD5CD5">
            <w:pPr>
              <w:spacing w:after="0" w:line="240" w:lineRule="auto"/>
              <w:rPr>
                <w:rFonts w:ascii="Times New Roman" w:eastAsia="Times New Roman" w:hAnsi="Times New Roman" w:cs="Times New Roman"/>
                <w:sz w:val="24"/>
                <w:szCs w:val="24"/>
                <w:lang w:eastAsia="pl-PL"/>
              </w:rPr>
            </w:pPr>
          </w:p>
        </w:tc>
        <w:tc>
          <w:tcPr>
            <w:tcW w:w="1675" w:type="dxa"/>
          </w:tcPr>
          <w:p w14:paraId="29351B7A" w14:textId="77777777" w:rsidR="005435E2" w:rsidRPr="00FB76A9" w:rsidRDefault="005435E2" w:rsidP="00FD5CD5">
            <w:pPr>
              <w:spacing w:after="0" w:line="240" w:lineRule="auto"/>
              <w:rPr>
                <w:rFonts w:ascii="Times New Roman" w:eastAsia="Times New Roman" w:hAnsi="Times New Roman" w:cs="Times New Roman"/>
                <w:sz w:val="24"/>
                <w:szCs w:val="24"/>
                <w:lang w:eastAsia="pl-PL"/>
              </w:rPr>
            </w:pPr>
          </w:p>
        </w:tc>
      </w:tr>
      <w:tr w:rsidR="005435E2" w:rsidRPr="00FB76A9" w14:paraId="1864A0CC" w14:textId="77777777" w:rsidTr="004F1DD9">
        <w:trPr>
          <w:trHeight w:val="170"/>
        </w:trPr>
        <w:tc>
          <w:tcPr>
            <w:tcW w:w="988" w:type="dxa"/>
            <w:tcBorders>
              <w:top w:val="single" w:sz="4" w:space="0" w:color="auto"/>
              <w:left w:val="single" w:sz="4" w:space="0" w:color="auto"/>
              <w:bottom w:val="single" w:sz="4" w:space="0" w:color="auto"/>
              <w:right w:val="single" w:sz="4" w:space="0" w:color="auto"/>
            </w:tcBorders>
          </w:tcPr>
          <w:p w14:paraId="44AE7601" w14:textId="77777777" w:rsidR="005435E2" w:rsidRPr="00FB76A9" w:rsidRDefault="00B9050D"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 xml:space="preserve">Art. 37 ust. 9 </w:t>
            </w:r>
          </w:p>
        </w:tc>
        <w:tc>
          <w:tcPr>
            <w:tcW w:w="5386" w:type="dxa"/>
            <w:gridSpan w:val="2"/>
            <w:tcBorders>
              <w:top w:val="single" w:sz="4" w:space="0" w:color="auto"/>
              <w:left w:val="single" w:sz="4" w:space="0" w:color="auto"/>
              <w:bottom w:val="single" w:sz="4" w:space="0" w:color="auto"/>
              <w:right w:val="single" w:sz="4" w:space="0" w:color="auto"/>
            </w:tcBorders>
          </w:tcPr>
          <w:p w14:paraId="73F1D9B4" w14:textId="77777777" w:rsidR="005435E2" w:rsidRPr="00FB76A9" w:rsidRDefault="00B9050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„9. Ze skutkiem najpóźniej od dnia 5 lipca 2026 r. państwa członkowskie są w stanie dokonywać wymiany świadectw zgodności w formacie elektronicznym zgodnie z niniejszym artykułem z pozostałymi państwami członkowskimi.”</w:t>
            </w:r>
          </w:p>
        </w:tc>
        <w:tc>
          <w:tcPr>
            <w:tcW w:w="851" w:type="dxa"/>
            <w:tcBorders>
              <w:top w:val="single" w:sz="4" w:space="0" w:color="auto"/>
              <w:left w:val="single" w:sz="4" w:space="0" w:color="auto"/>
              <w:bottom w:val="single" w:sz="4" w:space="0" w:color="auto"/>
              <w:right w:val="single" w:sz="4" w:space="0" w:color="auto"/>
            </w:tcBorders>
          </w:tcPr>
          <w:p w14:paraId="2039CA53" w14:textId="77777777" w:rsidR="005435E2" w:rsidRPr="00FB76A9" w:rsidRDefault="00EE3122"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992" w:type="dxa"/>
            <w:tcBorders>
              <w:top w:val="single" w:sz="4" w:space="0" w:color="auto"/>
              <w:left w:val="single" w:sz="4" w:space="0" w:color="auto"/>
              <w:bottom w:val="single" w:sz="4" w:space="0" w:color="auto"/>
              <w:right w:val="single" w:sz="4" w:space="0" w:color="auto"/>
            </w:tcBorders>
          </w:tcPr>
          <w:p w14:paraId="64139669" w14:textId="77777777" w:rsidR="005435E2" w:rsidRPr="00FB76A9" w:rsidRDefault="00B9050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 1</w:t>
            </w:r>
            <w:r w:rsidR="00B52C69">
              <w:rPr>
                <w:rFonts w:ascii="Times New Roman" w:eastAsia="Times New Roman" w:hAnsi="Times New Roman" w:cs="Times New Roman"/>
                <w:sz w:val="24"/>
                <w:szCs w:val="24"/>
                <w:lang w:eastAsia="pl-PL"/>
              </w:rPr>
              <w:t xml:space="preserve">9 </w:t>
            </w:r>
          </w:p>
        </w:tc>
        <w:tc>
          <w:tcPr>
            <w:tcW w:w="5103" w:type="dxa"/>
            <w:tcBorders>
              <w:top w:val="single" w:sz="4" w:space="0" w:color="auto"/>
              <w:left w:val="single" w:sz="4" w:space="0" w:color="auto"/>
              <w:bottom w:val="single" w:sz="4" w:space="0" w:color="auto"/>
              <w:right w:val="single" w:sz="4" w:space="0" w:color="auto"/>
            </w:tcBorders>
          </w:tcPr>
          <w:p w14:paraId="5E7E2631" w14:textId="77777777" w:rsidR="00B52C69" w:rsidRPr="00B52C69" w:rsidRDefault="00B52C69" w:rsidP="00FD5CD5">
            <w:pPr>
              <w:pStyle w:val="ARTartustawynprozporzdzenia"/>
              <w:spacing w:before="0" w:line="240" w:lineRule="auto"/>
              <w:ind w:firstLine="0"/>
              <w:jc w:val="left"/>
              <w:rPr>
                <w:rFonts w:ascii="Times New Roman" w:hAnsi="Times New Roman" w:cs="Times New Roman"/>
                <w:szCs w:val="24"/>
              </w:rPr>
            </w:pPr>
            <w:r>
              <w:rPr>
                <w:rFonts w:ascii="Times New Roman" w:hAnsi="Times New Roman" w:cs="Times New Roman"/>
                <w:szCs w:val="24"/>
              </w:rPr>
              <w:t>„</w:t>
            </w:r>
            <w:r w:rsidRPr="00B52C69">
              <w:rPr>
                <w:rFonts w:ascii="Times New Roman" w:hAnsi="Times New Roman" w:cs="Times New Roman"/>
                <w:szCs w:val="24"/>
              </w:rPr>
              <w:t>Ustawa wchodzi w życie po upływie 14 dni od dnia ogłoszenia.</w:t>
            </w:r>
            <w:r>
              <w:rPr>
                <w:rFonts w:ascii="Times New Roman" w:hAnsi="Times New Roman" w:cs="Times New Roman"/>
                <w:szCs w:val="24"/>
              </w:rPr>
              <w:t>”</w:t>
            </w:r>
          </w:p>
          <w:p w14:paraId="288BFCCB" w14:textId="77777777" w:rsidR="005435E2" w:rsidRPr="00FB76A9" w:rsidRDefault="005435E2" w:rsidP="00FD5CD5">
            <w:pPr>
              <w:spacing w:after="0" w:line="240" w:lineRule="auto"/>
              <w:rPr>
                <w:rFonts w:ascii="Times New Roman" w:eastAsia="Times New Roman" w:hAnsi="Times New Roman" w:cs="Times New Roman"/>
                <w:sz w:val="24"/>
                <w:szCs w:val="24"/>
                <w:lang w:eastAsia="pl-PL"/>
              </w:rPr>
            </w:pPr>
          </w:p>
        </w:tc>
        <w:tc>
          <w:tcPr>
            <w:tcW w:w="1675" w:type="dxa"/>
          </w:tcPr>
          <w:p w14:paraId="1D6DCD2B" w14:textId="77777777" w:rsidR="005435E2" w:rsidRPr="00FB76A9" w:rsidRDefault="005435E2" w:rsidP="00FD5CD5">
            <w:pPr>
              <w:spacing w:after="0" w:line="240" w:lineRule="auto"/>
              <w:rPr>
                <w:rFonts w:ascii="Times New Roman" w:eastAsia="Times New Roman" w:hAnsi="Times New Roman" w:cs="Times New Roman"/>
                <w:sz w:val="24"/>
                <w:szCs w:val="24"/>
                <w:lang w:eastAsia="pl-PL"/>
              </w:rPr>
            </w:pPr>
          </w:p>
        </w:tc>
      </w:tr>
      <w:tr w:rsidR="005127DF" w:rsidRPr="00FB76A9" w14:paraId="0FB63880" w14:textId="77777777" w:rsidTr="004F1DD9">
        <w:trPr>
          <w:trHeight w:val="270"/>
        </w:trPr>
        <w:tc>
          <w:tcPr>
            <w:tcW w:w="988" w:type="dxa"/>
            <w:tcBorders>
              <w:top w:val="single" w:sz="4" w:space="0" w:color="auto"/>
              <w:left w:val="single" w:sz="4" w:space="0" w:color="auto"/>
              <w:bottom w:val="single" w:sz="4" w:space="0" w:color="auto"/>
              <w:right w:val="single" w:sz="4" w:space="0" w:color="auto"/>
            </w:tcBorders>
          </w:tcPr>
          <w:p w14:paraId="67797219" w14:textId="77777777" w:rsidR="005127DF" w:rsidRPr="00FB76A9" w:rsidRDefault="005127DF"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Art. 44- 45</w:t>
            </w:r>
          </w:p>
          <w:p w14:paraId="391B0791"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CFE2163"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C53B965"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2FC16C8"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C02CE40"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2AF2DB1"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5789ADF"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EDA2000"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10A7951"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9DCDFAF"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97E0C73"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3B06362"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0E164A4"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1DED0B5"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BF95D3D"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87AAA74"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34E9EDF2"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D5A3389"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877C158"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5413E1D"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32F89CA7"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69E7C67"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91724B5"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7E7EA73"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71A2E8B"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278727F"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1CD5079"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C94FFBB"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B23979A"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F7BD3A5"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C7365F0"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21A91EA"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05C7CC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72C8032"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13EBFBA"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F4E19EF"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245DE16"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D65B9FF"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29D5AD4"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9B26623"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C050E93"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90D10A5"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5444B81"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8116B3B"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F4B8854"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FB9ECCF"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ABEA96D"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F76878D"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13AF49A"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DC6A39E"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87FBEEA"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7CBDAAB"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290ACC8"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33416C9E"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FF0BBE4"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1651983"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E90577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278FFE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6FED7D7"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9AB1FCB"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4EF9848"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36B1E91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248A0AD"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748EDF5"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3DD9310"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65FBC75"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1CDA0B4"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89B0F2E"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FA21FDE"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9AD5E6A"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3B0BEF63"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3EB6B80"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987F2BB"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3F77B29F"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E0C4A90"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895571E"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43C0DD0"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EEABE53"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E946739"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3E48ACDB"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51C1B6A"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2545A6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91D9B75"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FE19027"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B63E7EF"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32C58568"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E9BA87E"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49BCF14"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3863FBE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EC4556A"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D0DA4B0"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F73E468"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C0E35FB"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839D3F8"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D85BF9D"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F14C0E0"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A383F39"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ADE2C46"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855469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A828598"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C4BF787"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963D1AD"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56FDFA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FE48CD9"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DFC1F9F"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C55F8D7"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9384778"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F1A87B5"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7D4FEA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13AF71B"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E26B2DB"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DA8528E"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D73C0A5"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CB2301E"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AECAEE3"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4FE18F2"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30FFDFD"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78FB957"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FC5FDB2"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9A26D41"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7463D6A"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CAEED71"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DD7CB0A"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A9500F2"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152143D"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4DF3735"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255DE4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33DCE9F"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52C6866"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3AE0B91"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6FE837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D06DC4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3B3E4EEA"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06631D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B93B05E"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BE1F21E"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6125F49"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9DE4D0F"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03F149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F068E8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9975D96"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EEE1D55"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FE8178D"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5DC559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0CD3643"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BA77417"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21D88B2"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211F5B3"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60B901F"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4A4C2AA"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FCCBF95"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CDEB070"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6239574"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E2931AB"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3D63659B"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93DC825"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2340F4E"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23BF156"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30A64D74"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6F6337A"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E21D571"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3062F49"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F50D831"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B828D04"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A68BBA6"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EF3D068"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A8EFE58"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AC06AA1"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2C79BA6"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EAAFE21"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0E4151F"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90B3E00"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F564384"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B68FDAA"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5D82D04"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143A627"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B4A0CBF"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2D7C87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B3339BA"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73A7800"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91A7342"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6C4B453"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34685AE"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3834087"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D4F2620"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0768479"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DC4F08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74CF57D"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E7292F4"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C7C6C9D"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C5F91EF"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96E61EE"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AAFB4B7"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1B48E60"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6C6ADB3"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F02880B"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3F29C392"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0408D02"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76E5ED2"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303850A4"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B7A7FD0"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5863F68"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A3B418A"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3E4E0CE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3527FA4"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EF7A27A"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D20EB61"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2F29F8A"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0DF2690"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BD702F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29A3884"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177036D"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DCB11C3"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2754348"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7A2CD23"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BA4A975"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705D402"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5A316C9"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CADF07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37EFD296"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66EA2FB"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D6F2C88"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D0C43D6"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A9327D5"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A6BEDF8"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99529E5"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A75181F"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92B469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C40B780"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9CC6179"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0C42CB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0F4F09B"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FBF28A5"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38746F1"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7B94EE9"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B1525CD" w14:textId="77777777" w:rsidR="009C317A" w:rsidRPr="00FB76A9" w:rsidRDefault="009C317A" w:rsidP="00FD5CD5">
            <w:pPr>
              <w:spacing w:after="0" w:line="240" w:lineRule="auto"/>
              <w:rPr>
                <w:rFonts w:ascii="Times New Roman" w:eastAsia="Times New Roman" w:hAnsi="Times New Roman" w:cs="Times New Roman"/>
                <w:b/>
                <w:sz w:val="24"/>
                <w:szCs w:val="24"/>
                <w:lang w:eastAsia="pl-PL"/>
              </w:rPr>
            </w:pPr>
          </w:p>
          <w:p w14:paraId="6557E530" w14:textId="77777777" w:rsidR="00F91BE6" w:rsidRPr="00FB76A9" w:rsidRDefault="00F91BE6" w:rsidP="00FD5CD5">
            <w:pPr>
              <w:spacing w:after="0" w:line="240" w:lineRule="auto"/>
              <w:rPr>
                <w:rFonts w:ascii="Times New Roman" w:eastAsia="Times New Roman" w:hAnsi="Times New Roman" w:cs="Times New Roman"/>
                <w:b/>
                <w:sz w:val="24"/>
                <w:szCs w:val="24"/>
                <w:lang w:eastAsia="pl-PL"/>
              </w:rPr>
            </w:pPr>
          </w:p>
          <w:p w14:paraId="780059B8" w14:textId="77777777" w:rsidR="00F91BE6" w:rsidRPr="00FB76A9" w:rsidRDefault="00F91BE6" w:rsidP="00FD5CD5">
            <w:pPr>
              <w:spacing w:after="0" w:line="240" w:lineRule="auto"/>
              <w:rPr>
                <w:rFonts w:ascii="Times New Roman" w:eastAsia="Times New Roman" w:hAnsi="Times New Roman" w:cs="Times New Roman"/>
                <w:b/>
                <w:sz w:val="24"/>
                <w:szCs w:val="24"/>
                <w:lang w:eastAsia="pl-PL"/>
              </w:rPr>
            </w:pPr>
          </w:p>
          <w:p w14:paraId="407EEEA4" w14:textId="77777777" w:rsidR="00F91BE6" w:rsidRPr="00FB76A9" w:rsidRDefault="00F91BE6" w:rsidP="00FD5CD5">
            <w:pPr>
              <w:spacing w:after="0" w:line="240" w:lineRule="auto"/>
              <w:rPr>
                <w:rFonts w:ascii="Times New Roman" w:eastAsia="Times New Roman" w:hAnsi="Times New Roman" w:cs="Times New Roman"/>
                <w:b/>
                <w:sz w:val="24"/>
                <w:szCs w:val="24"/>
                <w:lang w:eastAsia="pl-PL"/>
              </w:rPr>
            </w:pPr>
          </w:p>
          <w:p w14:paraId="6095DAB9" w14:textId="77777777" w:rsidR="00F91BE6" w:rsidRPr="00FB76A9" w:rsidRDefault="00F91BE6" w:rsidP="00FD5CD5">
            <w:pPr>
              <w:spacing w:after="0" w:line="240" w:lineRule="auto"/>
              <w:rPr>
                <w:rFonts w:ascii="Times New Roman" w:eastAsia="Times New Roman" w:hAnsi="Times New Roman" w:cs="Times New Roman"/>
                <w:b/>
                <w:sz w:val="24"/>
                <w:szCs w:val="24"/>
                <w:lang w:eastAsia="pl-PL"/>
              </w:rPr>
            </w:pPr>
          </w:p>
          <w:p w14:paraId="6FF4E08B" w14:textId="77777777" w:rsidR="00F91BE6" w:rsidRPr="00FB76A9" w:rsidRDefault="00F91BE6" w:rsidP="00FD5CD5">
            <w:pPr>
              <w:spacing w:after="0" w:line="240" w:lineRule="auto"/>
              <w:rPr>
                <w:rFonts w:ascii="Times New Roman" w:eastAsia="Times New Roman" w:hAnsi="Times New Roman" w:cs="Times New Roman"/>
                <w:b/>
                <w:sz w:val="24"/>
                <w:szCs w:val="24"/>
                <w:lang w:eastAsia="pl-PL"/>
              </w:rPr>
            </w:pPr>
          </w:p>
          <w:p w14:paraId="20571F92" w14:textId="77777777" w:rsidR="00F91BE6" w:rsidRPr="00FB76A9" w:rsidRDefault="00F91BE6" w:rsidP="00FD5CD5">
            <w:pPr>
              <w:spacing w:after="0" w:line="240" w:lineRule="auto"/>
              <w:rPr>
                <w:rFonts w:ascii="Times New Roman" w:eastAsia="Times New Roman" w:hAnsi="Times New Roman" w:cs="Times New Roman"/>
                <w:b/>
                <w:sz w:val="24"/>
                <w:szCs w:val="24"/>
                <w:lang w:eastAsia="pl-PL"/>
              </w:rPr>
            </w:pPr>
          </w:p>
          <w:p w14:paraId="4962ED3E" w14:textId="77777777" w:rsidR="009C317A" w:rsidRPr="00FB76A9" w:rsidRDefault="009C317A" w:rsidP="00FD5CD5">
            <w:pPr>
              <w:spacing w:after="0" w:line="240" w:lineRule="auto"/>
              <w:rPr>
                <w:rFonts w:ascii="Times New Roman" w:eastAsia="Times New Roman" w:hAnsi="Times New Roman" w:cs="Times New Roman"/>
                <w:b/>
                <w:sz w:val="24"/>
                <w:szCs w:val="24"/>
                <w:lang w:eastAsia="pl-PL"/>
              </w:rPr>
            </w:pPr>
          </w:p>
          <w:p w14:paraId="73344F1E" w14:textId="77777777" w:rsidR="009C317A" w:rsidRPr="00FB76A9" w:rsidRDefault="009C317A" w:rsidP="00FD5CD5">
            <w:pPr>
              <w:spacing w:after="0" w:line="240" w:lineRule="auto"/>
              <w:rPr>
                <w:rFonts w:ascii="Times New Roman" w:eastAsia="Times New Roman" w:hAnsi="Times New Roman" w:cs="Times New Roman"/>
                <w:b/>
                <w:sz w:val="24"/>
                <w:szCs w:val="24"/>
                <w:lang w:eastAsia="pl-PL"/>
              </w:rPr>
            </w:pPr>
          </w:p>
          <w:p w14:paraId="38CC2BCF" w14:textId="77777777" w:rsidR="009C317A" w:rsidRPr="00FB76A9" w:rsidRDefault="009C317A" w:rsidP="00FD5CD5">
            <w:pPr>
              <w:spacing w:after="0" w:line="240" w:lineRule="auto"/>
              <w:rPr>
                <w:rFonts w:ascii="Times New Roman" w:eastAsia="Times New Roman" w:hAnsi="Times New Roman" w:cs="Times New Roman"/>
                <w:b/>
                <w:sz w:val="24"/>
                <w:szCs w:val="24"/>
                <w:lang w:eastAsia="pl-PL"/>
              </w:rPr>
            </w:pPr>
          </w:p>
          <w:p w14:paraId="0BB96C0F" w14:textId="77777777" w:rsidR="009C317A" w:rsidRPr="00FB76A9" w:rsidRDefault="009C317A" w:rsidP="00FD5CD5">
            <w:pPr>
              <w:spacing w:after="0" w:line="240" w:lineRule="auto"/>
              <w:rPr>
                <w:rFonts w:ascii="Times New Roman" w:eastAsia="Times New Roman" w:hAnsi="Times New Roman" w:cs="Times New Roman"/>
                <w:b/>
                <w:sz w:val="24"/>
                <w:szCs w:val="24"/>
                <w:lang w:eastAsia="pl-PL"/>
              </w:rPr>
            </w:pPr>
          </w:p>
          <w:p w14:paraId="63733657" w14:textId="77777777" w:rsidR="009C317A" w:rsidRPr="00FB76A9" w:rsidRDefault="009C317A" w:rsidP="00FD5CD5">
            <w:pPr>
              <w:spacing w:after="0" w:line="240" w:lineRule="auto"/>
              <w:rPr>
                <w:rFonts w:ascii="Times New Roman" w:eastAsia="Times New Roman" w:hAnsi="Times New Roman" w:cs="Times New Roman"/>
                <w:b/>
                <w:sz w:val="24"/>
                <w:szCs w:val="24"/>
                <w:lang w:eastAsia="pl-PL"/>
              </w:rPr>
            </w:pPr>
          </w:p>
          <w:p w14:paraId="55F89EF7" w14:textId="77777777" w:rsidR="009C317A" w:rsidRPr="00FB76A9" w:rsidRDefault="009C317A" w:rsidP="00FD5CD5">
            <w:pPr>
              <w:spacing w:after="0" w:line="240" w:lineRule="auto"/>
              <w:rPr>
                <w:rFonts w:ascii="Times New Roman" w:eastAsia="Times New Roman" w:hAnsi="Times New Roman" w:cs="Times New Roman"/>
                <w:b/>
                <w:sz w:val="24"/>
                <w:szCs w:val="24"/>
                <w:lang w:eastAsia="pl-PL"/>
              </w:rPr>
            </w:pPr>
          </w:p>
          <w:p w14:paraId="3DF75122" w14:textId="77777777" w:rsidR="009C317A" w:rsidRPr="00FB76A9" w:rsidRDefault="009C317A" w:rsidP="00FD5CD5">
            <w:pPr>
              <w:spacing w:after="0" w:line="240" w:lineRule="auto"/>
              <w:rPr>
                <w:rFonts w:ascii="Times New Roman" w:eastAsia="Times New Roman" w:hAnsi="Times New Roman" w:cs="Times New Roman"/>
                <w:b/>
                <w:sz w:val="24"/>
                <w:szCs w:val="24"/>
                <w:lang w:eastAsia="pl-PL"/>
              </w:rPr>
            </w:pPr>
          </w:p>
          <w:p w14:paraId="53F0524D" w14:textId="77777777" w:rsidR="009C317A" w:rsidRPr="00FB76A9" w:rsidRDefault="009C317A" w:rsidP="00FD5CD5">
            <w:pPr>
              <w:spacing w:after="0" w:line="240" w:lineRule="auto"/>
              <w:rPr>
                <w:rFonts w:ascii="Times New Roman" w:eastAsia="Times New Roman" w:hAnsi="Times New Roman" w:cs="Times New Roman"/>
                <w:b/>
                <w:sz w:val="24"/>
                <w:szCs w:val="24"/>
                <w:lang w:eastAsia="pl-PL"/>
              </w:rPr>
            </w:pPr>
          </w:p>
          <w:p w14:paraId="459242B7" w14:textId="77777777" w:rsidR="009C317A" w:rsidRPr="00FB76A9" w:rsidRDefault="009C317A" w:rsidP="00FD5CD5">
            <w:pPr>
              <w:spacing w:after="0" w:line="240" w:lineRule="auto"/>
              <w:rPr>
                <w:rFonts w:ascii="Times New Roman" w:eastAsia="Times New Roman" w:hAnsi="Times New Roman" w:cs="Times New Roman"/>
                <w:b/>
                <w:sz w:val="24"/>
                <w:szCs w:val="24"/>
                <w:lang w:eastAsia="pl-PL"/>
              </w:rPr>
            </w:pPr>
          </w:p>
          <w:p w14:paraId="17165228" w14:textId="77777777" w:rsidR="009C317A" w:rsidRPr="00FB76A9" w:rsidRDefault="009C317A" w:rsidP="00FD5CD5">
            <w:pPr>
              <w:spacing w:after="0" w:line="240" w:lineRule="auto"/>
              <w:rPr>
                <w:rFonts w:ascii="Times New Roman" w:eastAsia="Times New Roman" w:hAnsi="Times New Roman" w:cs="Times New Roman"/>
                <w:b/>
                <w:sz w:val="24"/>
                <w:szCs w:val="24"/>
                <w:lang w:eastAsia="pl-PL"/>
              </w:rPr>
            </w:pPr>
          </w:p>
          <w:p w14:paraId="4E5A7CAE" w14:textId="77777777" w:rsidR="009C317A" w:rsidRPr="00FB76A9" w:rsidRDefault="009C317A" w:rsidP="00FD5CD5">
            <w:pPr>
              <w:spacing w:after="0" w:line="240" w:lineRule="auto"/>
              <w:rPr>
                <w:rFonts w:ascii="Times New Roman" w:eastAsia="Times New Roman" w:hAnsi="Times New Roman" w:cs="Times New Roman"/>
                <w:b/>
                <w:sz w:val="24"/>
                <w:szCs w:val="24"/>
                <w:lang w:eastAsia="pl-PL"/>
              </w:rPr>
            </w:pPr>
          </w:p>
          <w:p w14:paraId="006E093D" w14:textId="77777777" w:rsidR="00A1268A" w:rsidRPr="00FB76A9" w:rsidRDefault="00A1268A" w:rsidP="00FD5CD5">
            <w:pPr>
              <w:spacing w:after="0" w:line="240" w:lineRule="auto"/>
              <w:rPr>
                <w:rFonts w:ascii="Times New Roman" w:eastAsia="Times New Roman" w:hAnsi="Times New Roman" w:cs="Times New Roman"/>
                <w:b/>
                <w:sz w:val="24"/>
                <w:szCs w:val="24"/>
                <w:lang w:eastAsia="pl-PL"/>
              </w:rPr>
            </w:pPr>
          </w:p>
          <w:p w14:paraId="18651D76" w14:textId="77777777" w:rsidR="00A1268A" w:rsidRPr="00FB76A9" w:rsidRDefault="00A1268A" w:rsidP="00FD5CD5">
            <w:pPr>
              <w:spacing w:after="0" w:line="240" w:lineRule="auto"/>
              <w:rPr>
                <w:rFonts w:ascii="Times New Roman" w:eastAsia="Times New Roman" w:hAnsi="Times New Roman" w:cs="Times New Roman"/>
                <w:b/>
                <w:sz w:val="24"/>
                <w:szCs w:val="24"/>
                <w:lang w:eastAsia="pl-PL"/>
              </w:rPr>
            </w:pPr>
          </w:p>
          <w:p w14:paraId="7A280976" w14:textId="77777777" w:rsidR="00A1268A" w:rsidRPr="00FB76A9" w:rsidRDefault="00A1268A" w:rsidP="00FD5CD5">
            <w:pPr>
              <w:spacing w:after="0" w:line="240" w:lineRule="auto"/>
              <w:rPr>
                <w:rFonts w:ascii="Times New Roman" w:eastAsia="Times New Roman" w:hAnsi="Times New Roman" w:cs="Times New Roman"/>
                <w:b/>
                <w:sz w:val="24"/>
                <w:szCs w:val="24"/>
                <w:lang w:eastAsia="pl-PL"/>
              </w:rPr>
            </w:pPr>
          </w:p>
          <w:p w14:paraId="6CFFF827" w14:textId="77777777" w:rsidR="00A1268A" w:rsidRPr="00FB76A9" w:rsidRDefault="00A1268A" w:rsidP="00FD5CD5">
            <w:pPr>
              <w:spacing w:after="0" w:line="240" w:lineRule="auto"/>
              <w:rPr>
                <w:rFonts w:ascii="Times New Roman" w:eastAsia="Times New Roman" w:hAnsi="Times New Roman" w:cs="Times New Roman"/>
                <w:b/>
                <w:sz w:val="24"/>
                <w:szCs w:val="24"/>
                <w:lang w:eastAsia="pl-PL"/>
              </w:rPr>
            </w:pPr>
          </w:p>
          <w:p w14:paraId="32DFD134" w14:textId="77777777" w:rsidR="00135370" w:rsidRPr="00FB76A9" w:rsidRDefault="00135370" w:rsidP="00FD5CD5">
            <w:pPr>
              <w:spacing w:after="0" w:line="240" w:lineRule="auto"/>
              <w:rPr>
                <w:rFonts w:ascii="Times New Roman" w:eastAsia="Times New Roman" w:hAnsi="Times New Roman" w:cs="Times New Roman"/>
                <w:b/>
                <w:sz w:val="24"/>
                <w:szCs w:val="24"/>
                <w:lang w:eastAsia="pl-PL"/>
              </w:rPr>
            </w:pPr>
          </w:p>
          <w:p w14:paraId="4F69740F" w14:textId="77777777" w:rsidR="00135370" w:rsidRPr="00FB76A9" w:rsidRDefault="00135370" w:rsidP="00FD5CD5">
            <w:pPr>
              <w:spacing w:after="0" w:line="240" w:lineRule="auto"/>
              <w:rPr>
                <w:rFonts w:ascii="Times New Roman" w:eastAsia="Times New Roman" w:hAnsi="Times New Roman" w:cs="Times New Roman"/>
                <w:b/>
                <w:sz w:val="24"/>
                <w:szCs w:val="24"/>
                <w:lang w:eastAsia="pl-PL"/>
              </w:rPr>
            </w:pPr>
          </w:p>
          <w:p w14:paraId="1B9637D2" w14:textId="77777777" w:rsidR="00135370" w:rsidRPr="00FB76A9" w:rsidRDefault="00135370" w:rsidP="00FD5CD5">
            <w:pPr>
              <w:spacing w:after="0" w:line="240" w:lineRule="auto"/>
              <w:rPr>
                <w:rFonts w:ascii="Times New Roman" w:eastAsia="Times New Roman" w:hAnsi="Times New Roman" w:cs="Times New Roman"/>
                <w:b/>
                <w:sz w:val="24"/>
                <w:szCs w:val="24"/>
                <w:lang w:eastAsia="pl-PL"/>
              </w:rPr>
            </w:pPr>
          </w:p>
          <w:p w14:paraId="6CE83AFE" w14:textId="77777777" w:rsidR="00135370" w:rsidRPr="00FB76A9" w:rsidRDefault="00135370" w:rsidP="00FD5CD5">
            <w:pPr>
              <w:spacing w:after="0" w:line="240" w:lineRule="auto"/>
              <w:rPr>
                <w:rFonts w:ascii="Times New Roman" w:eastAsia="Times New Roman" w:hAnsi="Times New Roman" w:cs="Times New Roman"/>
                <w:b/>
                <w:sz w:val="24"/>
                <w:szCs w:val="24"/>
                <w:lang w:eastAsia="pl-PL"/>
              </w:rPr>
            </w:pPr>
          </w:p>
          <w:p w14:paraId="242C1BF6" w14:textId="77777777" w:rsidR="00135370" w:rsidRPr="00FB76A9" w:rsidRDefault="00135370" w:rsidP="00FD5CD5">
            <w:pPr>
              <w:spacing w:after="0" w:line="240" w:lineRule="auto"/>
              <w:rPr>
                <w:rFonts w:ascii="Times New Roman" w:eastAsia="Times New Roman" w:hAnsi="Times New Roman" w:cs="Times New Roman"/>
                <w:b/>
                <w:sz w:val="24"/>
                <w:szCs w:val="24"/>
                <w:lang w:eastAsia="pl-PL"/>
              </w:rPr>
            </w:pPr>
          </w:p>
          <w:p w14:paraId="4B395F3E" w14:textId="77777777" w:rsidR="00135370" w:rsidRPr="00FB76A9" w:rsidRDefault="00135370" w:rsidP="00FD5CD5">
            <w:pPr>
              <w:spacing w:after="0" w:line="240" w:lineRule="auto"/>
              <w:rPr>
                <w:rFonts w:ascii="Times New Roman" w:eastAsia="Times New Roman" w:hAnsi="Times New Roman" w:cs="Times New Roman"/>
                <w:b/>
                <w:sz w:val="24"/>
                <w:szCs w:val="24"/>
                <w:lang w:eastAsia="pl-PL"/>
              </w:rPr>
            </w:pPr>
          </w:p>
          <w:p w14:paraId="7307B42C" w14:textId="77777777" w:rsidR="00135370" w:rsidRPr="00FB76A9" w:rsidRDefault="00135370" w:rsidP="00FD5CD5">
            <w:pPr>
              <w:spacing w:after="0" w:line="240" w:lineRule="auto"/>
              <w:rPr>
                <w:rFonts w:ascii="Times New Roman" w:eastAsia="Times New Roman" w:hAnsi="Times New Roman" w:cs="Times New Roman"/>
                <w:b/>
                <w:sz w:val="24"/>
                <w:szCs w:val="24"/>
                <w:lang w:eastAsia="pl-PL"/>
              </w:rPr>
            </w:pPr>
          </w:p>
          <w:p w14:paraId="0997F659" w14:textId="77777777" w:rsidR="00135370" w:rsidRPr="00FB76A9" w:rsidRDefault="00135370" w:rsidP="00FD5CD5">
            <w:pPr>
              <w:spacing w:after="0" w:line="240" w:lineRule="auto"/>
              <w:rPr>
                <w:rFonts w:ascii="Times New Roman" w:eastAsia="Times New Roman" w:hAnsi="Times New Roman" w:cs="Times New Roman"/>
                <w:b/>
                <w:sz w:val="24"/>
                <w:szCs w:val="24"/>
                <w:lang w:eastAsia="pl-PL"/>
              </w:rPr>
            </w:pPr>
          </w:p>
          <w:p w14:paraId="25D25946" w14:textId="77777777" w:rsidR="00135370" w:rsidRPr="00FB76A9" w:rsidRDefault="00135370" w:rsidP="00FD5CD5">
            <w:pPr>
              <w:spacing w:after="0" w:line="240" w:lineRule="auto"/>
              <w:rPr>
                <w:rFonts w:ascii="Times New Roman" w:eastAsia="Times New Roman" w:hAnsi="Times New Roman" w:cs="Times New Roman"/>
                <w:b/>
                <w:sz w:val="24"/>
                <w:szCs w:val="24"/>
                <w:lang w:eastAsia="pl-PL"/>
              </w:rPr>
            </w:pPr>
          </w:p>
          <w:p w14:paraId="11B79AF7" w14:textId="77777777" w:rsidR="00135370" w:rsidRPr="00FB76A9" w:rsidRDefault="00135370" w:rsidP="00FD5CD5">
            <w:pPr>
              <w:spacing w:after="0" w:line="240" w:lineRule="auto"/>
              <w:rPr>
                <w:rFonts w:ascii="Times New Roman" w:eastAsia="Times New Roman" w:hAnsi="Times New Roman" w:cs="Times New Roman"/>
                <w:b/>
                <w:sz w:val="24"/>
                <w:szCs w:val="24"/>
                <w:lang w:eastAsia="pl-PL"/>
              </w:rPr>
            </w:pPr>
          </w:p>
          <w:p w14:paraId="4BC0A29D" w14:textId="77777777" w:rsidR="00135370" w:rsidRPr="00FB76A9" w:rsidRDefault="00135370" w:rsidP="00FD5CD5">
            <w:pPr>
              <w:spacing w:after="0" w:line="240" w:lineRule="auto"/>
              <w:rPr>
                <w:rFonts w:ascii="Times New Roman" w:eastAsia="Times New Roman" w:hAnsi="Times New Roman" w:cs="Times New Roman"/>
                <w:b/>
                <w:sz w:val="24"/>
                <w:szCs w:val="24"/>
                <w:lang w:eastAsia="pl-PL"/>
              </w:rPr>
            </w:pPr>
          </w:p>
          <w:p w14:paraId="382B334F" w14:textId="77777777" w:rsidR="00135370" w:rsidRPr="00FB76A9" w:rsidRDefault="00135370" w:rsidP="00FD5CD5">
            <w:pPr>
              <w:spacing w:after="0" w:line="240" w:lineRule="auto"/>
              <w:rPr>
                <w:rFonts w:ascii="Times New Roman" w:eastAsia="Times New Roman" w:hAnsi="Times New Roman" w:cs="Times New Roman"/>
                <w:b/>
                <w:sz w:val="24"/>
                <w:szCs w:val="24"/>
                <w:lang w:eastAsia="pl-PL"/>
              </w:rPr>
            </w:pPr>
          </w:p>
          <w:p w14:paraId="6C5C221B" w14:textId="77777777" w:rsidR="00135370" w:rsidRPr="00FB76A9" w:rsidRDefault="00135370" w:rsidP="00FD5CD5">
            <w:pPr>
              <w:spacing w:after="0" w:line="240" w:lineRule="auto"/>
              <w:rPr>
                <w:rFonts w:ascii="Times New Roman" w:eastAsia="Times New Roman" w:hAnsi="Times New Roman" w:cs="Times New Roman"/>
                <w:b/>
                <w:sz w:val="24"/>
                <w:szCs w:val="24"/>
                <w:lang w:eastAsia="pl-PL"/>
              </w:rPr>
            </w:pPr>
          </w:p>
          <w:p w14:paraId="25955FCB"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Art. 46</w:t>
            </w:r>
          </w:p>
          <w:p w14:paraId="6E88BD7E"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EDA874F"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08590FA"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4F17B843"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C04BC7A"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3CBF81DE"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19E5EA8E"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4641950"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F2BCFBB"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3ECCFF37"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967C95B"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DA482DE"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2B3D848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7212B91C"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3546799"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68173F4E"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EE494A9"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22804DE"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544F7A96"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p w14:paraId="081EA058" w14:textId="77777777" w:rsidR="002B5B3B" w:rsidRPr="00FB76A9" w:rsidRDefault="002B5B3B" w:rsidP="00FD5CD5">
            <w:pPr>
              <w:spacing w:after="0" w:line="240" w:lineRule="auto"/>
              <w:rPr>
                <w:rFonts w:ascii="Times New Roman" w:eastAsia="Times New Roman" w:hAnsi="Times New Roman" w:cs="Times New Roman"/>
                <w:b/>
                <w:sz w:val="24"/>
                <w:szCs w:val="24"/>
                <w:lang w:eastAsia="pl-PL"/>
              </w:rPr>
            </w:pPr>
          </w:p>
        </w:tc>
        <w:tc>
          <w:tcPr>
            <w:tcW w:w="5386" w:type="dxa"/>
            <w:gridSpan w:val="2"/>
            <w:tcBorders>
              <w:top w:val="single" w:sz="4" w:space="0" w:color="auto"/>
              <w:left w:val="single" w:sz="4" w:space="0" w:color="auto"/>
              <w:bottom w:val="single" w:sz="4" w:space="0" w:color="auto"/>
              <w:right w:val="single" w:sz="4" w:space="0" w:color="auto"/>
            </w:tcBorders>
          </w:tcPr>
          <w:p w14:paraId="19F9FDE7" w14:textId="77777777" w:rsidR="005127DF" w:rsidRPr="00FB76A9" w:rsidRDefault="00F91BE6" w:rsidP="00FD5CD5">
            <w:pPr>
              <w:pStyle w:val="CM4"/>
            </w:pPr>
            <w:r w:rsidRPr="00FB76A9">
              <w:lastRenderedPageBreak/>
              <w:t xml:space="preserve">„Art. 44. </w:t>
            </w:r>
            <w:r w:rsidR="005127DF" w:rsidRPr="00FB76A9">
              <w:t xml:space="preserve">1. Państwa członkowskie udzielają unijnego indywidualnego dopuszczenia pojazdowi, który spełnia wymogi określone w załączniku II część I dodatek 2 lub, w przypadku pojazdów specjalnego przeznaczenia, w części III załącznika II. </w:t>
            </w:r>
          </w:p>
          <w:p w14:paraId="268E47A8" w14:textId="77777777" w:rsidR="005127DF" w:rsidRPr="00FB76A9" w:rsidRDefault="005127DF" w:rsidP="00FD5CD5">
            <w:pPr>
              <w:pStyle w:val="CM4"/>
            </w:pPr>
            <w:r w:rsidRPr="00FB76A9">
              <w:t xml:space="preserve">Rozdział ten nie ma zastosowania do pojazdów niekompletnych. </w:t>
            </w:r>
          </w:p>
          <w:p w14:paraId="3B5FCF79" w14:textId="77777777" w:rsidR="005127DF" w:rsidRPr="00FB76A9" w:rsidRDefault="005127DF" w:rsidP="00FD5CD5">
            <w:pPr>
              <w:pStyle w:val="CM4"/>
            </w:pPr>
            <w:r w:rsidRPr="00FB76A9">
              <w:t xml:space="preserve">2. Wniosek o unijne indywidualne dopuszczenie pojazdu składa właściciel pojazdu, producent, przedstawiciel producenta lub importer. </w:t>
            </w:r>
          </w:p>
          <w:p w14:paraId="65A72DD2" w14:textId="77777777" w:rsidR="005127DF" w:rsidRPr="00FB76A9" w:rsidRDefault="005127DF" w:rsidP="00FD5CD5">
            <w:pPr>
              <w:pStyle w:val="CM4"/>
            </w:pPr>
            <w:r w:rsidRPr="00FB76A9">
              <w:t xml:space="preserve">3. Państwa członkowskie nie przeprowadzają badań niszczących w celu ustalenia, czy pojazd spełnia wymogi, o których mowa w ust. 1, ale wykorzystują wszelkie istotne informacje dostarczone w tym celu przez wnioskodawcę. </w:t>
            </w:r>
          </w:p>
          <w:p w14:paraId="5995BB76" w14:textId="77777777" w:rsidR="005127DF" w:rsidRPr="00FB76A9" w:rsidRDefault="005127DF" w:rsidP="00FD5CD5">
            <w:pPr>
              <w:pStyle w:val="CM4"/>
            </w:pPr>
            <w:r w:rsidRPr="00FB76A9">
              <w:t xml:space="preserve">4. Świadectwo unijnego indywidualnego dopuszczenia pojazdu otrzymuje wydawany zgodnie ze zharmonizowanym systemem numeracji niepowtarzalny numer umożliwiający co najmniej identyfikację państwa członkowskiego, które udzieliło unijnego indywidualnego dopuszczenia pojazdu. </w:t>
            </w:r>
          </w:p>
          <w:p w14:paraId="60458677" w14:textId="77777777" w:rsidR="005127DF" w:rsidRPr="00FB76A9" w:rsidRDefault="005127DF" w:rsidP="00FD5CD5">
            <w:pPr>
              <w:pStyle w:val="CM4"/>
            </w:pPr>
            <w:r w:rsidRPr="00FB76A9">
              <w:t xml:space="preserve">5. Komisja przyjmuje akty wykonawcze określające wzór i system numeracji świadectw unijnego indywidualnego dopuszczenia pojazdu. Te akty wykonawcze przyjmuje się zgodnie z procedurą </w:t>
            </w:r>
            <w:r w:rsidRPr="00FB76A9">
              <w:lastRenderedPageBreak/>
              <w:t xml:space="preserve">sprawdzającą, o której mowa w art. 83 ust. 2. Pierwszy taki akt wykonawczy zostanie przyjęty do dnia 5 lipca 2020 r. </w:t>
            </w:r>
          </w:p>
          <w:p w14:paraId="664472F2" w14:textId="77777777" w:rsidR="005127DF" w:rsidRPr="00FB76A9" w:rsidRDefault="005127DF" w:rsidP="00FD5CD5">
            <w:pPr>
              <w:pStyle w:val="CM4"/>
            </w:pPr>
            <w:r w:rsidRPr="00FB76A9">
              <w:t xml:space="preserve">6. Państwa członkowskie zezwalają na wprowadzenie do obrotu, rejestrację lub dopuszczenie pojazdów z ważnym świadectwem unijnego indywidualnego dopuszczenia pojazdu. </w:t>
            </w:r>
          </w:p>
          <w:p w14:paraId="6AFAA772" w14:textId="77777777" w:rsidR="00F91BE6" w:rsidRPr="00FB76A9" w:rsidRDefault="005127DF" w:rsidP="00FD5CD5">
            <w:pPr>
              <w:pStyle w:val="CM4"/>
            </w:pPr>
            <w:r w:rsidRPr="00FB76A9">
              <w:t>7. Komisja jest uprawniona do przyjmowania zgodnie z art. 82 aktów delegowanych zmieniających załącznik II część I w celu określenia wymogów technicznych dla pojazdów kategorii M, N i O.</w:t>
            </w:r>
          </w:p>
          <w:p w14:paraId="2CF6B215" w14:textId="77777777" w:rsidR="005127DF" w:rsidRPr="00FB76A9" w:rsidRDefault="005127DF" w:rsidP="00FD5CD5">
            <w:pPr>
              <w:pStyle w:val="CM4"/>
            </w:pPr>
            <w:r w:rsidRPr="00FB76A9">
              <w:t xml:space="preserve">Art. 45.1. Państwa członkowskie mogą podjąć decyzję o zwolnieniu określonego pojazdu, niezależnie od tego, czy jest to jedyny egzemplarz pojazdu, z obowiązku spełniania jednego lub wielu wymogów niniejszego rozporządzenia lub jednego lub wielu wymogów określonych w aktach prawnych wymienionych w załączniku II, pod warunkiem że wprowadzą stosowne wymogi alternatywne. </w:t>
            </w:r>
          </w:p>
          <w:p w14:paraId="0F1A983D" w14:textId="77777777" w:rsidR="005127DF" w:rsidRPr="00FB76A9" w:rsidRDefault="005127DF" w:rsidP="00FD5CD5">
            <w:pPr>
              <w:pStyle w:val="CM4"/>
            </w:pPr>
            <w:r w:rsidRPr="00FB76A9">
              <w:t xml:space="preserve">2. Wniosek o krajowe indywidualne dopuszczenie pojazdu składa właściciel pojazdu, producent, przedstawiciel producenta lub importer. </w:t>
            </w:r>
          </w:p>
          <w:p w14:paraId="0A4F1004" w14:textId="77777777" w:rsidR="005127DF" w:rsidRPr="00FB76A9" w:rsidRDefault="005127DF" w:rsidP="00FD5CD5">
            <w:pPr>
              <w:pStyle w:val="CM4"/>
            </w:pPr>
            <w:r w:rsidRPr="00FB76A9">
              <w:t xml:space="preserve">3. Państwa członkowskie nie przeprowadzają badań niszczących w celu ustalenia, czy pojazd spełnia wymogi alternatywne, o których mowa w ust. 1, ale wykorzystują wszelkie istotne informacje dostarczone w tym celu przez wnioskodawcę. </w:t>
            </w:r>
          </w:p>
          <w:p w14:paraId="1626113E" w14:textId="77777777" w:rsidR="005127DF" w:rsidRPr="00FB76A9" w:rsidRDefault="005127DF" w:rsidP="00FD5CD5">
            <w:pPr>
              <w:pStyle w:val="CM4"/>
            </w:pPr>
            <w:r w:rsidRPr="00FB76A9">
              <w:t xml:space="preserve">4. Do celów krajowego indywidualnego dopuszczenia pojazdu organ udzielający dopuszczenia akceptuje układy, komponenty i oddzielne zespoły techniczne, którym udzielono homologacji typu zgodnie z aktami prawnymi wymienionymi w załączniku II. </w:t>
            </w:r>
          </w:p>
          <w:p w14:paraId="4D703C4F" w14:textId="77777777" w:rsidR="005127DF" w:rsidRPr="00FB76A9" w:rsidRDefault="005127DF" w:rsidP="00FD5CD5">
            <w:pPr>
              <w:pStyle w:val="CM4"/>
            </w:pPr>
            <w:r w:rsidRPr="00FB76A9">
              <w:lastRenderedPageBreak/>
              <w:t xml:space="preserve">5. Państwo członkowskie niezwłocznie wydaje świadectwo krajowego indywidualnego dopuszczenia pojazdu, jeżeli pojazd jest zgodny z opisem załączonym do wniosku i spełnia stosowne wymogi alternatywne. </w:t>
            </w:r>
          </w:p>
          <w:p w14:paraId="65C672CC" w14:textId="77777777" w:rsidR="005127DF" w:rsidRPr="00FB76A9" w:rsidRDefault="005127DF" w:rsidP="00FD5CD5">
            <w:pPr>
              <w:pStyle w:val="CM4"/>
            </w:pPr>
            <w:r w:rsidRPr="00FB76A9">
              <w:t xml:space="preserve">6. Świadectwo krajowego indywidualnego dopuszczenia pojazdu otrzymuje wydawany zgodnie ze zharmonizowanym systemem numeracji niepowtarzalny numer pozwalający co najmniej na identyfikację państwa członkowskiego, które udzieliło homologacji, oraz na identyfikację wymogów, które spełnia dany pojazd. </w:t>
            </w:r>
          </w:p>
          <w:p w14:paraId="092EDC9F" w14:textId="77777777" w:rsidR="005127DF" w:rsidRPr="00FB76A9" w:rsidRDefault="005127DF" w:rsidP="00FD5CD5">
            <w:pPr>
              <w:pStyle w:val="CM4"/>
            </w:pPr>
            <w:r w:rsidRPr="00FB76A9">
              <w:t xml:space="preserve">7. Komisja przyjmuje akty wykonawcze określające wzór i system numeracji świadectw krajowego indywidualnego dopuszczenia pojazdu. Te akty wykonawcze przyjmuje się zgodnie z procedurą sprawdzającą, o której mowa w art. 83 ust. 2. Do czasu przyjęcia przez Komisję takiego aktu wykonawczego państwa członkowskie mogą w dalszym ciągu określać format świadectw krajowego indywidualnego dopuszczenia pojazdu. </w:t>
            </w:r>
          </w:p>
          <w:p w14:paraId="65D27170" w14:textId="77777777" w:rsidR="002B5B3B" w:rsidRPr="00FB76A9" w:rsidRDefault="002B5B3B" w:rsidP="00FD5CD5">
            <w:pPr>
              <w:pStyle w:val="CM4"/>
              <w:rPr>
                <w:i/>
                <w:iCs/>
              </w:rPr>
            </w:pPr>
          </w:p>
          <w:p w14:paraId="5556BFEF" w14:textId="77777777" w:rsidR="002B5B3B" w:rsidRPr="00FB76A9" w:rsidRDefault="002B5B3B" w:rsidP="00FD5CD5">
            <w:pPr>
              <w:pStyle w:val="CM4"/>
            </w:pPr>
          </w:p>
          <w:p w14:paraId="7C0E2364" w14:textId="77777777" w:rsidR="002B5B3B" w:rsidRPr="00FB76A9" w:rsidRDefault="002B5B3B" w:rsidP="00FD5CD5">
            <w:pPr>
              <w:pStyle w:val="CM4"/>
            </w:pPr>
          </w:p>
          <w:p w14:paraId="45709EED" w14:textId="77777777" w:rsidR="002B5B3B" w:rsidRPr="00FB76A9" w:rsidRDefault="002B5B3B" w:rsidP="00FD5CD5">
            <w:pPr>
              <w:pStyle w:val="CM4"/>
            </w:pPr>
          </w:p>
          <w:p w14:paraId="0C8DBDA5" w14:textId="77777777" w:rsidR="002B5B3B" w:rsidRPr="00FB76A9" w:rsidRDefault="002B5B3B" w:rsidP="00FD5CD5">
            <w:pPr>
              <w:pStyle w:val="CM4"/>
            </w:pPr>
          </w:p>
          <w:p w14:paraId="34B12AB9" w14:textId="77777777" w:rsidR="002B5B3B" w:rsidRPr="00FB76A9" w:rsidRDefault="002B5B3B" w:rsidP="00FD5CD5">
            <w:pPr>
              <w:pStyle w:val="CM4"/>
            </w:pPr>
          </w:p>
          <w:p w14:paraId="0BC0D580" w14:textId="77777777" w:rsidR="002B5B3B" w:rsidRPr="00FB76A9" w:rsidRDefault="002B5B3B" w:rsidP="00FD5CD5">
            <w:pPr>
              <w:pStyle w:val="CM4"/>
            </w:pPr>
          </w:p>
          <w:p w14:paraId="7FCB3E40" w14:textId="77777777" w:rsidR="002B5B3B" w:rsidRPr="00FB76A9" w:rsidRDefault="002B5B3B" w:rsidP="00FD5CD5">
            <w:pPr>
              <w:pStyle w:val="CM4"/>
            </w:pPr>
          </w:p>
          <w:p w14:paraId="33202AA4" w14:textId="77777777" w:rsidR="002B5B3B" w:rsidRPr="00FB76A9" w:rsidRDefault="002B5B3B" w:rsidP="00FD5CD5">
            <w:pPr>
              <w:pStyle w:val="CM4"/>
            </w:pPr>
          </w:p>
          <w:p w14:paraId="7410A620" w14:textId="77777777" w:rsidR="002B5B3B" w:rsidRPr="00FB76A9" w:rsidRDefault="002B5B3B" w:rsidP="00FD5CD5">
            <w:pPr>
              <w:pStyle w:val="CM4"/>
            </w:pPr>
          </w:p>
          <w:p w14:paraId="3DC1FD94" w14:textId="77777777" w:rsidR="002B5B3B" w:rsidRPr="00FB76A9" w:rsidRDefault="002B5B3B" w:rsidP="00FD5CD5">
            <w:pPr>
              <w:pStyle w:val="CM4"/>
            </w:pPr>
          </w:p>
          <w:p w14:paraId="5629FC98" w14:textId="77777777" w:rsidR="002B5B3B" w:rsidRPr="00FB76A9" w:rsidRDefault="002B5B3B" w:rsidP="00FD5CD5">
            <w:pPr>
              <w:pStyle w:val="CM4"/>
            </w:pPr>
          </w:p>
          <w:p w14:paraId="23CC274A" w14:textId="77777777" w:rsidR="002B5B3B" w:rsidRPr="00FB76A9" w:rsidRDefault="002B5B3B" w:rsidP="00FD5CD5">
            <w:pPr>
              <w:pStyle w:val="CM4"/>
            </w:pPr>
          </w:p>
          <w:p w14:paraId="6A0C1414" w14:textId="77777777" w:rsidR="002B5B3B" w:rsidRPr="00FB76A9" w:rsidRDefault="002B5B3B" w:rsidP="00FD5CD5">
            <w:pPr>
              <w:pStyle w:val="CM4"/>
            </w:pPr>
          </w:p>
          <w:p w14:paraId="6C6B2711" w14:textId="77777777" w:rsidR="002B5B3B" w:rsidRPr="00FB76A9" w:rsidRDefault="002B5B3B" w:rsidP="00FD5CD5">
            <w:pPr>
              <w:pStyle w:val="CM4"/>
            </w:pPr>
          </w:p>
          <w:p w14:paraId="65C6B547" w14:textId="77777777" w:rsidR="002B5B3B" w:rsidRPr="00FB76A9" w:rsidRDefault="002B5B3B" w:rsidP="00FD5CD5">
            <w:pPr>
              <w:pStyle w:val="CM4"/>
            </w:pPr>
          </w:p>
          <w:p w14:paraId="1325599C" w14:textId="77777777" w:rsidR="002B5B3B" w:rsidRPr="00FB76A9" w:rsidRDefault="002B5B3B" w:rsidP="00FD5CD5">
            <w:pPr>
              <w:pStyle w:val="CM4"/>
            </w:pPr>
          </w:p>
          <w:p w14:paraId="1AEB6FF8" w14:textId="77777777" w:rsidR="002B5B3B" w:rsidRPr="00FB76A9" w:rsidRDefault="002B5B3B" w:rsidP="00FD5CD5">
            <w:pPr>
              <w:pStyle w:val="CM4"/>
            </w:pPr>
          </w:p>
          <w:p w14:paraId="55333CB5" w14:textId="77777777" w:rsidR="002B5B3B" w:rsidRPr="00FB76A9" w:rsidRDefault="002B5B3B" w:rsidP="00FD5CD5">
            <w:pPr>
              <w:pStyle w:val="CM4"/>
            </w:pPr>
          </w:p>
          <w:p w14:paraId="29ACCDC3" w14:textId="77777777" w:rsidR="002B5B3B" w:rsidRPr="00FB76A9" w:rsidRDefault="002B5B3B" w:rsidP="00FD5CD5">
            <w:pPr>
              <w:pStyle w:val="CM4"/>
            </w:pPr>
          </w:p>
          <w:p w14:paraId="655E7BCB" w14:textId="77777777" w:rsidR="002B5B3B" w:rsidRPr="00FB76A9" w:rsidRDefault="002B5B3B" w:rsidP="00FD5CD5">
            <w:pPr>
              <w:pStyle w:val="CM4"/>
            </w:pPr>
          </w:p>
          <w:p w14:paraId="74BFFF4C" w14:textId="77777777" w:rsidR="002B5B3B" w:rsidRPr="00FB76A9" w:rsidRDefault="002B5B3B" w:rsidP="00FD5CD5">
            <w:pPr>
              <w:pStyle w:val="CM4"/>
            </w:pPr>
          </w:p>
          <w:p w14:paraId="04B1FDAD" w14:textId="77777777" w:rsidR="002B5B3B" w:rsidRPr="00FB76A9" w:rsidRDefault="002B5B3B" w:rsidP="00FD5CD5">
            <w:pPr>
              <w:pStyle w:val="CM4"/>
            </w:pPr>
          </w:p>
          <w:p w14:paraId="3B5D7B16" w14:textId="77777777" w:rsidR="002B5B3B" w:rsidRPr="00FB76A9" w:rsidRDefault="002B5B3B" w:rsidP="00FD5CD5">
            <w:pPr>
              <w:pStyle w:val="CM4"/>
            </w:pPr>
          </w:p>
          <w:p w14:paraId="0C47DF66" w14:textId="77777777" w:rsidR="002B5B3B" w:rsidRPr="00FB76A9" w:rsidRDefault="002B5B3B" w:rsidP="00FD5CD5">
            <w:pPr>
              <w:pStyle w:val="CM4"/>
            </w:pPr>
          </w:p>
          <w:p w14:paraId="3C520ED1" w14:textId="77777777" w:rsidR="002B5B3B" w:rsidRPr="00FB76A9" w:rsidRDefault="002B5B3B" w:rsidP="00FD5CD5">
            <w:pPr>
              <w:pStyle w:val="CM4"/>
            </w:pPr>
          </w:p>
          <w:p w14:paraId="330F3BB2" w14:textId="77777777" w:rsidR="002B5B3B" w:rsidRPr="00FB76A9" w:rsidRDefault="002B5B3B" w:rsidP="00FD5CD5">
            <w:pPr>
              <w:pStyle w:val="CM4"/>
            </w:pPr>
          </w:p>
          <w:p w14:paraId="6A71F859" w14:textId="77777777" w:rsidR="002B5B3B" w:rsidRPr="00FB76A9" w:rsidRDefault="002B5B3B" w:rsidP="00FD5CD5">
            <w:pPr>
              <w:pStyle w:val="CM4"/>
            </w:pPr>
          </w:p>
          <w:p w14:paraId="3151629F" w14:textId="77777777" w:rsidR="002B5B3B" w:rsidRPr="00FB76A9" w:rsidRDefault="002B5B3B" w:rsidP="00FD5CD5">
            <w:pPr>
              <w:pStyle w:val="CM4"/>
            </w:pPr>
          </w:p>
          <w:p w14:paraId="1A414402" w14:textId="77777777" w:rsidR="002B5B3B" w:rsidRPr="00FB76A9" w:rsidRDefault="002B5B3B" w:rsidP="00FD5CD5">
            <w:pPr>
              <w:pStyle w:val="CM4"/>
            </w:pPr>
          </w:p>
          <w:p w14:paraId="54DAB6D3" w14:textId="77777777" w:rsidR="002B5B3B" w:rsidRPr="00FB76A9" w:rsidRDefault="002B5B3B" w:rsidP="00FD5CD5">
            <w:pPr>
              <w:pStyle w:val="CM4"/>
            </w:pPr>
          </w:p>
          <w:p w14:paraId="65A49C09" w14:textId="77777777" w:rsidR="002B5B3B" w:rsidRPr="00FB76A9" w:rsidRDefault="002B5B3B" w:rsidP="00FD5CD5">
            <w:pPr>
              <w:pStyle w:val="CM4"/>
            </w:pPr>
          </w:p>
          <w:p w14:paraId="7702E7DF" w14:textId="77777777" w:rsidR="002B5B3B" w:rsidRPr="00FB76A9" w:rsidRDefault="002B5B3B" w:rsidP="00FD5CD5">
            <w:pPr>
              <w:pStyle w:val="CM4"/>
            </w:pPr>
          </w:p>
          <w:p w14:paraId="458657B6" w14:textId="77777777" w:rsidR="002B5B3B" w:rsidRPr="00FB76A9" w:rsidRDefault="002B5B3B" w:rsidP="00FD5CD5">
            <w:pPr>
              <w:pStyle w:val="CM4"/>
            </w:pPr>
          </w:p>
          <w:p w14:paraId="4DDFCB24" w14:textId="77777777" w:rsidR="002B5B3B" w:rsidRPr="00FB76A9" w:rsidRDefault="002B5B3B" w:rsidP="00FD5CD5">
            <w:pPr>
              <w:pStyle w:val="CM4"/>
            </w:pPr>
          </w:p>
          <w:p w14:paraId="1D80FEBE" w14:textId="77777777" w:rsidR="002B5B3B" w:rsidRPr="00FB76A9" w:rsidRDefault="002B5B3B" w:rsidP="00FD5CD5">
            <w:pPr>
              <w:pStyle w:val="CM4"/>
            </w:pPr>
          </w:p>
          <w:p w14:paraId="78B9909E" w14:textId="77777777" w:rsidR="002B5B3B" w:rsidRPr="00FB76A9" w:rsidRDefault="002B5B3B" w:rsidP="00FD5CD5">
            <w:pPr>
              <w:pStyle w:val="CM4"/>
            </w:pPr>
          </w:p>
          <w:p w14:paraId="01EDF630" w14:textId="77777777" w:rsidR="002B5B3B" w:rsidRPr="00FB76A9" w:rsidRDefault="002B5B3B" w:rsidP="00FD5CD5">
            <w:pPr>
              <w:pStyle w:val="CM4"/>
            </w:pPr>
          </w:p>
          <w:p w14:paraId="210A3B6C" w14:textId="77777777" w:rsidR="002B5B3B" w:rsidRPr="00FB76A9" w:rsidRDefault="002B5B3B" w:rsidP="00FD5CD5">
            <w:pPr>
              <w:pStyle w:val="CM4"/>
            </w:pPr>
          </w:p>
          <w:p w14:paraId="2096699E" w14:textId="77777777" w:rsidR="002B5B3B" w:rsidRPr="00FB76A9" w:rsidRDefault="002B5B3B" w:rsidP="00FD5CD5">
            <w:pPr>
              <w:pStyle w:val="CM4"/>
            </w:pPr>
          </w:p>
          <w:p w14:paraId="455E9289" w14:textId="77777777" w:rsidR="002B5B3B" w:rsidRPr="00FB76A9" w:rsidRDefault="002B5B3B" w:rsidP="00FD5CD5">
            <w:pPr>
              <w:pStyle w:val="CM4"/>
            </w:pPr>
          </w:p>
          <w:p w14:paraId="58287E31" w14:textId="77777777" w:rsidR="002B5B3B" w:rsidRPr="00FB76A9" w:rsidRDefault="002B5B3B" w:rsidP="00FD5CD5">
            <w:pPr>
              <w:pStyle w:val="CM4"/>
            </w:pPr>
          </w:p>
          <w:p w14:paraId="247DF146" w14:textId="77777777" w:rsidR="002B5B3B" w:rsidRPr="00FB76A9" w:rsidRDefault="002B5B3B" w:rsidP="00FD5CD5">
            <w:pPr>
              <w:pStyle w:val="CM4"/>
            </w:pPr>
          </w:p>
          <w:p w14:paraId="0E9DCB3F" w14:textId="77777777" w:rsidR="002B5B3B" w:rsidRPr="00FB76A9" w:rsidRDefault="002B5B3B" w:rsidP="00FD5CD5">
            <w:pPr>
              <w:pStyle w:val="CM4"/>
            </w:pPr>
          </w:p>
          <w:p w14:paraId="568AE7EF" w14:textId="77777777" w:rsidR="002B5B3B" w:rsidRPr="00FB76A9" w:rsidRDefault="002B5B3B" w:rsidP="00FD5CD5">
            <w:pPr>
              <w:pStyle w:val="CM4"/>
            </w:pPr>
          </w:p>
          <w:p w14:paraId="29F09092" w14:textId="77777777" w:rsidR="002B5B3B" w:rsidRPr="00FB76A9" w:rsidRDefault="002B5B3B" w:rsidP="00FD5CD5">
            <w:pPr>
              <w:pStyle w:val="CM4"/>
            </w:pPr>
          </w:p>
          <w:p w14:paraId="0CE6F53A" w14:textId="77777777" w:rsidR="002B5B3B" w:rsidRPr="00FB76A9" w:rsidRDefault="002B5B3B" w:rsidP="00FD5CD5">
            <w:pPr>
              <w:pStyle w:val="CM4"/>
            </w:pPr>
          </w:p>
          <w:p w14:paraId="135A70CA" w14:textId="77777777" w:rsidR="002B5B3B" w:rsidRPr="00FB76A9" w:rsidRDefault="002B5B3B" w:rsidP="00FD5CD5">
            <w:pPr>
              <w:pStyle w:val="CM4"/>
            </w:pPr>
          </w:p>
          <w:p w14:paraId="0FA5AA23" w14:textId="77777777" w:rsidR="002B5B3B" w:rsidRPr="00FB76A9" w:rsidRDefault="002B5B3B" w:rsidP="00FD5CD5">
            <w:pPr>
              <w:pStyle w:val="CM4"/>
            </w:pPr>
          </w:p>
          <w:p w14:paraId="617CAF65" w14:textId="77777777" w:rsidR="002B5B3B" w:rsidRPr="00FB76A9" w:rsidRDefault="002B5B3B" w:rsidP="00FD5CD5">
            <w:pPr>
              <w:pStyle w:val="CM4"/>
            </w:pPr>
          </w:p>
          <w:p w14:paraId="076195C1" w14:textId="77777777" w:rsidR="002B5B3B" w:rsidRPr="00FB76A9" w:rsidRDefault="002B5B3B" w:rsidP="00FD5CD5">
            <w:pPr>
              <w:pStyle w:val="CM4"/>
            </w:pPr>
          </w:p>
          <w:p w14:paraId="45BABB58" w14:textId="77777777" w:rsidR="002B5B3B" w:rsidRPr="00FB76A9" w:rsidRDefault="002B5B3B" w:rsidP="00FD5CD5">
            <w:pPr>
              <w:pStyle w:val="CM4"/>
            </w:pPr>
          </w:p>
          <w:p w14:paraId="27B1FB95" w14:textId="77777777" w:rsidR="002B5B3B" w:rsidRPr="00FB76A9" w:rsidRDefault="002B5B3B" w:rsidP="00FD5CD5">
            <w:pPr>
              <w:pStyle w:val="CM4"/>
            </w:pPr>
          </w:p>
          <w:p w14:paraId="720D4A15" w14:textId="77777777" w:rsidR="002B5B3B" w:rsidRPr="00FB76A9" w:rsidRDefault="002B5B3B" w:rsidP="00FD5CD5">
            <w:pPr>
              <w:pStyle w:val="CM4"/>
            </w:pPr>
          </w:p>
          <w:p w14:paraId="02E0085C" w14:textId="77777777" w:rsidR="002B5B3B" w:rsidRPr="00FB76A9" w:rsidRDefault="002B5B3B" w:rsidP="00FD5CD5">
            <w:pPr>
              <w:pStyle w:val="CM4"/>
            </w:pPr>
          </w:p>
          <w:p w14:paraId="67AD674B" w14:textId="77777777" w:rsidR="002B5B3B" w:rsidRPr="00FB76A9" w:rsidRDefault="002B5B3B" w:rsidP="00FD5CD5">
            <w:pPr>
              <w:pStyle w:val="CM4"/>
            </w:pPr>
          </w:p>
          <w:p w14:paraId="02609918" w14:textId="77777777" w:rsidR="002B5B3B" w:rsidRPr="00FB76A9" w:rsidRDefault="002B5B3B" w:rsidP="00FD5CD5">
            <w:pPr>
              <w:pStyle w:val="CM4"/>
            </w:pPr>
          </w:p>
          <w:p w14:paraId="4EDDE6F7" w14:textId="77777777" w:rsidR="002B5B3B" w:rsidRPr="00FB76A9" w:rsidRDefault="002B5B3B" w:rsidP="00FD5CD5">
            <w:pPr>
              <w:pStyle w:val="CM4"/>
            </w:pPr>
          </w:p>
          <w:p w14:paraId="31F262E2" w14:textId="77777777" w:rsidR="002B5B3B" w:rsidRPr="00FB76A9" w:rsidRDefault="002B5B3B" w:rsidP="00FD5CD5">
            <w:pPr>
              <w:pStyle w:val="CM4"/>
            </w:pPr>
          </w:p>
          <w:p w14:paraId="3AC837B7" w14:textId="77777777" w:rsidR="002B5B3B" w:rsidRPr="00FB76A9" w:rsidRDefault="002B5B3B" w:rsidP="00FD5CD5">
            <w:pPr>
              <w:pStyle w:val="CM4"/>
            </w:pPr>
          </w:p>
          <w:p w14:paraId="2E0E497D" w14:textId="77777777" w:rsidR="002B5B3B" w:rsidRPr="00FB76A9" w:rsidRDefault="002B5B3B" w:rsidP="00FD5CD5">
            <w:pPr>
              <w:pStyle w:val="CM4"/>
            </w:pPr>
          </w:p>
          <w:p w14:paraId="75260A5D" w14:textId="77777777" w:rsidR="002B5B3B" w:rsidRPr="00FB76A9" w:rsidRDefault="002B5B3B" w:rsidP="00FD5CD5">
            <w:pPr>
              <w:pStyle w:val="CM4"/>
            </w:pPr>
          </w:p>
          <w:p w14:paraId="4F687657" w14:textId="77777777" w:rsidR="002B5B3B" w:rsidRPr="00FB76A9" w:rsidRDefault="002B5B3B" w:rsidP="00FD5CD5">
            <w:pPr>
              <w:pStyle w:val="CM4"/>
            </w:pPr>
          </w:p>
          <w:p w14:paraId="7590B873" w14:textId="77777777" w:rsidR="002B5B3B" w:rsidRPr="00FB76A9" w:rsidRDefault="002B5B3B" w:rsidP="00FD5CD5">
            <w:pPr>
              <w:pStyle w:val="CM4"/>
            </w:pPr>
          </w:p>
          <w:p w14:paraId="4C01139B" w14:textId="77777777" w:rsidR="002B5B3B" w:rsidRPr="00FB76A9" w:rsidRDefault="002B5B3B" w:rsidP="00FD5CD5">
            <w:pPr>
              <w:pStyle w:val="CM4"/>
            </w:pPr>
          </w:p>
          <w:p w14:paraId="6059F6A6" w14:textId="77777777" w:rsidR="002B5B3B" w:rsidRPr="00FB76A9" w:rsidRDefault="002B5B3B" w:rsidP="00FD5CD5">
            <w:pPr>
              <w:pStyle w:val="CM4"/>
            </w:pPr>
          </w:p>
          <w:p w14:paraId="76583A3C" w14:textId="77777777" w:rsidR="002B5B3B" w:rsidRPr="00FB76A9" w:rsidRDefault="002B5B3B" w:rsidP="00FD5CD5">
            <w:pPr>
              <w:pStyle w:val="CM4"/>
            </w:pPr>
          </w:p>
          <w:p w14:paraId="31BEFA45" w14:textId="77777777" w:rsidR="002B5B3B" w:rsidRPr="00FB76A9" w:rsidRDefault="002B5B3B" w:rsidP="00FD5CD5">
            <w:pPr>
              <w:pStyle w:val="CM4"/>
            </w:pPr>
          </w:p>
          <w:p w14:paraId="06940741" w14:textId="77777777" w:rsidR="002B5B3B" w:rsidRPr="00FB76A9" w:rsidRDefault="002B5B3B" w:rsidP="00FD5CD5">
            <w:pPr>
              <w:pStyle w:val="CM4"/>
            </w:pPr>
          </w:p>
          <w:p w14:paraId="77E70873" w14:textId="77777777" w:rsidR="002B5B3B" w:rsidRPr="00FB76A9" w:rsidRDefault="002B5B3B" w:rsidP="00FD5CD5">
            <w:pPr>
              <w:pStyle w:val="CM4"/>
            </w:pPr>
          </w:p>
          <w:p w14:paraId="753C1AB0" w14:textId="77777777" w:rsidR="002B5B3B" w:rsidRPr="00FB76A9" w:rsidRDefault="002B5B3B" w:rsidP="00FD5CD5">
            <w:pPr>
              <w:pStyle w:val="CM4"/>
            </w:pPr>
          </w:p>
          <w:p w14:paraId="1DD8B5F8" w14:textId="77777777" w:rsidR="002B5B3B" w:rsidRPr="00FB76A9" w:rsidRDefault="002B5B3B" w:rsidP="00FD5CD5">
            <w:pPr>
              <w:pStyle w:val="CM4"/>
            </w:pPr>
          </w:p>
          <w:p w14:paraId="1DC9B174" w14:textId="77777777" w:rsidR="002B5B3B" w:rsidRPr="00FB76A9" w:rsidRDefault="002B5B3B" w:rsidP="00FD5CD5">
            <w:pPr>
              <w:pStyle w:val="CM4"/>
            </w:pPr>
          </w:p>
          <w:p w14:paraId="5DA9781F" w14:textId="77777777" w:rsidR="002B5B3B" w:rsidRPr="00FB76A9" w:rsidRDefault="002B5B3B" w:rsidP="00FD5CD5">
            <w:pPr>
              <w:pStyle w:val="CM4"/>
            </w:pPr>
          </w:p>
          <w:p w14:paraId="497213F4" w14:textId="77777777" w:rsidR="002B5B3B" w:rsidRPr="00FB76A9" w:rsidRDefault="002B5B3B" w:rsidP="00FD5CD5">
            <w:pPr>
              <w:pStyle w:val="CM4"/>
            </w:pPr>
          </w:p>
          <w:p w14:paraId="3874578D" w14:textId="77777777" w:rsidR="002B5B3B" w:rsidRPr="00FB76A9" w:rsidRDefault="002B5B3B" w:rsidP="00FD5CD5">
            <w:pPr>
              <w:pStyle w:val="CM4"/>
            </w:pPr>
          </w:p>
          <w:p w14:paraId="624F82E1" w14:textId="77777777" w:rsidR="002B5B3B" w:rsidRPr="00FB76A9" w:rsidRDefault="002B5B3B" w:rsidP="00FD5CD5">
            <w:pPr>
              <w:pStyle w:val="CM4"/>
            </w:pPr>
          </w:p>
          <w:p w14:paraId="1F5CD698" w14:textId="77777777" w:rsidR="002B5B3B" w:rsidRPr="00FB76A9" w:rsidRDefault="002B5B3B" w:rsidP="00FD5CD5">
            <w:pPr>
              <w:pStyle w:val="CM4"/>
            </w:pPr>
          </w:p>
          <w:p w14:paraId="47A14B6D" w14:textId="77777777" w:rsidR="002B5B3B" w:rsidRPr="00FB76A9" w:rsidRDefault="002B5B3B" w:rsidP="00FD5CD5">
            <w:pPr>
              <w:pStyle w:val="CM4"/>
            </w:pPr>
          </w:p>
          <w:p w14:paraId="11D77602" w14:textId="77777777" w:rsidR="002B5B3B" w:rsidRPr="00FB76A9" w:rsidRDefault="002B5B3B" w:rsidP="00FD5CD5">
            <w:pPr>
              <w:pStyle w:val="CM4"/>
            </w:pPr>
          </w:p>
          <w:p w14:paraId="11D6E34D" w14:textId="77777777" w:rsidR="002B5B3B" w:rsidRPr="00FB76A9" w:rsidRDefault="002B5B3B" w:rsidP="00FD5CD5">
            <w:pPr>
              <w:pStyle w:val="CM4"/>
            </w:pPr>
          </w:p>
          <w:p w14:paraId="7BDAB9C4" w14:textId="77777777" w:rsidR="002B5B3B" w:rsidRPr="00FB76A9" w:rsidRDefault="002B5B3B" w:rsidP="00FD5CD5">
            <w:pPr>
              <w:pStyle w:val="CM4"/>
            </w:pPr>
          </w:p>
          <w:p w14:paraId="11158845" w14:textId="77777777" w:rsidR="002B5B3B" w:rsidRPr="00FB76A9" w:rsidRDefault="002B5B3B" w:rsidP="00FD5CD5">
            <w:pPr>
              <w:pStyle w:val="CM4"/>
            </w:pPr>
          </w:p>
          <w:p w14:paraId="0219807C" w14:textId="77777777" w:rsidR="002B5B3B" w:rsidRPr="00FB76A9" w:rsidRDefault="002B5B3B" w:rsidP="00FD5CD5">
            <w:pPr>
              <w:pStyle w:val="CM4"/>
            </w:pPr>
          </w:p>
          <w:p w14:paraId="2762B81D" w14:textId="77777777" w:rsidR="002B5B3B" w:rsidRPr="00FB76A9" w:rsidRDefault="002B5B3B" w:rsidP="00FD5CD5">
            <w:pPr>
              <w:pStyle w:val="CM4"/>
            </w:pPr>
          </w:p>
          <w:p w14:paraId="113E0AAE" w14:textId="77777777" w:rsidR="002B5B3B" w:rsidRPr="00FB76A9" w:rsidRDefault="002B5B3B" w:rsidP="00FD5CD5">
            <w:pPr>
              <w:pStyle w:val="CM4"/>
            </w:pPr>
          </w:p>
          <w:p w14:paraId="142C6D09" w14:textId="77777777" w:rsidR="002B5B3B" w:rsidRPr="00FB76A9" w:rsidRDefault="002B5B3B" w:rsidP="00FD5CD5">
            <w:pPr>
              <w:pStyle w:val="CM4"/>
            </w:pPr>
          </w:p>
          <w:p w14:paraId="075FB21D" w14:textId="77777777" w:rsidR="002B5B3B" w:rsidRPr="00FB76A9" w:rsidRDefault="002B5B3B" w:rsidP="00FD5CD5">
            <w:pPr>
              <w:pStyle w:val="CM4"/>
            </w:pPr>
          </w:p>
          <w:p w14:paraId="7D40ACB7" w14:textId="77777777" w:rsidR="002B5B3B" w:rsidRPr="00FB76A9" w:rsidRDefault="002B5B3B" w:rsidP="00FD5CD5">
            <w:pPr>
              <w:pStyle w:val="CM4"/>
            </w:pPr>
          </w:p>
          <w:p w14:paraId="352EF2CD" w14:textId="77777777" w:rsidR="002B5B3B" w:rsidRPr="00FB76A9" w:rsidRDefault="002B5B3B" w:rsidP="00FD5CD5">
            <w:pPr>
              <w:pStyle w:val="CM4"/>
            </w:pPr>
          </w:p>
          <w:p w14:paraId="652561EF" w14:textId="77777777" w:rsidR="002B5B3B" w:rsidRPr="00FB76A9" w:rsidRDefault="002B5B3B" w:rsidP="00FD5CD5">
            <w:pPr>
              <w:pStyle w:val="CM4"/>
            </w:pPr>
          </w:p>
          <w:p w14:paraId="662B0841" w14:textId="77777777" w:rsidR="002B5B3B" w:rsidRPr="00FB76A9" w:rsidRDefault="002B5B3B" w:rsidP="00FD5CD5">
            <w:pPr>
              <w:pStyle w:val="CM4"/>
            </w:pPr>
          </w:p>
          <w:p w14:paraId="1BE89E2D" w14:textId="77777777" w:rsidR="002B5B3B" w:rsidRPr="00FB76A9" w:rsidRDefault="002B5B3B" w:rsidP="00FD5CD5">
            <w:pPr>
              <w:pStyle w:val="CM4"/>
            </w:pPr>
          </w:p>
          <w:p w14:paraId="4608E1CA" w14:textId="77777777" w:rsidR="002B5B3B" w:rsidRPr="00FB76A9" w:rsidRDefault="002B5B3B" w:rsidP="00FD5CD5">
            <w:pPr>
              <w:pStyle w:val="CM4"/>
            </w:pPr>
          </w:p>
          <w:p w14:paraId="5DCADA1F" w14:textId="77777777" w:rsidR="002B5B3B" w:rsidRPr="00FB76A9" w:rsidRDefault="002B5B3B" w:rsidP="00FD5CD5">
            <w:pPr>
              <w:pStyle w:val="CM4"/>
            </w:pPr>
          </w:p>
          <w:p w14:paraId="4A1ECC00" w14:textId="77777777" w:rsidR="002B5B3B" w:rsidRPr="00FB76A9" w:rsidRDefault="002B5B3B" w:rsidP="00FD5CD5">
            <w:pPr>
              <w:pStyle w:val="CM4"/>
            </w:pPr>
          </w:p>
          <w:p w14:paraId="1A84F5B1" w14:textId="77777777" w:rsidR="002B5B3B" w:rsidRPr="00FB76A9" w:rsidRDefault="002B5B3B" w:rsidP="00FD5CD5">
            <w:pPr>
              <w:pStyle w:val="CM4"/>
            </w:pPr>
          </w:p>
          <w:p w14:paraId="79D24B08" w14:textId="77777777" w:rsidR="002B5B3B" w:rsidRPr="00FB76A9" w:rsidRDefault="002B5B3B" w:rsidP="00FD5CD5">
            <w:pPr>
              <w:pStyle w:val="CM4"/>
            </w:pPr>
          </w:p>
          <w:p w14:paraId="139579E7" w14:textId="77777777" w:rsidR="002B5B3B" w:rsidRPr="00FB76A9" w:rsidRDefault="002B5B3B" w:rsidP="00FD5CD5">
            <w:pPr>
              <w:pStyle w:val="CM4"/>
            </w:pPr>
          </w:p>
          <w:p w14:paraId="68726077" w14:textId="77777777" w:rsidR="002B5B3B" w:rsidRPr="00FB76A9" w:rsidRDefault="002B5B3B" w:rsidP="00FD5CD5">
            <w:pPr>
              <w:pStyle w:val="CM4"/>
            </w:pPr>
          </w:p>
          <w:p w14:paraId="06EBB55D" w14:textId="77777777" w:rsidR="002B5B3B" w:rsidRPr="00FB76A9" w:rsidRDefault="002B5B3B" w:rsidP="00FD5CD5">
            <w:pPr>
              <w:pStyle w:val="CM4"/>
            </w:pPr>
          </w:p>
          <w:p w14:paraId="1B995521" w14:textId="77777777" w:rsidR="002B5B3B" w:rsidRPr="00FB76A9" w:rsidRDefault="002B5B3B" w:rsidP="00FD5CD5">
            <w:pPr>
              <w:pStyle w:val="CM4"/>
            </w:pPr>
          </w:p>
          <w:p w14:paraId="64638A22" w14:textId="77777777" w:rsidR="002B5B3B" w:rsidRPr="00FB76A9" w:rsidRDefault="002B5B3B" w:rsidP="00FD5CD5">
            <w:pPr>
              <w:pStyle w:val="CM4"/>
            </w:pPr>
          </w:p>
          <w:p w14:paraId="59B72E90" w14:textId="77777777" w:rsidR="002B5B3B" w:rsidRPr="00FB76A9" w:rsidRDefault="002B5B3B" w:rsidP="00FD5CD5">
            <w:pPr>
              <w:pStyle w:val="CM4"/>
            </w:pPr>
          </w:p>
          <w:p w14:paraId="63823FF3" w14:textId="77777777" w:rsidR="002B5B3B" w:rsidRPr="00FB76A9" w:rsidRDefault="002B5B3B" w:rsidP="00FD5CD5">
            <w:pPr>
              <w:pStyle w:val="CM4"/>
            </w:pPr>
          </w:p>
          <w:p w14:paraId="16DC2DDD" w14:textId="77777777" w:rsidR="002B5B3B" w:rsidRPr="00FB76A9" w:rsidRDefault="002B5B3B" w:rsidP="00FD5CD5">
            <w:pPr>
              <w:pStyle w:val="CM4"/>
            </w:pPr>
          </w:p>
          <w:p w14:paraId="17D82FEF" w14:textId="77777777" w:rsidR="002B5B3B" w:rsidRPr="00FB76A9" w:rsidRDefault="002B5B3B" w:rsidP="00FD5CD5">
            <w:pPr>
              <w:pStyle w:val="CM4"/>
            </w:pPr>
          </w:p>
          <w:p w14:paraId="5BB3A396" w14:textId="77777777" w:rsidR="002B5B3B" w:rsidRPr="00FB76A9" w:rsidRDefault="002B5B3B" w:rsidP="00FD5CD5">
            <w:pPr>
              <w:pStyle w:val="CM4"/>
            </w:pPr>
          </w:p>
          <w:p w14:paraId="1597A170" w14:textId="77777777" w:rsidR="002B5B3B" w:rsidRPr="00FB76A9" w:rsidRDefault="002B5B3B" w:rsidP="00FD5CD5">
            <w:pPr>
              <w:pStyle w:val="CM4"/>
            </w:pPr>
          </w:p>
          <w:p w14:paraId="75190766" w14:textId="77777777" w:rsidR="002B5B3B" w:rsidRPr="00FB76A9" w:rsidRDefault="002B5B3B" w:rsidP="00FD5CD5">
            <w:pPr>
              <w:pStyle w:val="CM4"/>
            </w:pPr>
          </w:p>
          <w:p w14:paraId="5C3DB95B" w14:textId="77777777" w:rsidR="002B5B3B" w:rsidRPr="00FB76A9" w:rsidRDefault="002B5B3B" w:rsidP="00FD5CD5">
            <w:pPr>
              <w:pStyle w:val="CM4"/>
            </w:pPr>
          </w:p>
          <w:p w14:paraId="46FCC814" w14:textId="77777777" w:rsidR="002B5B3B" w:rsidRPr="00FB76A9" w:rsidRDefault="002B5B3B" w:rsidP="00FD5CD5">
            <w:pPr>
              <w:pStyle w:val="CM4"/>
            </w:pPr>
          </w:p>
          <w:p w14:paraId="6A946FF2" w14:textId="77777777" w:rsidR="002B5B3B" w:rsidRPr="00FB76A9" w:rsidRDefault="002B5B3B" w:rsidP="00FD5CD5">
            <w:pPr>
              <w:pStyle w:val="CM4"/>
            </w:pPr>
          </w:p>
          <w:p w14:paraId="5B977818" w14:textId="77777777" w:rsidR="002B5B3B" w:rsidRPr="00FB76A9" w:rsidRDefault="002B5B3B" w:rsidP="00FD5CD5">
            <w:pPr>
              <w:pStyle w:val="CM4"/>
            </w:pPr>
          </w:p>
          <w:p w14:paraId="5CE7211C" w14:textId="77777777" w:rsidR="002B5B3B" w:rsidRPr="00FB76A9" w:rsidRDefault="002B5B3B" w:rsidP="00FD5CD5">
            <w:pPr>
              <w:pStyle w:val="CM4"/>
            </w:pPr>
          </w:p>
          <w:p w14:paraId="29EE1AB2" w14:textId="77777777" w:rsidR="002B5B3B" w:rsidRPr="00FB76A9" w:rsidRDefault="002B5B3B" w:rsidP="00FD5CD5">
            <w:pPr>
              <w:pStyle w:val="CM4"/>
            </w:pPr>
          </w:p>
          <w:p w14:paraId="2E82EB3E" w14:textId="77777777" w:rsidR="002B5B3B" w:rsidRPr="00FB76A9" w:rsidRDefault="002B5B3B" w:rsidP="00FD5CD5">
            <w:pPr>
              <w:pStyle w:val="CM4"/>
            </w:pPr>
          </w:p>
          <w:p w14:paraId="6F87756C" w14:textId="77777777" w:rsidR="002B5B3B" w:rsidRPr="00FB76A9" w:rsidRDefault="002B5B3B" w:rsidP="00FD5CD5">
            <w:pPr>
              <w:pStyle w:val="CM4"/>
            </w:pPr>
          </w:p>
          <w:p w14:paraId="3AB0B083" w14:textId="77777777" w:rsidR="002B5B3B" w:rsidRPr="00FB76A9" w:rsidRDefault="002B5B3B" w:rsidP="00FD5CD5">
            <w:pPr>
              <w:pStyle w:val="CM4"/>
            </w:pPr>
          </w:p>
          <w:p w14:paraId="27706A3B" w14:textId="77777777" w:rsidR="002B5B3B" w:rsidRPr="00FB76A9" w:rsidRDefault="002B5B3B" w:rsidP="00FD5CD5">
            <w:pPr>
              <w:pStyle w:val="CM4"/>
            </w:pPr>
          </w:p>
          <w:p w14:paraId="1EA82EB4" w14:textId="77777777" w:rsidR="002B5B3B" w:rsidRPr="00FB76A9" w:rsidRDefault="002B5B3B" w:rsidP="00FD5CD5">
            <w:pPr>
              <w:pStyle w:val="CM4"/>
            </w:pPr>
          </w:p>
          <w:p w14:paraId="35147DFE" w14:textId="77777777" w:rsidR="002B5B3B" w:rsidRPr="00FB76A9" w:rsidRDefault="002B5B3B" w:rsidP="00FD5CD5">
            <w:pPr>
              <w:pStyle w:val="CM4"/>
            </w:pPr>
          </w:p>
          <w:p w14:paraId="6E324180" w14:textId="77777777" w:rsidR="002B5B3B" w:rsidRPr="00FB76A9" w:rsidRDefault="002B5B3B" w:rsidP="00FD5CD5">
            <w:pPr>
              <w:pStyle w:val="CM4"/>
            </w:pPr>
          </w:p>
          <w:p w14:paraId="1907CF9A" w14:textId="77777777" w:rsidR="002B5B3B" w:rsidRPr="00FB76A9" w:rsidRDefault="002B5B3B" w:rsidP="00FD5CD5">
            <w:pPr>
              <w:pStyle w:val="CM4"/>
            </w:pPr>
          </w:p>
          <w:p w14:paraId="5BB40369" w14:textId="77777777" w:rsidR="002B5B3B" w:rsidRPr="00FB76A9" w:rsidRDefault="002B5B3B" w:rsidP="00FD5CD5">
            <w:pPr>
              <w:pStyle w:val="CM4"/>
            </w:pPr>
          </w:p>
          <w:p w14:paraId="23F3C364" w14:textId="77777777" w:rsidR="002B5B3B" w:rsidRPr="00FB76A9" w:rsidRDefault="002B5B3B" w:rsidP="00FD5CD5">
            <w:pPr>
              <w:pStyle w:val="CM4"/>
            </w:pPr>
          </w:p>
          <w:p w14:paraId="599B8A8D" w14:textId="77777777" w:rsidR="009C317A" w:rsidRPr="00FB76A9" w:rsidRDefault="009C317A" w:rsidP="00FD5CD5">
            <w:pPr>
              <w:pStyle w:val="CM4"/>
            </w:pPr>
          </w:p>
          <w:p w14:paraId="3F1F180B" w14:textId="77777777" w:rsidR="009C317A" w:rsidRPr="00FB76A9" w:rsidRDefault="009C317A" w:rsidP="00FD5CD5">
            <w:pPr>
              <w:pStyle w:val="CM4"/>
            </w:pPr>
          </w:p>
          <w:p w14:paraId="26EA2927" w14:textId="77777777" w:rsidR="009C317A" w:rsidRPr="00FB76A9" w:rsidRDefault="009C317A" w:rsidP="00FD5CD5">
            <w:pPr>
              <w:pStyle w:val="CM4"/>
            </w:pPr>
          </w:p>
          <w:p w14:paraId="003977C4" w14:textId="77777777" w:rsidR="009C317A" w:rsidRPr="00FB76A9" w:rsidRDefault="009C317A" w:rsidP="00FD5CD5">
            <w:pPr>
              <w:pStyle w:val="CM4"/>
            </w:pPr>
          </w:p>
          <w:p w14:paraId="37B44F54" w14:textId="77777777" w:rsidR="009C317A" w:rsidRPr="00FB76A9" w:rsidRDefault="009C317A" w:rsidP="00FD5CD5">
            <w:pPr>
              <w:pStyle w:val="CM4"/>
            </w:pPr>
          </w:p>
          <w:p w14:paraId="1B541B0B" w14:textId="77777777" w:rsidR="009C317A" w:rsidRPr="00FB76A9" w:rsidRDefault="009C317A" w:rsidP="00FD5CD5">
            <w:pPr>
              <w:pStyle w:val="CM4"/>
            </w:pPr>
          </w:p>
          <w:p w14:paraId="049E287A" w14:textId="77777777" w:rsidR="009C317A" w:rsidRPr="00FB76A9" w:rsidRDefault="009C317A" w:rsidP="00FD5CD5">
            <w:pPr>
              <w:pStyle w:val="CM4"/>
            </w:pPr>
          </w:p>
          <w:p w14:paraId="42837BA1" w14:textId="77777777" w:rsidR="009C317A" w:rsidRPr="00FB76A9" w:rsidRDefault="009C317A" w:rsidP="00FD5CD5">
            <w:pPr>
              <w:pStyle w:val="CM4"/>
            </w:pPr>
          </w:p>
          <w:p w14:paraId="492AA8E1" w14:textId="77777777" w:rsidR="009C317A" w:rsidRPr="00FB76A9" w:rsidRDefault="009C317A" w:rsidP="00FD5CD5">
            <w:pPr>
              <w:pStyle w:val="CM4"/>
            </w:pPr>
          </w:p>
          <w:p w14:paraId="049D8DF8" w14:textId="77777777" w:rsidR="009C317A" w:rsidRPr="00FB76A9" w:rsidRDefault="009C317A" w:rsidP="00FD5CD5">
            <w:pPr>
              <w:pStyle w:val="CM4"/>
            </w:pPr>
          </w:p>
          <w:p w14:paraId="2B5C087C" w14:textId="77777777" w:rsidR="009C317A" w:rsidRPr="00FB76A9" w:rsidRDefault="009C317A" w:rsidP="00FD5CD5">
            <w:pPr>
              <w:pStyle w:val="CM4"/>
            </w:pPr>
          </w:p>
          <w:p w14:paraId="04BE4907" w14:textId="77777777" w:rsidR="00A1268A" w:rsidRPr="00FB76A9" w:rsidRDefault="00A1268A" w:rsidP="00FD5CD5">
            <w:pPr>
              <w:pStyle w:val="CM4"/>
            </w:pPr>
          </w:p>
          <w:p w14:paraId="13044C11" w14:textId="77777777" w:rsidR="00A1268A" w:rsidRPr="00FB76A9" w:rsidRDefault="00A1268A" w:rsidP="00FD5CD5">
            <w:pPr>
              <w:pStyle w:val="CM4"/>
            </w:pPr>
          </w:p>
          <w:p w14:paraId="26E6D655" w14:textId="77777777" w:rsidR="00135370" w:rsidRPr="00FB76A9" w:rsidRDefault="00135370" w:rsidP="00FD5CD5">
            <w:pPr>
              <w:pStyle w:val="CM4"/>
            </w:pPr>
          </w:p>
          <w:p w14:paraId="00B95087" w14:textId="77777777" w:rsidR="00135370" w:rsidRPr="00FB76A9" w:rsidRDefault="00135370" w:rsidP="00FD5CD5">
            <w:pPr>
              <w:pStyle w:val="CM4"/>
            </w:pPr>
          </w:p>
          <w:p w14:paraId="6052EFC2" w14:textId="77777777" w:rsidR="00135370" w:rsidRPr="00FB76A9" w:rsidRDefault="00135370" w:rsidP="00FD5CD5">
            <w:pPr>
              <w:pStyle w:val="CM4"/>
            </w:pPr>
          </w:p>
          <w:p w14:paraId="68C4BF77" w14:textId="77777777" w:rsidR="00135370" w:rsidRPr="00FB76A9" w:rsidRDefault="00135370" w:rsidP="00FD5CD5">
            <w:pPr>
              <w:pStyle w:val="CM4"/>
            </w:pPr>
          </w:p>
          <w:p w14:paraId="5EF2234D" w14:textId="77777777" w:rsidR="00135370" w:rsidRPr="00FB76A9" w:rsidRDefault="00135370" w:rsidP="00FD5CD5">
            <w:pPr>
              <w:pStyle w:val="CM4"/>
            </w:pPr>
          </w:p>
          <w:p w14:paraId="0A413078" w14:textId="77777777" w:rsidR="00135370" w:rsidRPr="00FB76A9" w:rsidRDefault="00135370" w:rsidP="00FD5CD5">
            <w:pPr>
              <w:pStyle w:val="CM4"/>
            </w:pPr>
          </w:p>
          <w:p w14:paraId="01ED29DD" w14:textId="77777777" w:rsidR="00135370" w:rsidRPr="00FB76A9" w:rsidRDefault="00135370" w:rsidP="00FD5CD5">
            <w:pPr>
              <w:pStyle w:val="CM4"/>
            </w:pPr>
          </w:p>
          <w:p w14:paraId="026BB498" w14:textId="77777777" w:rsidR="00135370" w:rsidRPr="00FB76A9" w:rsidRDefault="00135370" w:rsidP="00FD5CD5">
            <w:pPr>
              <w:pStyle w:val="CM4"/>
            </w:pPr>
          </w:p>
          <w:p w14:paraId="78FBCC43" w14:textId="77777777" w:rsidR="00135370" w:rsidRPr="00FB76A9" w:rsidRDefault="00135370" w:rsidP="00FD5CD5">
            <w:pPr>
              <w:pStyle w:val="CM4"/>
            </w:pPr>
          </w:p>
          <w:p w14:paraId="6ED81B25" w14:textId="77777777" w:rsidR="00135370" w:rsidRPr="00FB76A9" w:rsidRDefault="00135370" w:rsidP="00FD5CD5">
            <w:pPr>
              <w:pStyle w:val="CM4"/>
            </w:pPr>
          </w:p>
          <w:p w14:paraId="739659E4" w14:textId="77777777" w:rsidR="00135370" w:rsidRPr="00FB76A9" w:rsidRDefault="00135370" w:rsidP="00FD5CD5">
            <w:pPr>
              <w:pStyle w:val="CM4"/>
            </w:pPr>
          </w:p>
          <w:p w14:paraId="6A037EFB" w14:textId="77777777" w:rsidR="00135370" w:rsidRPr="00FB76A9" w:rsidRDefault="00135370" w:rsidP="00FD5CD5">
            <w:pPr>
              <w:pStyle w:val="CM4"/>
            </w:pPr>
          </w:p>
          <w:p w14:paraId="232B4677" w14:textId="77777777" w:rsidR="00135370" w:rsidRPr="00FB76A9" w:rsidRDefault="00135370" w:rsidP="00FD5CD5">
            <w:pPr>
              <w:pStyle w:val="CM4"/>
            </w:pPr>
          </w:p>
          <w:p w14:paraId="4E3B108E" w14:textId="77777777" w:rsidR="00135370" w:rsidRPr="00FB76A9" w:rsidRDefault="00135370" w:rsidP="00FD5CD5">
            <w:pPr>
              <w:pStyle w:val="CM4"/>
            </w:pPr>
          </w:p>
          <w:p w14:paraId="4AF702CF" w14:textId="77777777" w:rsidR="00135370" w:rsidRPr="00FB76A9" w:rsidRDefault="00135370" w:rsidP="00FD5CD5">
            <w:pPr>
              <w:pStyle w:val="CM4"/>
            </w:pPr>
          </w:p>
          <w:p w14:paraId="01339645" w14:textId="77777777" w:rsidR="00135370" w:rsidRPr="00FB76A9" w:rsidRDefault="00135370" w:rsidP="00FD5CD5">
            <w:pPr>
              <w:pStyle w:val="CM4"/>
            </w:pPr>
          </w:p>
          <w:p w14:paraId="33188B17" w14:textId="77777777" w:rsidR="00135370" w:rsidRPr="00FB76A9" w:rsidRDefault="00135370" w:rsidP="00FD5CD5">
            <w:pPr>
              <w:pStyle w:val="CM4"/>
            </w:pPr>
          </w:p>
          <w:p w14:paraId="4F9CC9C5" w14:textId="77777777" w:rsidR="00135370" w:rsidRPr="00FB76A9" w:rsidRDefault="00135370" w:rsidP="00FD5CD5">
            <w:pPr>
              <w:pStyle w:val="CM4"/>
            </w:pPr>
          </w:p>
          <w:p w14:paraId="4CF57CCB" w14:textId="77777777" w:rsidR="00135370" w:rsidRPr="00FB76A9" w:rsidRDefault="00135370" w:rsidP="00FD5CD5">
            <w:pPr>
              <w:pStyle w:val="CM4"/>
            </w:pPr>
          </w:p>
          <w:p w14:paraId="00C16166" w14:textId="77777777" w:rsidR="00135370" w:rsidRPr="00FB76A9" w:rsidRDefault="00135370" w:rsidP="00FD5CD5">
            <w:pPr>
              <w:pStyle w:val="CM4"/>
            </w:pPr>
          </w:p>
          <w:p w14:paraId="15C23DE1" w14:textId="77777777" w:rsidR="00135370" w:rsidRPr="00FB76A9" w:rsidRDefault="00135370" w:rsidP="00FD5CD5">
            <w:pPr>
              <w:pStyle w:val="CM4"/>
            </w:pPr>
          </w:p>
          <w:p w14:paraId="57CCA094" w14:textId="77777777" w:rsidR="00F91BE6" w:rsidRPr="00FB76A9" w:rsidRDefault="00F91BE6" w:rsidP="00FD5CD5">
            <w:pPr>
              <w:pStyle w:val="CM4"/>
            </w:pPr>
          </w:p>
          <w:p w14:paraId="603929D0" w14:textId="77777777" w:rsidR="00F91BE6" w:rsidRPr="00FB76A9" w:rsidRDefault="00F91BE6" w:rsidP="00FD5CD5">
            <w:pPr>
              <w:pStyle w:val="CM4"/>
            </w:pPr>
          </w:p>
          <w:p w14:paraId="0C060335" w14:textId="77777777" w:rsidR="00F91BE6" w:rsidRPr="00FB76A9" w:rsidRDefault="00F91BE6" w:rsidP="00FD5CD5">
            <w:pPr>
              <w:pStyle w:val="CM4"/>
            </w:pPr>
          </w:p>
          <w:p w14:paraId="5DB5B848" w14:textId="77777777" w:rsidR="00F91BE6" w:rsidRPr="00FB76A9" w:rsidRDefault="00F91BE6" w:rsidP="00FD5CD5">
            <w:pPr>
              <w:pStyle w:val="CM4"/>
            </w:pPr>
          </w:p>
          <w:p w14:paraId="1F6B8C8F" w14:textId="77777777" w:rsidR="00F91BE6" w:rsidRPr="00FB76A9" w:rsidRDefault="00F91BE6" w:rsidP="00FD5CD5">
            <w:pPr>
              <w:pStyle w:val="CM4"/>
            </w:pPr>
          </w:p>
          <w:p w14:paraId="7BFBFAB9" w14:textId="77777777" w:rsidR="00F91BE6" w:rsidRPr="00FB76A9" w:rsidRDefault="00F91BE6" w:rsidP="00FD5CD5">
            <w:pPr>
              <w:pStyle w:val="CM4"/>
            </w:pPr>
          </w:p>
          <w:p w14:paraId="0CCE94EE" w14:textId="77777777" w:rsidR="00F91BE6" w:rsidRPr="00FB76A9" w:rsidRDefault="00F91BE6" w:rsidP="00FD5CD5">
            <w:pPr>
              <w:pStyle w:val="CM4"/>
            </w:pPr>
          </w:p>
          <w:p w14:paraId="6C341C8A" w14:textId="77777777" w:rsidR="00F91BE6" w:rsidRPr="00FB76A9" w:rsidRDefault="00F91BE6" w:rsidP="00FD5CD5">
            <w:pPr>
              <w:pStyle w:val="CM4"/>
            </w:pPr>
          </w:p>
          <w:p w14:paraId="2637CF2C" w14:textId="77777777" w:rsidR="00F91BE6" w:rsidRPr="00FB76A9" w:rsidRDefault="00F91BE6" w:rsidP="00FD5CD5">
            <w:pPr>
              <w:pStyle w:val="CM4"/>
            </w:pPr>
          </w:p>
          <w:p w14:paraId="46139A55" w14:textId="77777777" w:rsidR="00F91BE6" w:rsidRPr="00FB76A9" w:rsidRDefault="00F91BE6" w:rsidP="00FD5CD5">
            <w:pPr>
              <w:pStyle w:val="CM4"/>
            </w:pPr>
          </w:p>
          <w:p w14:paraId="7914966D" w14:textId="77777777" w:rsidR="00F91BE6" w:rsidRPr="00FB76A9" w:rsidRDefault="00F91BE6" w:rsidP="00FD5CD5">
            <w:pPr>
              <w:pStyle w:val="CM4"/>
            </w:pPr>
          </w:p>
          <w:p w14:paraId="25DBD4DA" w14:textId="77777777" w:rsidR="00F91BE6" w:rsidRPr="00FB76A9" w:rsidRDefault="00F91BE6" w:rsidP="00FD5CD5">
            <w:pPr>
              <w:pStyle w:val="CM4"/>
            </w:pPr>
          </w:p>
          <w:p w14:paraId="7D816F68" w14:textId="77777777" w:rsidR="00F91BE6" w:rsidRPr="00FB76A9" w:rsidRDefault="00F91BE6" w:rsidP="00FD5CD5">
            <w:pPr>
              <w:pStyle w:val="CM4"/>
            </w:pPr>
          </w:p>
          <w:p w14:paraId="699BDC2B" w14:textId="77777777" w:rsidR="00F91BE6" w:rsidRPr="00FB76A9" w:rsidRDefault="00F91BE6" w:rsidP="00FD5CD5">
            <w:pPr>
              <w:pStyle w:val="CM4"/>
            </w:pPr>
          </w:p>
          <w:p w14:paraId="1B5A5356" w14:textId="77777777" w:rsidR="00F91BE6" w:rsidRPr="00FB76A9" w:rsidRDefault="00F91BE6" w:rsidP="00FD5CD5">
            <w:pPr>
              <w:pStyle w:val="CM4"/>
            </w:pPr>
          </w:p>
          <w:p w14:paraId="733BCB6D" w14:textId="77777777" w:rsidR="00F91BE6" w:rsidRPr="00FB76A9" w:rsidRDefault="00F91BE6" w:rsidP="00FD5CD5">
            <w:pPr>
              <w:pStyle w:val="CM4"/>
            </w:pPr>
          </w:p>
          <w:p w14:paraId="57F815D9" w14:textId="77777777" w:rsidR="00F91BE6" w:rsidRPr="00FB76A9" w:rsidRDefault="00F91BE6" w:rsidP="00FD5CD5">
            <w:pPr>
              <w:pStyle w:val="CM4"/>
            </w:pPr>
          </w:p>
          <w:p w14:paraId="636B0C68" w14:textId="77777777" w:rsidR="00F91BE6" w:rsidRPr="00FB76A9" w:rsidRDefault="00F91BE6" w:rsidP="00FD5CD5">
            <w:pPr>
              <w:pStyle w:val="CM4"/>
            </w:pPr>
          </w:p>
          <w:p w14:paraId="1CC7E52C" w14:textId="77777777" w:rsidR="00F91BE6" w:rsidRPr="00FB76A9" w:rsidRDefault="00F91BE6" w:rsidP="00FD5CD5">
            <w:pPr>
              <w:pStyle w:val="CM4"/>
            </w:pPr>
          </w:p>
          <w:p w14:paraId="3BAF9856" w14:textId="77777777" w:rsidR="00F91BE6" w:rsidRPr="00FB76A9" w:rsidRDefault="00F91BE6" w:rsidP="00FD5CD5">
            <w:pPr>
              <w:pStyle w:val="CM4"/>
            </w:pPr>
          </w:p>
          <w:p w14:paraId="5A73DC6E" w14:textId="77777777" w:rsidR="00F91BE6" w:rsidRPr="00FB76A9" w:rsidRDefault="00F91BE6" w:rsidP="00FD5CD5">
            <w:pPr>
              <w:pStyle w:val="CM4"/>
            </w:pPr>
          </w:p>
          <w:p w14:paraId="29DC42DA" w14:textId="77777777" w:rsidR="005127DF" w:rsidRPr="00FB76A9" w:rsidRDefault="00F91BE6" w:rsidP="00FD5CD5">
            <w:pPr>
              <w:pStyle w:val="CM4"/>
            </w:pPr>
            <w:r w:rsidRPr="00FB76A9">
              <w:t>„</w:t>
            </w:r>
            <w:r w:rsidR="002B5B3B" w:rsidRPr="00FB76A9">
              <w:t>Art. 46.</w:t>
            </w:r>
            <w:r w:rsidR="005127DF" w:rsidRPr="00FB76A9">
              <w:t xml:space="preserve">1. Krajowe indywidualne dopuszczenie pojazdu jest ważne wyłącznie na terytorium państwa członkowskiego, które udzieliło indywidualnego dopuszczenia pojazdu. </w:t>
            </w:r>
          </w:p>
          <w:p w14:paraId="01FD6557" w14:textId="77777777" w:rsidR="005127DF" w:rsidRPr="00FB76A9" w:rsidRDefault="005127DF" w:rsidP="00FD5CD5">
            <w:pPr>
              <w:pStyle w:val="CM4"/>
            </w:pPr>
            <w:r w:rsidRPr="00FB76A9">
              <w:t>2. Jeżeli wnioskodawca chce udostępnić na rynku, zarejestrować lub dopuścić w innym państwie członkowskim pojazd, któremu udzielono krajowego indywidualnego dopuszczenia pojazdu, państwo członkowskie, które udzieliło dopuszczenia, dostarcza wnioskodawcy na jego wniosek oświadczenie dotyczące wymogów technicznych, na podstawie których pojazd dopuszczono.</w:t>
            </w:r>
          </w:p>
          <w:p w14:paraId="71255A4C" w14:textId="77777777" w:rsidR="005127DF" w:rsidRPr="00FB76A9" w:rsidRDefault="005127DF" w:rsidP="00FD5CD5">
            <w:pPr>
              <w:pStyle w:val="CM4"/>
            </w:pPr>
            <w:r w:rsidRPr="00FB76A9">
              <w:t xml:space="preserve">3. Państwo członkowskie zezwala na udostępnienie na rynku, rejestrację lub dopuszczenie pojazdu, któremu inne państwo członkowskie udzieliło krajowego indywidualnego dopuszczenia zgodnie z art. 45, na swoim terytorium, chyba że to państwo członkowskie ma uzasadnione powody, aby sądzić, że stosowne wymogi alternatywne, na podstawie których pojazd uzyskał dopuszczenie, nie są równoważne jego własnym wymogom, lub że pojazd nie spełnia tych wymogów. </w:t>
            </w:r>
          </w:p>
          <w:p w14:paraId="41060F72" w14:textId="77777777" w:rsidR="005127DF" w:rsidRPr="00FB76A9" w:rsidRDefault="005127DF" w:rsidP="00FD5CD5">
            <w:pPr>
              <w:spacing w:after="0" w:line="240" w:lineRule="auto"/>
              <w:rPr>
                <w:rFonts w:ascii="Times New Roman" w:eastAsiaTheme="minorEastAsia" w:hAnsi="Times New Roman" w:cs="Times New Roman"/>
                <w:sz w:val="24"/>
                <w:szCs w:val="24"/>
                <w:lang w:eastAsia="pl-PL"/>
              </w:rPr>
            </w:pPr>
            <w:r w:rsidRPr="00FB76A9">
              <w:rPr>
                <w:rFonts w:ascii="Times New Roman" w:hAnsi="Times New Roman" w:cs="Times New Roman"/>
                <w:sz w:val="24"/>
                <w:szCs w:val="24"/>
              </w:rPr>
              <w:lastRenderedPageBreak/>
              <w:t>4. Niniejszy artykuł ma zastosowanie do pojazdów, którym udzielono homologacji typu zgodnie z niniejszym rozporządzeniem i które zostały zmodyfikowane przed ich pierwszą rejestracją lub dopuszczeniem.”</w:t>
            </w:r>
          </w:p>
        </w:tc>
        <w:tc>
          <w:tcPr>
            <w:tcW w:w="851" w:type="dxa"/>
            <w:tcBorders>
              <w:top w:val="single" w:sz="4" w:space="0" w:color="auto"/>
              <w:left w:val="single" w:sz="4" w:space="0" w:color="auto"/>
              <w:bottom w:val="single" w:sz="4" w:space="0" w:color="auto"/>
              <w:right w:val="single" w:sz="4" w:space="0" w:color="auto"/>
            </w:tcBorders>
          </w:tcPr>
          <w:p w14:paraId="208B604F" w14:textId="77777777" w:rsidR="005127DF" w:rsidRPr="00FB76A9" w:rsidRDefault="002B5B3B"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lastRenderedPageBreak/>
              <w:t>T</w:t>
            </w:r>
          </w:p>
        </w:tc>
        <w:tc>
          <w:tcPr>
            <w:tcW w:w="992" w:type="dxa"/>
            <w:tcBorders>
              <w:top w:val="single" w:sz="4" w:space="0" w:color="auto"/>
              <w:left w:val="single" w:sz="4" w:space="0" w:color="auto"/>
              <w:bottom w:val="single" w:sz="4" w:space="0" w:color="auto"/>
              <w:right w:val="single" w:sz="4" w:space="0" w:color="auto"/>
            </w:tcBorders>
          </w:tcPr>
          <w:p w14:paraId="1DFA6CA6" w14:textId="77777777" w:rsidR="002E0A41" w:rsidRPr="00FB76A9" w:rsidRDefault="002E0A41"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 xml:space="preserve">Art. 1 pkt 3 lit. </w:t>
            </w:r>
            <w:r w:rsidR="008E6196" w:rsidRPr="00FB76A9">
              <w:rPr>
                <w:rFonts w:ascii="Times New Roman" w:eastAsia="Times New Roman" w:hAnsi="Times New Roman" w:cs="Times New Roman"/>
                <w:sz w:val="24"/>
                <w:szCs w:val="24"/>
                <w:lang w:val="en-GB" w:eastAsia="pl-PL"/>
              </w:rPr>
              <w:t>c</w:t>
            </w:r>
          </w:p>
          <w:p w14:paraId="2B26EDC1" w14:textId="77777777" w:rsidR="002E0A41" w:rsidRPr="00FB76A9" w:rsidRDefault="002E0A41" w:rsidP="00FD5CD5">
            <w:pPr>
              <w:spacing w:after="0" w:line="240" w:lineRule="auto"/>
              <w:rPr>
                <w:rFonts w:ascii="Times New Roman" w:eastAsia="Times New Roman" w:hAnsi="Times New Roman" w:cs="Times New Roman"/>
                <w:sz w:val="24"/>
                <w:szCs w:val="24"/>
                <w:lang w:val="en-GB" w:eastAsia="pl-PL"/>
              </w:rPr>
            </w:pPr>
          </w:p>
          <w:p w14:paraId="0F7BC99A" w14:textId="77777777" w:rsidR="002E0A41" w:rsidRPr="00FB76A9" w:rsidRDefault="002E0A41" w:rsidP="00FD5CD5">
            <w:pPr>
              <w:spacing w:after="0" w:line="240" w:lineRule="auto"/>
              <w:rPr>
                <w:rFonts w:ascii="Times New Roman" w:eastAsia="Times New Roman" w:hAnsi="Times New Roman" w:cs="Times New Roman"/>
                <w:sz w:val="24"/>
                <w:szCs w:val="24"/>
                <w:lang w:val="en-GB" w:eastAsia="pl-PL"/>
              </w:rPr>
            </w:pPr>
          </w:p>
          <w:p w14:paraId="1AF1CD2C" w14:textId="77777777" w:rsidR="002E0A41" w:rsidRPr="00FB76A9" w:rsidRDefault="002E0A41" w:rsidP="00FD5CD5">
            <w:pPr>
              <w:spacing w:after="0" w:line="240" w:lineRule="auto"/>
              <w:rPr>
                <w:rFonts w:ascii="Times New Roman" w:eastAsia="Times New Roman" w:hAnsi="Times New Roman" w:cs="Times New Roman"/>
                <w:sz w:val="24"/>
                <w:szCs w:val="24"/>
                <w:lang w:val="en-GB" w:eastAsia="pl-PL"/>
              </w:rPr>
            </w:pPr>
          </w:p>
          <w:p w14:paraId="4958DB9D" w14:textId="77777777" w:rsidR="002E0A41" w:rsidRPr="00FB76A9" w:rsidRDefault="002E0A41" w:rsidP="00FD5CD5">
            <w:pPr>
              <w:spacing w:after="0" w:line="240" w:lineRule="auto"/>
              <w:rPr>
                <w:rFonts w:ascii="Times New Roman" w:eastAsia="Times New Roman" w:hAnsi="Times New Roman" w:cs="Times New Roman"/>
                <w:sz w:val="24"/>
                <w:szCs w:val="24"/>
                <w:lang w:val="en-GB" w:eastAsia="pl-PL"/>
              </w:rPr>
            </w:pPr>
          </w:p>
          <w:p w14:paraId="70EDEC93" w14:textId="77777777" w:rsidR="002E0A41" w:rsidRPr="00FB76A9" w:rsidRDefault="002E0A41" w:rsidP="00FD5CD5">
            <w:pPr>
              <w:spacing w:after="0" w:line="240" w:lineRule="auto"/>
              <w:rPr>
                <w:rFonts w:ascii="Times New Roman" w:eastAsia="Times New Roman" w:hAnsi="Times New Roman" w:cs="Times New Roman"/>
                <w:sz w:val="24"/>
                <w:szCs w:val="24"/>
                <w:lang w:val="en-GB" w:eastAsia="pl-PL"/>
              </w:rPr>
            </w:pPr>
          </w:p>
          <w:p w14:paraId="7299BBBC" w14:textId="77777777" w:rsidR="002E0A41" w:rsidRPr="00FB76A9" w:rsidRDefault="002E0A41" w:rsidP="00FD5CD5">
            <w:pPr>
              <w:spacing w:after="0" w:line="240" w:lineRule="auto"/>
              <w:rPr>
                <w:rFonts w:ascii="Times New Roman" w:eastAsia="Times New Roman" w:hAnsi="Times New Roman" w:cs="Times New Roman"/>
                <w:sz w:val="24"/>
                <w:szCs w:val="24"/>
                <w:lang w:val="en-GB" w:eastAsia="pl-PL"/>
              </w:rPr>
            </w:pPr>
          </w:p>
          <w:p w14:paraId="0EC410B6" w14:textId="77777777" w:rsidR="002E0A41" w:rsidRPr="00FB76A9" w:rsidRDefault="002E0A41" w:rsidP="00FD5CD5">
            <w:pPr>
              <w:spacing w:after="0" w:line="240" w:lineRule="auto"/>
              <w:rPr>
                <w:rFonts w:ascii="Times New Roman" w:eastAsia="Times New Roman" w:hAnsi="Times New Roman" w:cs="Times New Roman"/>
                <w:sz w:val="24"/>
                <w:szCs w:val="24"/>
                <w:lang w:val="en-GB" w:eastAsia="pl-PL"/>
              </w:rPr>
            </w:pPr>
          </w:p>
          <w:p w14:paraId="12C1E1DF" w14:textId="77777777" w:rsidR="002E0A41" w:rsidRPr="00FB76A9" w:rsidRDefault="002E0A41" w:rsidP="00FD5CD5">
            <w:pPr>
              <w:spacing w:after="0" w:line="240" w:lineRule="auto"/>
              <w:rPr>
                <w:rFonts w:ascii="Times New Roman" w:eastAsia="Times New Roman" w:hAnsi="Times New Roman" w:cs="Times New Roman"/>
                <w:sz w:val="24"/>
                <w:szCs w:val="24"/>
                <w:lang w:val="en-GB" w:eastAsia="pl-PL"/>
              </w:rPr>
            </w:pPr>
          </w:p>
          <w:p w14:paraId="3302F3FD" w14:textId="77777777" w:rsidR="002E0A41" w:rsidRPr="00FB76A9" w:rsidRDefault="00600389"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 xml:space="preserve">Art. 1 pkt 3 lit. </w:t>
            </w:r>
            <w:r w:rsidR="00123425" w:rsidRPr="00FB76A9">
              <w:rPr>
                <w:rFonts w:ascii="Times New Roman" w:eastAsia="Times New Roman" w:hAnsi="Times New Roman" w:cs="Times New Roman"/>
                <w:sz w:val="24"/>
                <w:szCs w:val="24"/>
                <w:lang w:val="en-GB" w:eastAsia="pl-PL"/>
              </w:rPr>
              <w:t>d</w:t>
            </w:r>
          </w:p>
          <w:p w14:paraId="135711CC" w14:textId="77777777" w:rsidR="002E0A41" w:rsidRPr="00FB76A9" w:rsidRDefault="002E0A41" w:rsidP="00FD5CD5">
            <w:pPr>
              <w:spacing w:after="0" w:line="240" w:lineRule="auto"/>
              <w:rPr>
                <w:rFonts w:ascii="Times New Roman" w:eastAsia="Times New Roman" w:hAnsi="Times New Roman" w:cs="Times New Roman"/>
                <w:sz w:val="24"/>
                <w:szCs w:val="24"/>
                <w:lang w:val="en-GB" w:eastAsia="pl-PL"/>
              </w:rPr>
            </w:pPr>
          </w:p>
          <w:p w14:paraId="0E526D45" w14:textId="77777777" w:rsidR="00600389" w:rsidRPr="00FB76A9" w:rsidRDefault="00600389" w:rsidP="00FD5CD5">
            <w:pPr>
              <w:spacing w:after="0" w:line="240" w:lineRule="auto"/>
              <w:rPr>
                <w:rFonts w:ascii="Times New Roman" w:eastAsia="Times New Roman" w:hAnsi="Times New Roman" w:cs="Times New Roman"/>
                <w:sz w:val="24"/>
                <w:szCs w:val="24"/>
                <w:lang w:val="en-GB" w:eastAsia="pl-PL"/>
              </w:rPr>
            </w:pPr>
          </w:p>
          <w:p w14:paraId="0B369F5A" w14:textId="77777777" w:rsidR="00600389" w:rsidRPr="00FB76A9" w:rsidRDefault="00600389" w:rsidP="00FD5CD5">
            <w:pPr>
              <w:spacing w:after="0" w:line="240" w:lineRule="auto"/>
              <w:rPr>
                <w:rFonts w:ascii="Times New Roman" w:eastAsia="Times New Roman" w:hAnsi="Times New Roman" w:cs="Times New Roman"/>
                <w:sz w:val="24"/>
                <w:szCs w:val="24"/>
                <w:lang w:val="en-GB" w:eastAsia="pl-PL"/>
              </w:rPr>
            </w:pPr>
          </w:p>
          <w:p w14:paraId="498BE469" w14:textId="77777777" w:rsidR="00600389" w:rsidRPr="00FB76A9" w:rsidRDefault="00600389" w:rsidP="00FD5CD5">
            <w:pPr>
              <w:spacing w:after="0" w:line="240" w:lineRule="auto"/>
              <w:rPr>
                <w:rFonts w:ascii="Times New Roman" w:eastAsia="Times New Roman" w:hAnsi="Times New Roman" w:cs="Times New Roman"/>
                <w:sz w:val="24"/>
                <w:szCs w:val="24"/>
                <w:lang w:val="en-GB" w:eastAsia="pl-PL"/>
              </w:rPr>
            </w:pPr>
          </w:p>
          <w:p w14:paraId="16C66A23" w14:textId="77777777" w:rsidR="00600389" w:rsidRPr="00FB76A9" w:rsidRDefault="00600389" w:rsidP="00FD5CD5">
            <w:pPr>
              <w:spacing w:after="0" w:line="240" w:lineRule="auto"/>
              <w:rPr>
                <w:rFonts w:ascii="Times New Roman" w:eastAsia="Times New Roman" w:hAnsi="Times New Roman" w:cs="Times New Roman"/>
                <w:sz w:val="24"/>
                <w:szCs w:val="24"/>
                <w:lang w:val="en-GB" w:eastAsia="pl-PL"/>
              </w:rPr>
            </w:pPr>
          </w:p>
          <w:p w14:paraId="54E279F6" w14:textId="77777777" w:rsidR="005127DF" w:rsidRPr="00FB76A9" w:rsidRDefault="005127DF"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w:t>
            </w:r>
            <w:r w:rsidR="00BC320E" w:rsidRPr="00FB76A9">
              <w:rPr>
                <w:rFonts w:ascii="Times New Roman" w:eastAsia="Times New Roman" w:hAnsi="Times New Roman" w:cs="Times New Roman"/>
                <w:sz w:val="24"/>
                <w:szCs w:val="24"/>
                <w:lang w:eastAsia="pl-PL"/>
              </w:rPr>
              <w:t>6</w:t>
            </w:r>
          </w:p>
          <w:p w14:paraId="0F6DA385"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7C26CDED"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77B6E82B"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3EF5A931"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7168821B"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515446AF"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29289199"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14667540"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39ACC37C"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33D43E78"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706D53F0"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2D3A0FEE"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2781ED1D"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3E72283C"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3C7E5034"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54D79C87"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6E9CC560"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0F4CE804"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146DA9E9"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4E1C1BEC"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27680321"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5C4CCD06"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09623653"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17CACB26"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59E01EBC"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p>
          <w:p w14:paraId="0607F967" w14:textId="77777777" w:rsidR="004A6CA6" w:rsidRDefault="004A6CA6" w:rsidP="00FD5CD5">
            <w:pPr>
              <w:spacing w:after="0" w:line="240" w:lineRule="auto"/>
              <w:rPr>
                <w:rFonts w:ascii="Times New Roman" w:eastAsia="Times New Roman" w:hAnsi="Times New Roman" w:cs="Times New Roman"/>
                <w:sz w:val="24"/>
                <w:szCs w:val="24"/>
                <w:lang w:eastAsia="pl-PL"/>
              </w:rPr>
            </w:pPr>
          </w:p>
          <w:p w14:paraId="7AF7957E" w14:textId="77777777" w:rsidR="004A6CA6" w:rsidRDefault="004A6CA6" w:rsidP="00FD5CD5">
            <w:pPr>
              <w:spacing w:after="0" w:line="240" w:lineRule="auto"/>
              <w:rPr>
                <w:rFonts w:ascii="Times New Roman" w:eastAsia="Times New Roman" w:hAnsi="Times New Roman" w:cs="Times New Roman"/>
                <w:sz w:val="24"/>
                <w:szCs w:val="24"/>
                <w:lang w:eastAsia="pl-PL"/>
              </w:rPr>
            </w:pPr>
          </w:p>
          <w:p w14:paraId="072F0201" w14:textId="77777777" w:rsidR="002B5B3B" w:rsidRPr="00FB76A9" w:rsidRDefault="002B5B3B"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w:t>
            </w:r>
            <w:r w:rsidR="00BC320E" w:rsidRPr="00FB76A9">
              <w:rPr>
                <w:rFonts w:ascii="Times New Roman" w:eastAsia="Times New Roman" w:hAnsi="Times New Roman" w:cs="Times New Roman"/>
                <w:sz w:val="24"/>
                <w:szCs w:val="24"/>
                <w:lang w:eastAsia="pl-PL"/>
              </w:rPr>
              <w:t>21</w:t>
            </w:r>
            <w:r w:rsidRPr="00FB76A9">
              <w:rPr>
                <w:rFonts w:ascii="Times New Roman" w:eastAsia="Times New Roman" w:hAnsi="Times New Roman" w:cs="Times New Roman"/>
                <w:sz w:val="24"/>
                <w:szCs w:val="24"/>
                <w:lang w:eastAsia="pl-PL"/>
              </w:rPr>
              <w:t xml:space="preserve"> </w:t>
            </w:r>
          </w:p>
        </w:tc>
        <w:tc>
          <w:tcPr>
            <w:tcW w:w="5103" w:type="dxa"/>
            <w:tcBorders>
              <w:top w:val="single" w:sz="4" w:space="0" w:color="auto"/>
              <w:left w:val="single" w:sz="4" w:space="0" w:color="auto"/>
              <w:bottom w:val="single" w:sz="4" w:space="0" w:color="auto"/>
              <w:right w:val="single" w:sz="4" w:space="0" w:color="auto"/>
            </w:tcBorders>
          </w:tcPr>
          <w:p w14:paraId="316CA453" w14:textId="77777777" w:rsidR="002E0A41" w:rsidRPr="00FB76A9" w:rsidRDefault="002E0A41" w:rsidP="00FD5CD5">
            <w:pPr>
              <w:pStyle w:val="ZLITPKTzmpktliter"/>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lastRenderedPageBreak/>
              <w:t>„pkt 23 otrzymuje brzmienie:</w:t>
            </w:r>
          </w:p>
          <w:p w14:paraId="2FE8D454" w14:textId="77777777" w:rsidR="002E0A41" w:rsidRPr="00FB76A9" w:rsidRDefault="002E0A41" w:rsidP="00FD5CD5">
            <w:pPr>
              <w:pStyle w:val="ZLITPKTzmpktliter"/>
              <w:spacing w:line="240" w:lineRule="auto"/>
              <w:ind w:left="208" w:firstLine="0"/>
              <w:jc w:val="left"/>
              <w:rPr>
                <w:rFonts w:ascii="Times New Roman" w:hAnsi="Times New Roman" w:cs="Times New Roman"/>
                <w:szCs w:val="24"/>
              </w:rPr>
            </w:pPr>
            <w:r w:rsidRPr="00FB76A9">
              <w:rPr>
                <w:rFonts w:ascii="Times New Roman" w:hAnsi="Times New Roman" w:cs="Times New Roman"/>
                <w:szCs w:val="24"/>
              </w:rPr>
              <w:t xml:space="preserve">23) </w:t>
            </w:r>
            <w:r w:rsidR="00123425" w:rsidRPr="00FB76A9">
              <w:rPr>
                <w:rFonts w:ascii="Times New Roman" w:hAnsi="Times New Roman" w:cs="Times New Roman"/>
                <w:szCs w:val="24"/>
              </w:rPr>
              <w:t xml:space="preserve"> procedurze krajowego indywidualnego dopuszczenia pojazdu – rozumie się przez to procedurę potwierdzenia spełnienia przez dany pojazd odpowiednich warunków lub wymagań technicznych, o których mowa odpowiednio w art. 1 ust. 1 rozporządzenia 167/2013, art. 1 ust. 1 rozporządzenia 168/2013, art. 45 ust. 1 rozporządzenia 2018/858 oraz przepisach wydanych na podstawie art. 68r ust. 1;</w:t>
            </w:r>
            <w:r w:rsidRPr="00FB76A9">
              <w:rPr>
                <w:rFonts w:ascii="Times New Roman" w:hAnsi="Times New Roman" w:cs="Times New Roman"/>
                <w:szCs w:val="24"/>
              </w:rPr>
              <w:t>”</w:t>
            </w:r>
          </w:p>
          <w:p w14:paraId="12265BA2" w14:textId="77777777" w:rsidR="00600389" w:rsidRPr="00FB76A9" w:rsidRDefault="00600389" w:rsidP="00FD5CD5">
            <w:pPr>
              <w:pStyle w:val="ZLITPKTzmpktliter"/>
              <w:spacing w:line="240" w:lineRule="auto"/>
              <w:ind w:left="208" w:firstLine="0"/>
              <w:jc w:val="left"/>
              <w:rPr>
                <w:rFonts w:ascii="Times New Roman" w:hAnsi="Times New Roman" w:cs="Times New Roman"/>
                <w:szCs w:val="24"/>
              </w:rPr>
            </w:pPr>
          </w:p>
          <w:p w14:paraId="64960368" w14:textId="77777777" w:rsidR="00600389" w:rsidRPr="00FB76A9" w:rsidRDefault="00600389" w:rsidP="00FD5CD5">
            <w:pPr>
              <w:pStyle w:val="LITlitera"/>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„pkt 33 otrzymuje brzmienie: </w:t>
            </w:r>
          </w:p>
          <w:p w14:paraId="6A0D9767" w14:textId="77777777" w:rsidR="00600389" w:rsidRPr="00FB76A9" w:rsidRDefault="00600389" w:rsidP="00FD5CD5">
            <w:pPr>
              <w:pStyle w:val="ZLITLITwPKTzmlitwpktliter"/>
              <w:spacing w:line="240" w:lineRule="auto"/>
              <w:ind w:left="635" w:hanging="567"/>
              <w:jc w:val="left"/>
              <w:rPr>
                <w:rFonts w:ascii="Times New Roman" w:hAnsi="Times New Roman" w:cs="Times New Roman"/>
                <w:szCs w:val="24"/>
              </w:rPr>
            </w:pPr>
            <w:r w:rsidRPr="00FB76A9">
              <w:rPr>
                <w:rFonts w:ascii="Times New Roman" w:hAnsi="Times New Roman" w:cs="Times New Roman"/>
                <w:szCs w:val="24"/>
              </w:rPr>
              <w:t>„</w:t>
            </w:r>
            <w:r w:rsidR="00BC320E" w:rsidRPr="00FB76A9">
              <w:rPr>
                <w:rFonts w:ascii="Times New Roman" w:eastAsia="Times New Roman" w:hAnsi="Times New Roman" w:cs="Times New Roman"/>
                <w:szCs w:val="24"/>
              </w:rPr>
              <w:t xml:space="preserve">33) </w:t>
            </w:r>
            <w:bookmarkStart w:id="68" w:name="_Hlk230347301"/>
            <w:r w:rsidR="00BC320E" w:rsidRPr="00FB76A9">
              <w:rPr>
                <w:rFonts w:ascii="Times New Roman" w:eastAsia="Times New Roman" w:hAnsi="Times New Roman" w:cs="Times New Roman"/>
                <w:szCs w:val="24"/>
              </w:rPr>
              <w:t>świadectwie krajowego indywidualnego dopuszczenia nowego pojazdu</w:t>
            </w:r>
            <w:bookmarkEnd w:id="68"/>
            <w:r w:rsidR="00BC320E" w:rsidRPr="00FB76A9">
              <w:rPr>
                <w:rFonts w:ascii="Times New Roman" w:eastAsia="Times New Roman" w:hAnsi="Times New Roman" w:cs="Times New Roman"/>
                <w:szCs w:val="24"/>
              </w:rPr>
              <w:t xml:space="preserve"> – rozumie się przez to dokument stwierdzający spełnienie wymagań procedury określonej w przepisach wydanych na podstawie art. 68r ust. 1 ;”</w:t>
            </w:r>
          </w:p>
          <w:p w14:paraId="26763677" w14:textId="77777777" w:rsidR="002E0A41" w:rsidRPr="00FB76A9" w:rsidRDefault="002E0A41" w:rsidP="00FD5CD5">
            <w:pPr>
              <w:pStyle w:val="PKTpunkt"/>
              <w:keepNext/>
              <w:spacing w:line="240" w:lineRule="auto"/>
              <w:ind w:left="0" w:firstLine="0"/>
              <w:jc w:val="left"/>
              <w:rPr>
                <w:rFonts w:ascii="Times New Roman" w:hAnsi="Times New Roman" w:cs="Times New Roman"/>
                <w:szCs w:val="24"/>
              </w:rPr>
            </w:pPr>
          </w:p>
          <w:p w14:paraId="20144A39" w14:textId="77777777" w:rsidR="005127DF" w:rsidRPr="00FB76A9" w:rsidRDefault="00BC320E" w:rsidP="00FD5CD5">
            <w:pPr>
              <w:pStyle w:val="PKTpunkt"/>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6</w:t>
            </w:r>
            <w:r w:rsidR="005127DF" w:rsidRPr="00FB76A9">
              <w:rPr>
                <w:rFonts w:ascii="Times New Roman" w:hAnsi="Times New Roman" w:cs="Times New Roman"/>
                <w:szCs w:val="24"/>
              </w:rPr>
              <w:t>) w art. 13</w:t>
            </w:r>
            <w:r w:rsidRPr="00FB76A9">
              <w:rPr>
                <w:rFonts w:ascii="Times New Roman" w:hAnsi="Times New Roman" w:cs="Times New Roman"/>
                <w:szCs w:val="24"/>
              </w:rPr>
              <w:t xml:space="preserve"> </w:t>
            </w:r>
            <w:r w:rsidR="005127DF" w:rsidRPr="00FB76A9">
              <w:rPr>
                <w:rFonts w:ascii="Times New Roman" w:hAnsi="Times New Roman" w:cs="Times New Roman"/>
                <w:szCs w:val="24"/>
              </w:rPr>
              <w:t>ust. 3 otrzymuje brzmienie:</w:t>
            </w:r>
          </w:p>
          <w:p w14:paraId="45704220" w14:textId="77777777" w:rsidR="00BC320E" w:rsidRPr="00FB76A9" w:rsidRDefault="00CF37BF" w:rsidP="00FD5CD5">
            <w:pPr>
              <w:pStyle w:val="ZLITUSTzmustliter"/>
              <w:keepNext/>
              <w:spacing w:line="240" w:lineRule="auto"/>
              <w:ind w:left="68" w:firstLine="0"/>
              <w:jc w:val="left"/>
              <w:rPr>
                <w:rFonts w:ascii="Times New Roman" w:hAnsi="Times New Roman" w:cs="Times New Roman"/>
                <w:szCs w:val="24"/>
              </w:rPr>
            </w:pPr>
            <w:r w:rsidRPr="001F1A7B">
              <w:t>„3. Producent, przedstawiciel producenta, importer</w:t>
            </w:r>
            <w:r>
              <w:t xml:space="preserve"> </w:t>
            </w:r>
            <w:r w:rsidRPr="00B52C69">
              <w:t>albo właściciel pojazdu, z wyjątkiem</w:t>
            </w:r>
            <w:r w:rsidRPr="001F1A7B">
              <w:t xml:space="preserve"> tramwaju i trolejbusu, na którego typ producent nie uzyskał dokumentu, o którym mowa w ust. 1 pkt 1, jest obowiązany uzyskać, zgodnie </w:t>
            </w:r>
            <w:r w:rsidRPr="001F1A7B">
              <w:lastRenderedPageBreak/>
              <w:t>z odpowiednio rozporządzeniem 167/2013, rozporządzeniem 168/2013, rozporządzeniem 2018/858 albo przepisami ustawy:</w:t>
            </w:r>
          </w:p>
          <w:p w14:paraId="7EA5A228" w14:textId="77777777" w:rsidR="00BC320E" w:rsidRPr="00FB76A9" w:rsidRDefault="00BC320E" w:rsidP="00FD5CD5">
            <w:pPr>
              <w:pStyle w:val="ZLITUSTzmustliter"/>
              <w:keepNext/>
              <w:spacing w:line="240" w:lineRule="auto"/>
              <w:ind w:left="68"/>
              <w:jc w:val="left"/>
              <w:rPr>
                <w:rFonts w:ascii="Times New Roman" w:hAnsi="Times New Roman" w:cs="Times New Roman"/>
                <w:szCs w:val="24"/>
              </w:rPr>
            </w:pPr>
            <w:r w:rsidRPr="00FB76A9">
              <w:rPr>
                <w:rFonts w:ascii="Times New Roman" w:hAnsi="Times New Roman" w:cs="Times New Roman"/>
                <w:szCs w:val="24"/>
              </w:rPr>
              <w:t>1)świadectwo krajowego indywidualnego dopuszczenia nowego pojazdu;</w:t>
            </w:r>
          </w:p>
          <w:p w14:paraId="334AE53F" w14:textId="77777777" w:rsidR="00BC320E" w:rsidRPr="00FB76A9" w:rsidRDefault="00BC320E" w:rsidP="00FD5CD5">
            <w:pPr>
              <w:pStyle w:val="ZLITUSTzmustliter"/>
              <w:keepNext/>
              <w:spacing w:line="240" w:lineRule="auto"/>
              <w:ind w:left="68"/>
              <w:jc w:val="left"/>
              <w:rPr>
                <w:rFonts w:ascii="Times New Roman" w:hAnsi="Times New Roman" w:cs="Times New Roman"/>
                <w:szCs w:val="24"/>
              </w:rPr>
            </w:pPr>
            <w:r w:rsidRPr="00FB76A9">
              <w:rPr>
                <w:rFonts w:ascii="Times New Roman" w:hAnsi="Times New Roman" w:cs="Times New Roman"/>
                <w:szCs w:val="24"/>
              </w:rPr>
              <w:t>2)świadectwo krajowego indywidualnego dopuszczenia pojazdu niebędącego nowym pojazdem;</w:t>
            </w:r>
          </w:p>
          <w:p w14:paraId="5B498085" w14:textId="77777777" w:rsidR="00BC320E" w:rsidRPr="00FB76A9" w:rsidRDefault="00BC320E" w:rsidP="00FD5CD5">
            <w:pPr>
              <w:pStyle w:val="ZLITUSTzmustliter"/>
              <w:keepNext/>
              <w:spacing w:line="240" w:lineRule="auto"/>
              <w:ind w:left="68"/>
              <w:jc w:val="left"/>
              <w:rPr>
                <w:rFonts w:ascii="Times New Roman" w:hAnsi="Times New Roman" w:cs="Times New Roman"/>
                <w:szCs w:val="24"/>
              </w:rPr>
            </w:pPr>
            <w:r w:rsidRPr="00FB76A9">
              <w:rPr>
                <w:rFonts w:ascii="Times New Roman" w:hAnsi="Times New Roman" w:cs="Times New Roman"/>
                <w:szCs w:val="24"/>
              </w:rPr>
              <w:t>3) uznanie świadectwa krajowego indywidualnego dopuszczenia pojazdu wydanego zgodnie z art. 1 ust. 1 rozporządzenia 167/2013, art. 1 ust. 1 rozporządzenia 168/2013 albo art. 45 ust. 1 rozporządzenia 2018/858 przez właściwy organ innego niż Rzeczpospolita Polska państwa członkowskiego Unii Europejskiej albo</w:t>
            </w:r>
          </w:p>
          <w:p w14:paraId="2DD457F7" w14:textId="77777777" w:rsidR="00BC320E" w:rsidRPr="00FB76A9" w:rsidRDefault="00BC320E" w:rsidP="00FD5CD5">
            <w:pPr>
              <w:pStyle w:val="ZLITUSTzmustliter"/>
              <w:keepNext/>
              <w:spacing w:line="240" w:lineRule="auto"/>
              <w:ind w:left="68"/>
              <w:jc w:val="left"/>
              <w:rPr>
                <w:rFonts w:ascii="Times New Roman" w:hAnsi="Times New Roman" w:cs="Times New Roman"/>
                <w:szCs w:val="24"/>
              </w:rPr>
            </w:pPr>
            <w:r w:rsidRPr="00FB76A9">
              <w:rPr>
                <w:rFonts w:ascii="Times New Roman" w:hAnsi="Times New Roman" w:cs="Times New Roman"/>
                <w:szCs w:val="24"/>
              </w:rPr>
              <w:t>4) świadectwo unijnego indywidualnego dopuszczenia pojazdu</w:t>
            </w:r>
          </w:p>
          <w:p w14:paraId="463F7CEA" w14:textId="77777777" w:rsidR="005127DF" w:rsidRPr="00FB76A9" w:rsidRDefault="00BC320E" w:rsidP="00FD5CD5">
            <w:pPr>
              <w:pStyle w:val="ZLITCZWSPPKTzmczciwsppktliter"/>
              <w:spacing w:line="240" w:lineRule="auto"/>
              <w:ind w:left="68"/>
              <w:jc w:val="left"/>
              <w:rPr>
                <w:rFonts w:ascii="Times New Roman" w:hAnsi="Times New Roman" w:cs="Times New Roman"/>
              </w:rPr>
            </w:pPr>
            <w:r w:rsidRPr="00FB76A9">
              <w:rPr>
                <w:rFonts w:ascii="Times New Roman" w:hAnsi="Times New Roman" w:cs="Times New Roman"/>
              </w:rPr>
              <w:t>– które potwierdza spełnienie odpowiednich warunków lub wymagań technicznych określonych dla tego pojazdu.”</w:t>
            </w:r>
            <w:r w:rsidR="005127DF" w:rsidRPr="00FB76A9">
              <w:rPr>
                <w:rFonts w:ascii="Times New Roman" w:hAnsi="Times New Roman" w:cs="Times New Roman"/>
              </w:rPr>
              <w:t>,</w:t>
            </w:r>
          </w:p>
          <w:p w14:paraId="0CA80337" w14:textId="77777777" w:rsidR="002B5B3B" w:rsidRPr="00FB76A9" w:rsidRDefault="002B5B3B" w:rsidP="00FD5CD5">
            <w:pPr>
              <w:pStyle w:val="ZUSTzmustartykuempunktem"/>
              <w:spacing w:line="240" w:lineRule="auto"/>
              <w:ind w:left="0" w:firstLine="0"/>
              <w:jc w:val="left"/>
              <w:rPr>
                <w:rFonts w:ascii="Times New Roman" w:hAnsi="Times New Roman" w:cs="Times New Roman"/>
                <w:szCs w:val="24"/>
              </w:rPr>
            </w:pPr>
          </w:p>
          <w:p w14:paraId="248FFF2B" w14:textId="77777777" w:rsidR="002B5B3B" w:rsidRPr="00FB76A9" w:rsidRDefault="002B5B3B"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„Rozdział 4a</w:t>
            </w:r>
          </w:p>
          <w:p w14:paraId="433CD236" w14:textId="77777777" w:rsidR="002B5B3B" w:rsidRPr="00FB76A9" w:rsidRDefault="002B5B3B" w:rsidP="00FD5CD5">
            <w:pPr>
              <w:pStyle w:val="ZROZDZODDZPRZEDMzmprzedmrozdzoddzartykuempunktem"/>
              <w:spacing w:before="0" w:after="0" w:line="240" w:lineRule="auto"/>
              <w:ind w:left="0"/>
              <w:jc w:val="left"/>
              <w:rPr>
                <w:rFonts w:ascii="Times New Roman" w:hAnsi="Times New Roman"/>
              </w:rPr>
            </w:pPr>
            <w:r w:rsidRPr="00FB76A9">
              <w:rPr>
                <w:rFonts w:ascii="Times New Roman" w:hAnsi="Times New Roman"/>
              </w:rPr>
              <w:t>Indywidualne dopuszczenie pojazdu</w:t>
            </w:r>
          </w:p>
          <w:p w14:paraId="0F59474C" w14:textId="77777777" w:rsidR="00236864" w:rsidRPr="00FB76A9" w:rsidRDefault="002B5B3B"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Art. 68a. 1. </w:t>
            </w:r>
            <w:r w:rsidR="00236864" w:rsidRPr="00FB76A9">
              <w:rPr>
                <w:rFonts w:ascii="Times New Roman" w:hAnsi="Times New Roman" w:cs="Times New Roman"/>
                <w:szCs w:val="24"/>
              </w:rPr>
              <w:t xml:space="preserve"> Spełnienie odpowiednich warunków lub wymagań technicznych przez dany pojazd potwierdza się w procedurze indywidualnego dopuszczenia pojazdu. </w:t>
            </w:r>
          </w:p>
          <w:p w14:paraId="6F10F4BD" w14:textId="77777777" w:rsidR="00236864" w:rsidRPr="00FB76A9" w:rsidRDefault="00236864"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2. Indywidualne dopuszczenie pojazdu może nastąpić w formie:</w:t>
            </w:r>
          </w:p>
          <w:p w14:paraId="7889F775" w14:textId="77777777" w:rsidR="00236864" w:rsidRPr="00FB76A9" w:rsidRDefault="00236864" w:rsidP="00FD5CD5">
            <w:pPr>
              <w:pStyle w:val="ZARTzmartartykuempunktem"/>
              <w:spacing w:line="240" w:lineRule="auto"/>
              <w:ind w:left="209" w:firstLine="142"/>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unijnego indywidualnego dopuszczenia pojazdu;</w:t>
            </w:r>
          </w:p>
          <w:p w14:paraId="5FE74CFF" w14:textId="77777777" w:rsidR="00236864" w:rsidRPr="00FB76A9" w:rsidRDefault="00236864" w:rsidP="00FD5CD5">
            <w:pPr>
              <w:pStyle w:val="ZLITwPKTzmlitwpktartykuempunktem"/>
              <w:spacing w:line="240" w:lineRule="auto"/>
              <w:ind w:left="209" w:firstLine="142"/>
              <w:jc w:val="left"/>
              <w:rPr>
                <w:rFonts w:ascii="Times New Roman" w:hAnsi="Times New Roman" w:cs="Times New Roman"/>
                <w:szCs w:val="24"/>
              </w:rPr>
            </w:pPr>
            <w:r w:rsidRPr="00FB76A9">
              <w:rPr>
                <w:rFonts w:ascii="Times New Roman" w:hAnsi="Times New Roman" w:cs="Times New Roman"/>
                <w:szCs w:val="24"/>
              </w:rPr>
              <w:lastRenderedPageBreak/>
              <w:t xml:space="preserve">2) </w:t>
            </w:r>
            <w:r w:rsidRPr="00FB76A9">
              <w:rPr>
                <w:rFonts w:ascii="Times New Roman" w:hAnsi="Times New Roman" w:cs="Times New Roman"/>
                <w:szCs w:val="24"/>
              </w:rPr>
              <w:tab/>
              <w:t>krajowego indywidualnego dopuszczenia nowego pojazdu;</w:t>
            </w:r>
          </w:p>
          <w:p w14:paraId="4781B877" w14:textId="77777777" w:rsidR="00CB4F58" w:rsidRPr="00FB76A9" w:rsidRDefault="00CB4F58" w:rsidP="00FD5CD5">
            <w:pPr>
              <w:pStyle w:val="ZLITwPKTzmlitwpktartykuempunktem"/>
              <w:spacing w:line="240" w:lineRule="auto"/>
              <w:ind w:left="635"/>
              <w:jc w:val="left"/>
              <w:rPr>
                <w:rFonts w:ascii="Times New Roman" w:hAnsi="Times New Roman" w:cs="Times New Roman"/>
                <w:szCs w:val="24"/>
              </w:rPr>
            </w:pPr>
            <w:r w:rsidRPr="00FB76A9">
              <w:rPr>
                <w:rFonts w:ascii="Times New Roman" w:hAnsi="Times New Roman" w:cs="Times New Roman"/>
                <w:szCs w:val="24"/>
              </w:rPr>
              <w:t>(…)</w:t>
            </w:r>
          </w:p>
          <w:p w14:paraId="568E814D" w14:textId="77777777" w:rsidR="00236864" w:rsidRPr="00FB76A9" w:rsidRDefault="00236864"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3. Unijnemu indywidualnemu dopuszczeniu pojazdu podlega pojazd, o którym mowa w art. 44 ust. 1 rozporządzenia 2018/858, który zgodnie z dodatkiem 2 częścią 1 załącznika II do rozporządzenia 2018/858 nie był nigdy zarejestrowany albo pojazd w odniesieniu, do którego od chwili rejestracji do chwili złożenia wniosku o uzyskanie unijnego indywidualnego dopuszczenia pojazdu, nie upłynęło więcej niż 6 miesięcy. </w:t>
            </w:r>
          </w:p>
          <w:p w14:paraId="3403392C" w14:textId="77777777" w:rsidR="00236864" w:rsidRPr="00FB76A9" w:rsidRDefault="00236864"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4. Krajowemu indywidualnemu dopuszczeniu nowego pojazdu podlega nowy pojazd, o którym mowa w art. 4 rozporządzenia 167/2013, art. 4 rozporządzenia 168/2013 oraz art. 4 ust. 1 rozporządzenia 2018/858, z wyjątkiem pojazdu, o którym mowa w art. 2 ust. 3 i 4 tego rozporządzenia:</w:t>
            </w:r>
          </w:p>
          <w:p w14:paraId="7AB50A6C" w14:textId="77777777" w:rsidR="00236864" w:rsidRPr="00FB76A9" w:rsidRDefault="00236864" w:rsidP="00FD5CD5">
            <w:pPr>
              <w:pStyle w:val="ZUSTzmustartykuempunktem"/>
              <w:spacing w:line="240" w:lineRule="auto"/>
              <w:ind w:left="68"/>
              <w:jc w:val="left"/>
              <w:rPr>
                <w:rFonts w:ascii="Times New Roman" w:hAnsi="Times New Roman" w:cs="Times New Roman"/>
                <w:szCs w:val="24"/>
              </w:rPr>
            </w:pPr>
            <w:r w:rsidRPr="00FB76A9">
              <w:rPr>
                <w:rFonts w:ascii="Times New Roman" w:hAnsi="Times New Roman" w:cs="Times New Roman"/>
                <w:szCs w:val="24"/>
              </w:rPr>
              <w:t>1) przed wprowadzeniem do obrotu na terytorium Rzeczypospolitej Polskiej, na którego typ producent nie uzyskał świadectwa homologacji typu UE pojazdu, świadectwa homologacji typu ONZ, świadectwa krajowej homologacji typu pojazdu albo świadectwa krajowej homologacji typu pojazdów produkowanych w małych seriach;</w:t>
            </w:r>
          </w:p>
          <w:p w14:paraId="0E5DCF58" w14:textId="77777777" w:rsidR="00236864" w:rsidRPr="00FB76A9" w:rsidRDefault="00236864" w:rsidP="00FD5CD5">
            <w:pPr>
              <w:pStyle w:val="ZUSTzmustartykuempunktem"/>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2) na którego typ zostało wydane świadectwo homologacji typu UE pojazdu, świadectwo homologacji typu ONZ, świadectwo krajowej homologacji typu pojazdu albo </w:t>
            </w:r>
            <w:r w:rsidRPr="00FB76A9">
              <w:rPr>
                <w:rFonts w:ascii="Times New Roman" w:hAnsi="Times New Roman" w:cs="Times New Roman"/>
                <w:szCs w:val="24"/>
              </w:rPr>
              <w:lastRenderedPageBreak/>
              <w:t>świadectwo krajowej homologacji typu pojazdów produkowanych w małych seriach i w którym to pojeździe, w jego przedmiocie wyposażenia lub części przed rejestracją zostały wprowadzone zmiany wpływające na zmianę warunków stanowiących podstawę do wydania świadectwa homologacji typu tego pojazdu.</w:t>
            </w:r>
          </w:p>
          <w:p w14:paraId="3FE80B0E" w14:textId="77777777" w:rsidR="00236864" w:rsidRPr="00FB76A9" w:rsidRDefault="00236864"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5. Krajowemu indywidualnemu dopuszczeniu nowego pojazdu podlega także:</w:t>
            </w:r>
          </w:p>
          <w:p w14:paraId="43FCF8BE" w14:textId="77777777" w:rsidR="00236864" w:rsidRPr="00FB76A9" w:rsidRDefault="00236864" w:rsidP="00FD5CD5">
            <w:pPr>
              <w:pStyle w:val="ZUSTzmustartykuempunktem"/>
              <w:spacing w:line="240" w:lineRule="auto"/>
              <w:ind w:left="68" w:firstLine="0"/>
              <w:jc w:val="left"/>
              <w:rPr>
                <w:rFonts w:ascii="Times New Roman" w:hAnsi="Times New Roman" w:cs="Times New Roman"/>
                <w:szCs w:val="24"/>
              </w:rPr>
            </w:pPr>
            <w:r w:rsidRPr="00FB76A9">
              <w:rPr>
                <w:rFonts w:ascii="Times New Roman" w:hAnsi="Times New Roman" w:cs="Times New Roman"/>
                <w:szCs w:val="24"/>
              </w:rPr>
              <w:t>1) pojazd, w odniesieniu do którego od chwili jego pierwszej rejestracji w państwie pochodzenia niebędącym państwem członkowskim Unii Europejskiej do chwili złożenia wniosku o uzyskanie krajowego indywidualnego dopuszczenia nowego pojazdu nie upłynęło więcej niż 12 miesięcy albo pojazd, który posiada przebieg nie większy niż 10 000 km, jeśli istnieje możliwość odczytania przebiegu w pojeździe, nawet w przypadku upływu tych 12 miesięcy;</w:t>
            </w:r>
          </w:p>
          <w:p w14:paraId="5ADF7700" w14:textId="77777777" w:rsidR="00703BF5" w:rsidRDefault="00236864" w:rsidP="00FD5CD5">
            <w:pPr>
              <w:pStyle w:val="ZUSTzmustartykuempunktem"/>
              <w:spacing w:line="240" w:lineRule="auto"/>
              <w:ind w:left="68" w:firstLine="0"/>
              <w:jc w:val="left"/>
              <w:rPr>
                <w:rFonts w:ascii="Times New Roman" w:hAnsi="Times New Roman" w:cs="Times New Roman"/>
                <w:szCs w:val="24"/>
              </w:rPr>
            </w:pPr>
            <w:r w:rsidRPr="00FB76A9">
              <w:rPr>
                <w:rFonts w:ascii="Times New Roman" w:hAnsi="Times New Roman" w:cs="Times New Roman"/>
                <w:szCs w:val="24"/>
              </w:rPr>
              <w:t>2) ciągnik rolniczy, który nie jest nowym pojazdem i nie był zarejestrowany lub wykorzystywany na terytorium Unii Europejskiej i nie posiada ważnych dokumentów potwierdzających spełnienie odpowiednich wymagań technicznych obowiązujących w procedurze homologacji typu UE pojazdu, typu ONZ albo typu pojazdu;</w:t>
            </w:r>
          </w:p>
          <w:p w14:paraId="49E51D02" w14:textId="77777777" w:rsidR="00703BF5" w:rsidRPr="004A6CA6" w:rsidRDefault="00703BF5" w:rsidP="00FD5CD5">
            <w:pPr>
              <w:pStyle w:val="ZUSTzmustartykuempunktem"/>
              <w:spacing w:line="240" w:lineRule="auto"/>
              <w:ind w:left="68" w:firstLine="0"/>
              <w:jc w:val="left"/>
              <w:rPr>
                <w:rFonts w:ascii="Times New Roman" w:hAnsi="Times New Roman" w:cs="Times New Roman"/>
                <w:szCs w:val="24"/>
              </w:rPr>
            </w:pPr>
            <w:r w:rsidRPr="004A6CA6">
              <w:rPr>
                <w:rFonts w:ascii="Times New Roman" w:hAnsi="Times New Roman" w:cs="Times New Roman"/>
                <w:szCs w:val="24"/>
              </w:rPr>
              <w:t xml:space="preserve">3)przyczepa, o której mowa w art. 2 ust. 1 lit. b rozporządzenia 167/2013, która nie jest nowym pojazdem i nie była zarejestrowana lub wykorzystywana na terytorium Unii Europejskiej i nie posiada ważnych dokumentów </w:t>
            </w:r>
            <w:r w:rsidRPr="004A6CA6">
              <w:rPr>
                <w:rFonts w:ascii="Times New Roman" w:hAnsi="Times New Roman" w:cs="Times New Roman"/>
                <w:szCs w:val="24"/>
              </w:rPr>
              <w:lastRenderedPageBreak/>
              <w:t>potwierdzających spełnienie odpowiednich wymagań technicznych obowiązujących w procedurze homologacji typu UE pojazdu, typu ONZ albo typu pojazdu;</w:t>
            </w:r>
          </w:p>
          <w:p w14:paraId="75969FAE" w14:textId="77777777" w:rsidR="00703BF5" w:rsidRDefault="00703BF5" w:rsidP="00FD5CD5">
            <w:pPr>
              <w:pStyle w:val="ZUSTzmustartykuempunktem"/>
              <w:spacing w:line="240" w:lineRule="auto"/>
              <w:ind w:left="68" w:firstLine="0"/>
              <w:jc w:val="left"/>
              <w:rPr>
                <w:rFonts w:ascii="Times New Roman" w:hAnsi="Times New Roman" w:cs="Times New Roman"/>
                <w:szCs w:val="24"/>
              </w:rPr>
            </w:pPr>
            <w:r w:rsidRPr="004A6CA6">
              <w:rPr>
                <w:rFonts w:ascii="Times New Roman" w:hAnsi="Times New Roman" w:cs="Times New Roman"/>
                <w:szCs w:val="24"/>
              </w:rPr>
              <w:t>4) wymienne urządzenie ciągnięte, o którym mowa w art. 2 ust. 1 lit. c rozporządzenia 167/2013, które nie jest nowym pojazdem i nie było zarejestrowane lub wykorzystywane na terytorium Unii Europejskiej i nie posiada ważnych dokumentów potwierdzających spełnienie odpowiednich wymagań technicznych obowiązujących w procedurze homologacji typu UE pojazdu, typu ONZ albo typu pojazdu.</w:t>
            </w:r>
          </w:p>
          <w:p w14:paraId="2E78BAC4" w14:textId="77777777" w:rsidR="002B5B3B" w:rsidRPr="00FB76A9" w:rsidRDefault="002B5B3B" w:rsidP="00FD5CD5">
            <w:pPr>
              <w:pStyle w:val="ZUSTzmustartykuempunktem"/>
              <w:spacing w:line="240" w:lineRule="auto"/>
              <w:ind w:left="68" w:firstLine="0"/>
              <w:jc w:val="left"/>
              <w:rPr>
                <w:rFonts w:ascii="Times New Roman" w:hAnsi="Times New Roman" w:cs="Times New Roman"/>
                <w:szCs w:val="24"/>
              </w:rPr>
            </w:pPr>
            <w:r w:rsidRPr="00FB76A9">
              <w:rPr>
                <w:rFonts w:ascii="Times New Roman" w:hAnsi="Times New Roman" w:cs="Times New Roman"/>
                <w:szCs w:val="24"/>
              </w:rPr>
              <w:t>(…)</w:t>
            </w:r>
          </w:p>
          <w:p w14:paraId="68A1C20C" w14:textId="77777777" w:rsidR="002B5B3B" w:rsidRPr="00FB76A9" w:rsidRDefault="002B5B3B" w:rsidP="00FD5CD5">
            <w:pPr>
              <w:pStyle w:val="ZPKTzmpk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Art. 68b. </w:t>
            </w:r>
            <w:r w:rsidR="001C10BA" w:rsidRPr="00FB76A9">
              <w:rPr>
                <w:rFonts w:ascii="Times New Roman" w:hAnsi="Times New Roman" w:cs="Times New Roman"/>
                <w:szCs w:val="24"/>
              </w:rPr>
              <w:t xml:space="preserve"> </w:t>
            </w:r>
            <w:r w:rsidR="001C10BA" w:rsidRPr="00FB76A9">
              <w:rPr>
                <w:rFonts w:ascii="Times New Roman" w:eastAsiaTheme="minorEastAsia" w:hAnsi="Times New Roman" w:cs="Times New Roman"/>
                <w:bCs w:val="0"/>
                <w:szCs w:val="24"/>
              </w:rPr>
              <w:t>Producent pojazdu, o którym mowa w art. 2 ust. 3 i 4 rozporządzenia 2018/858, może wystąpić o wydanie krajowego indywidualnego dopuszczenia nowego pojazdu, jeżeli pojazd spełnia odpowiednie warunki lub wymagania techniczne, określone w przepisach wydanych na podstawie art. 68r ust. 1</w:t>
            </w:r>
            <w:r w:rsidRPr="00FB76A9">
              <w:rPr>
                <w:rFonts w:ascii="Times New Roman" w:hAnsi="Times New Roman" w:cs="Times New Roman"/>
                <w:szCs w:val="24"/>
              </w:rPr>
              <w:t xml:space="preserve">. </w:t>
            </w:r>
          </w:p>
          <w:p w14:paraId="209E4630" w14:textId="77777777" w:rsidR="001C10BA" w:rsidRPr="00FB76A9" w:rsidRDefault="001C10BA" w:rsidP="00FD5CD5">
            <w:pPr>
              <w:pStyle w:val="ZARTzmartartykuempunktem"/>
              <w:keepNext/>
              <w:spacing w:line="240" w:lineRule="auto"/>
              <w:ind w:left="68" w:firstLine="0"/>
              <w:jc w:val="left"/>
              <w:rPr>
                <w:rFonts w:ascii="Times New Roman" w:hAnsi="Times New Roman" w:cs="Times New Roman"/>
                <w:szCs w:val="24"/>
              </w:rPr>
            </w:pPr>
            <w:r w:rsidRPr="00FB76A9">
              <w:rPr>
                <w:rFonts w:ascii="Times New Roman" w:hAnsi="Times New Roman" w:cs="Times New Roman"/>
                <w:szCs w:val="24"/>
              </w:rPr>
              <w:t xml:space="preserve">Art. 68c. 1. Dyrektor TDT, w drodze decyzji administracyjnej, za opłatą, na wniosek producenta, przedstawiciela producenta, importera albo właściciela pojazdu, złożony w formie pisemnej, w postaci papierowej lub elektronicznej, wydaje: </w:t>
            </w:r>
          </w:p>
          <w:p w14:paraId="72F774A1" w14:textId="77777777" w:rsidR="001C10BA" w:rsidRPr="00FB76A9" w:rsidRDefault="001C10BA" w:rsidP="00FD5CD5">
            <w:pPr>
              <w:pStyle w:val="ZARTzmartartykuempunktem"/>
              <w:keepNext/>
              <w:spacing w:line="240" w:lineRule="auto"/>
              <w:ind w:left="68"/>
              <w:jc w:val="left"/>
              <w:rPr>
                <w:rFonts w:ascii="Times New Roman" w:hAnsi="Times New Roman" w:cs="Times New Roman"/>
                <w:szCs w:val="24"/>
              </w:rPr>
            </w:pPr>
            <w:r w:rsidRPr="00FB76A9">
              <w:rPr>
                <w:rFonts w:ascii="Times New Roman" w:hAnsi="Times New Roman" w:cs="Times New Roman"/>
                <w:szCs w:val="24"/>
              </w:rPr>
              <w:t>1) świadectwo unijnego indywidualnego dopuszczenia pojazdu;</w:t>
            </w:r>
          </w:p>
          <w:p w14:paraId="1A42327C" w14:textId="77777777" w:rsidR="001C10BA" w:rsidRPr="00FB76A9" w:rsidRDefault="001C10BA" w:rsidP="00FD5CD5">
            <w:pPr>
              <w:pStyle w:val="ZARTzmartartykuempunktem"/>
              <w:keepNext/>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2) świadectwo krajowego indywidualnego dopuszczenia nowego pojazdu </w:t>
            </w:r>
          </w:p>
          <w:p w14:paraId="78978B65" w14:textId="77777777" w:rsidR="001C10BA" w:rsidRPr="00FB76A9" w:rsidRDefault="001C10BA" w:rsidP="00FD5CD5">
            <w:pPr>
              <w:pStyle w:val="ZARTzmartartykuempunktem"/>
              <w:keepNext/>
              <w:spacing w:line="240" w:lineRule="auto"/>
              <w:ind w:left="68"/>
              <w:jc w:val="left"/>
              <w:rPr>
                <w:rFonts w:ascii="Times New Roman" w:hAnsi="Times New Roman" w:cs="Times New Roman"/>
                <w:szCs w:val="24"/>
              </w:rPr>
            </w:pPr>
            <w:r w:rsidRPr="00FB76A9">
              <w:rPr>
                <w:rFonts w:ascii="Times New Roman" w:hAnsi="Times New Roman" w:cs="Times New Roman"/>
                <w:szCs w:val="24"/>
              </w:rPr>
              <w:t>– albo odmawia jego wydania.</w:t>
            </w:r>
          </w:p>
          <w:p w14:paraId="68CBA56A" w14:textId="77777777" w:rsidR="001C10BA" w:rsidRPr="00FB76A9" w:rsidRDefault="001C10BA" w:rsidP="00FD5CD5">
            <w:pPr>
              <w:pStyle w:val="ZARTzmartartykuempunktem"/>
              <w:keepNext/>
              <w:spacing w:line="240" w:lineRule="auto"/>
              <w:ind w:left="68" w:firstLine="0"/>
              <w:jc w:val="left"/>
              <w:rPr>
                <w:rFonts w:ascii="Times New Roman" w:hAnsi="Times New Roman" w:cs="Times New Roman"/>
                <w:szCs w:val="24"/>
              </w:rPr>
            </w:pPr>
            <w:r w:rsidRPr="00FB76A9">
              <w:rPr>
                <w:rFonts w:ascii="Times New Roman" w:hAnsi="Times New Roman" w:cs="Times New Roman"/>
                <w:szCs w:val="24"/>
              </w:rPr>
              <w:lastRenderedPageBreak/>
              <w:t xml:space="preserve">2. Do wniosku, o którym mowa w ust. 1, dołącza się: </w:t>
            </w:r>
          </w:p>
          <w:p w14:paraId="6795B9EF" w14:textId="77777777" w:rsidR="001C10BA" w:rsidRPr="00FB76A9" w:rsidRDefault="001C10BA" w:rsidP="00FD5CD5">
            <w:pPr>
              <w:pStyle w:val="ZARTzmartartykuempunktem"/>
              <w:keepNext/>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1) sprawozdanie z badań potwierdzające spełnienie odpowiednich warunków lub wymagań technicznych w procedurze indywidualnego dopuszczenia pojazdu; </w:t>
            </w:r>
          </w:p>
          <w:p w14:paraId="760AEB46" w14:textId="77777777" w:rsidR="001C10BA" w:rsidRPr="00FB76A9" w:rsidRDefault="001C10BA" w:rsidP="00FD5CD5">
            <w:pPr>
              <w:pStyle w:val="ZARTzmartartykuempunktem"/>
              <w:keepNext/>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2) świadectwo zgodności wydane na każdym etapie kompletacji pojazdu – o ile było wydane; </w:t>
            </w:r>
          </w:p>
          <w:p w14:paraId="1BF0DA63" w14:textId="77777777" w:rsidR="001C10BA" w:rsidRPr="00FB76A9" w:rsidRDefault="001C10BA" w:rsidP="00FD5CD5">
            <w:pPr>
              <w:pStyle w:val="ZARTzmartartykuempunktem"/>
              <w:keepNext/>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3) oświadczenie następującej treści: </w:t>
            </w:r>
          </w:p>
          <w:p w14:paraId="01F6C87B" w14:textId="77777777" w:rsidR="001C10BA" w:rsidRPr="00FB76A9" w:rsidRDefault="001C10BA" w:rsidP="00FD5CD5">
            <w:pPr>
              <w:pStyle w:val="ZARTzmartartykuempunktem"/>
              <w:keepNext/>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„Oświadczam, że złożyłem/złożyłam* tylko jeden wniosek i tylko w jednym państwie członkowskim Unii Europejskiej. </w:t>
            </w:r>
          </w:p>
          <w:p w14:paraId="7375D938" w14:textId="77777777" w:rsidR="001C10BA" w:rsidRPr="00FB76A9" w:rsidRDefault="001C10BA"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Niepotrzebne skreślić.”.;</w:t>
            </w:r>
          </w:p>
          <w:p w14:paraId="0B1B1E94" w14:textId="77777777" w:rsidR="001C10BA" w:rsidRPr="00FB76A9" w:rsidRDefault="001C10BA" w:rsidP="00FD5CD5">
            <w:pPr>
              <w:pStyle w:val="ZARTzmartartykuempunktem"/>
              <w:keepNext/>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4) kopię dowodu uiszczenia opłaty, o której mowa w ust. 1. </w:t>
            </w:r>
          </w:p>
          <w:p w14:paraId="2A70C718" w14:textId="77777777" w:rsidR="001C10BA" w:rsidRPr="00FB76A9" w:rsidRDefault="001C10BA" w:rsidP="00FD5CD5">
            <w:pPr>
              <w:pStyle w:val="ZARTzmartartykuempunktem"/>
              <w:keepNext/>
              <w:spacing w:line="240" w:lineRule="auto"/>
              <w:ind w:left="68" w:firstLine="0"/>
              <w:jc w:val="left"/>
              <w:rPr>
                <w:rFonts w:ascii="Times New Roman" w:hAnsi="Times New Roman" w:cs="Times New Roman"/>
                <w:szCs w:val="24"/>
              </w:rPr>
            </w:pPr>
            <w:r w:rsidRPr="00FB76A9">
              <w:rPr>
                <w:rFonts w:ascii="Times New Roman" w:hAnsi="Times New Roman" w:cs="Times New Roman"/>
                <w:szCs w:val="24"/>
              </w:rPr>
              <w:t xml:space="preserve">3. Oświadczenie, o którym mowa w ust. 2 pkt 3, składa się pod rygorem odpowiedzialności karnej za składanie fałszywych oświadczeń. Składający oświadczenie jest obowiązany do zawarcia w nim klauzuli następującej treści: </w:t>
            </w:r>
          </w:p>
          <w:p w14:paraId="4392A774" w14:textId="77777777" w:rsidR="001C10BA" w:rsidRPr="00FB76A9" w:rsidRDefault="001C10BA" w:rsidP="00FD5CD5">
            <w:pPr>
              <w:pStyle w:val="ZARTzmartartykuempunktem"/>
              <w:keepNext/>
              <w:spacing w:line="240" w:lineRule="auto"/>
              <w:ind w:left="68" w:firstLine="0"/>
              <w:jc w:val="left"/>
              <w:rPr>
                <w:rFonts w:ascii="Times New Roman" w:hAnsi="Times New Roman" w:cs="Times New Roman"/>
                <w:szCs w:val="24"/>
              </w:rPr>
            </w:pPr>
            <w:r w:rsidRPr="00FB76A9">
              <w:rPr>
                <w:rFonts w:ascii="Times New Roman" w:hAnsi="Times New Roman" w:cs="Times New Roman"/>
                <w:szCs w:val="24"/>
              </w:rPr>
              <w:t xml:space="preserve">„Jestem świadomy/świadoma* odpowiedzialności karnej za złożenie fałszywego oświadczenia wynikającej z art. 233 § 6 ustawy z dnia 6 czerwca 1997 r. – Kodeks karny. </w:t>
            </w:r>
          </w:p>
          <w:p w14:paraId="6C2EEEC5" w14:textId="77777777" w:rsidR="001C10BA" w:rsidRPr="00FB76A9" w:rsidRDefault="001C10BA"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 Niepotrzebne skreślić.”. </w:t>
            </w:r>
          </w:p>
          <w:p w14:paraId="5F8AEF67" w14:textId="77777777" w:rsidR="001C10BA" w:rsidRPr="00FB76A9" w:rsidRDefault="001C10BA"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Klauzula ta zastępuje pouczenie organu o odpowiedzialności karnej za składanie fałszywych oświadczeń.</w:t>
            </w:r>
          </w:p>
          <w:p w14:paraId="700F3BB9" w14:textId="77777777" w:rsidR="001C10BA" w:rsidRPr="00FB76A9" w:rsidRDefault="001C10BA" w:rsidP="00FD5CD5">
            <w:pPr>
              <w:pStyle w:val="ZARTzmartartykuempunktem"/>
              <w:spacing w:line="240" w:lineRule="auto"/>
              <w:ind w:left="0" w:firstLine="0"/>
              <w:jc w:val="left"/>
              <w:rPr>
                <w:rFonts w:ascii="Times New Roman" w:hAnsi="Times New Roman" w:cs="Times New Roman"/>
                <w:szCs w:val="24"/>
              </w:rPr>
            </w:pPr>
          </w:p>
          <w:p w14:paraId="13732B56" w14:textId="77777777" w:rsidR="009F251F" w:rsidRPr="00FB76A9" w:rsidRDefault="009F251F"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Art. 68d. 1. Badanie potwierdzające spełnienie odpowiednich warunków lub wymagań technicznych lub zastosowanych wymogów </w:t>
            </w:r>
            <w:r w:rsidRPr="00FB76A9">
              <w:rPr>
                <w:rFonts w:ascii="Times New Roman" w:hAnsi="Times New Roman" w:cs="Times New Roman"/>
                <w:szCs w:val="24"/>
              </w:rPr>
              <w:lastRenderedPageBreak/>
              <w:t xml:space="preserve">alternatywnych dla danego pojazdu w celu wydania świadectwa unijnego indywidualnego dopuszczenia pojazdu albo świadectwa krajowego indywidualnego dopuszczenia nowego pojazdu przeprowadza służba techniczna, na wniosek producenta, przedstawiciela producenta, importera lub właściciela pojazdu. </w:t>
            </w:r>
          </w:p>
          <w:p w14:paraId="445230EC" w14:textId="77777777" w:rsidR="009F251F" w:rsidRPr="00FB76A9" w:rsidRDefault="009F251F"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2. Do wniosku, o którym mowa w ust. 1, dołącza się: </w:t>
            </w:r>
          </w:p>
          <w:p w14:paraId="202BADCB" w14:textId="77777777" w:rsidR="009F251F" w:rsidRPr="00FB76A9" w:rsidRDefault="009F251F" w:rsidP="00FD5CD5">
            <w:pPr>
              <w:pStyle w:val="ZARTzmartartykuempunktem"/>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1) dokument informacyjny; </w:t>
            </w:r>
          </w:p>
          <w:p w14:paraId="46B71957" w14:textId="77777777" w:rsidR="009F251F" w:rsidRPr="00FB76A9" w:rsidRDefault="009F251F" w:rsidP="00FD5CD5">
            <w:pPr>
              <w:pStyle w:val="ZARTzmartartykuempunktem"/>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2) świadectwo zgodności wydane na każdym etapie kompletacji pojazdu – o ile było wydane; </w:t>
            </w:r>
          </w:p>
          <w:p w14:paraId="7953FB37" w14:textId="77777777" w:rsidR="009F251F" w:rsidRPr="00FB76A9" w:rsidRDefault="009F251F" w:rsidP="00FD5CD5">
            <w:pPr>
              <w:pStyle w:val="ZARTzmartartykuempunktem"/>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3)oświadczenie zawierające dane i informacje o pojeździe niezbędne do rejestracji i ewidencji pojazdu, zgodnie ze wzorem określonym w przepisach wydanych na podstawie art. 68r ust. 1 – o ile było wydane. </w:t>
            </w:r>
          </w:p>
          <w:p w14:paraId="25D95A4E" w14:textId="77777777" w:rsidR="009F251F" w:rsidRPr="00FB76A9" w:rsidRDefault="009F251F"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3. Oświadczenie, o którym mowa w ust. 2 pkt 3, może być podpisane podpisem odbitym sposobem mechanicznym. </w:t>
            </w:r>
          </w:p>
          <w:p w14:paraId="1E6A166A" w14:textId="77777777" w:rsidR="009F251F" w:rsidRPr="00FB76A9" w:rsidRDefault="009F251F"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4. Z przeprowadzonego badania służba techniczna sporządza sprawozdanie z badań potwierdzające spełnienie odpowiednich warunków lub wymagań technicznych. </w:t>
            </w:r>
          </w:p>
          <w:p w14:paraId="66EA9D33" w14:textId="77777777" w:rsidR="009F251F" w:rsidRPr="00FB76A9" w:rsidRDefault="009F251F"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5. Koszty badań potwierdzających spełnienie odpowiednich warunków lub wymagań technicznych w celu wydania świadectwa unijnego indywidualnego dopuszczenia pojazdu albo krajowego indywidualnego dopuszczenia nowego pojazdu pokrywa wnioskodawca. </w:t>
            </w:r>
          </w:p>
          <w:p w14:paraId="519D8C50" w14:textId="77777777" w:rsidR="009F251F" w:rsidRPr="00FB76A9" w:rsidRDefault="009F251F"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Art. 68e. 1. Dyrektor TDT wydaje świadectwo unijnego indywidualnego dopuszczenia pojazdu, </w:t>
            </w:r>
            <w:r w:rsidRPr="00FB76A9">
              <w:rPr>
                <w:rFonts w:ascii="Times New Roman" w:hAnsi="Times New Roman" w:cs="Times New Roman"/>
                <w:szCs w:val="24"/>
              </w:rPr>
              <w:lastRenderedPageBreak/>
              <w:t xml:space="preserve">jeżeli pojazd spełnia warunki lub wymagania techniczne określone w art. 44 ust. 1 rozporządzenia 2018/858. </w:t>
            </w:r>
          </w:p>
          <w:p w14:paraId="241CAA49" w14:textId="77777777" w:rsidR="009F251F" w:rsidRPr="00FB76A9" w:rsidRDefault="009F251F" w:rsidP="00FD5CD5">
            <w:pPr>
              <w:pStyle w:val="ZARTzmartartykuempunktem"/>
              <w:spacing w:line="240" w:lineRule="auto"/>
              <w:ind w:left="68" w:firstLine="0"/>
              <w:jc w:val="left"/>
              <w:rPr>
                <w:rFonts w:ascii="Times New Roman" w:hAnsi="Times New Roman" w:cs="Times New Roman"/>
                <w:szCs w:val="24"/>
              </w:rPr>
            </w:pPr>
            <w:r w:rsidRPr="00FB76A9">
              <w:rPr>
                <w:rFonts w:ascii="Times New Roman" w:hAnsi="Times New Roman" w:cs="Times New Roman"/>
                <w:szCs w:val="24"/>
              </w:rPr>
              <w:t xml:space="preserve">2. Dyrektor TDT odmawia wydania świadectwa unijnego indywidualnego dopuszczenia pojazdu, w przypadku gdy nie zostały spełnione warunki lub wymagania techniczne, określone w art. 44 ust. 1 rozporządzenia 2018/858. </w:t>
            </w:r>
          </w:p>
          <w:p w14:paraId="7ABD8876" w14:textId="77777777" w:rsidR="009F251F" w:rsidRPr="00FB76A9" w:rsidRDefault="009F251F" w:rsidP="00FD5CD5">
            <w:pPr>
              <w:pStyle w:val="ZARTzmartartykuempunktem"/>
              <w:spacing w:line="240" w:lineRule="auto"/>
              <w:ind w:left="68" w:firstLine="0"/>
              <w:jc w:val="left"/>
              <w:rPr>
                <w:rFonts w:ascii="Times New Roman" w:hAnsi="Times New Roman" w:cs="Times New Roman"/>
                <w:szCs w:val="24"/>
              </w:rPr>
            </w:pPr>
            <w:r w:rsidRPr="00FB76A9">
              <w:rPr>
                <w:rFonts w:ascii="Times New Roman" w:hAnsi="Times New Roman" w:cs="Times New Roman"/>
                <w:szCs w:val="24"/>
              </w:rPr>
              <w:t xml:space="preserve">3. Dyrektor TDT, w drodze decyzji administracyjnej, cofa świadectwo unijnego indywidualnego dopuszczenia pojazdu, jeżeli: </w:t>
            </w:r>
          </w:p>
          <w:p w14:paraId="5428FDD1" w14:textId="77777777" w:rsidR="009F251F" w:rsidRPr="00FB76A9" w:rsidRDefault="009F251F" w:rsidP="00FD5CD5">
            <w:pPr>
              <w:pStyle w:val="ZARTzmartartykuempunktem"/>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1) pojazd przestał spełniać warunki lub wymagania techniczne, określone w art. 44 ust. 1 rozporządzenia 2018/858, albo </w:t>
            </w:r>
          </w:p>
          <w:p w14:paraId="439E2AF2" w14:textId="77777777" w:rsidR="009F251F" w:rsidRPr="00FB76A9" w:rsidRDefault="009F251F" w:rsidP="00FD5CD5">
            <w:pPr>
              <w:pStyle w:val="ZARTzmartartykuempunktem"/>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2) został złożony wniosek o cofnięcie świadectwa. </w:t>
            </w:r>
          </w:p>
          <w:p w14:paraId="25E24E99" w14:textId="77777777" w:rsidR="009F251F" w:rsidRPr="00FB76A9" w:rsidRDefault="009F251F"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Art. 68f. 1. Dyrektor TDT wydaje świadectwo krajowego indywidualnego dopuszczenia nowego pojazdu, w przypadku gdy pojazd spełnia warunki lub wymagania techniczne określone w przepisach wydanych na podstawie art. 68r ust. 1. </w:t>
            </w:r>
          </w:p>
          <w:p w14:paraId="75EDFE66" w14:textId="77777777" w:rsidR="009F251F" w:rsidRPr="00FB76A9" w:rsidRDefault="009F251F"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2. Dyrektor TDT odmawia wydania świadectwa krajowego indywidualnego dopuszczenia nowego pojazdu, w przypadku gdy nie zostały spełnione warunki lub wymagania techniczne, o których mowa w ust. 1.</w:t>
            </w:r>
          </w:p>
          <w:p w14:paraId="46457F72" w14:textId="77777777" w:rsidR="009F251F" w:rsidRPr="00FB76A9" w:rsidRDefault="009F251F"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3. Dyrektor TDT, w drodze decyzji administracyjnej, cofa świadectwo krajowego indywidualnego dopuszczenia nowego pojazdu, jeżeli: </w:t>
            </w:r>
          </w:p>
          <w:p w14:paraId="733723EF" w14:textId="77777777" w:rsidR="009F251F" w:rsidRPr="00FB76A9" w:rsidRDefault="009F251F"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1) pojazd przestał spełniać warunki lub wymagania techniczne, o których mowa w ust. 1, albo </w:t>
            </w:r>
          </w:p>
          <w:p w14:paraId="256A7AC4" w14:textId="77777777" w:rsidR="009F251F" w:rsidRPr="00FB76A9" w:rsidRDefault="009F251F"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lastRenderedPageBreak/>
              <w:t>2) został złożony wniosek o cofnięcie świadectwa.</w:t>
            </w:r>
          </w:p>
          <w:p w14:paraId="00F47D42" w14:textId="77777777" w:rsidR="002B5B3B" w:rsidRPr="00FB76A9" w:rsidRDefault="002B5B3B"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 </w:t>
            </w:r>
          </w:p>
          <w:p w14:paraId="3E760E77" w14:textId="77777777" w:rsidR="009C317A" w:rsidRPr="00FB76A9" w:rsidRDefault="009C317A" w:rsidP="00FD5CD5">
            <w:pPr>
              <w:pStyle w:val="ZUSTzmustartykuempunktem"/>
              <w:spacing w:line="240" w:lineRule="auto"/>
              <w:ind w:left="0" w:firstLine="0"/>
              <w:jc w:val="left"/>
              <w:rPr>
                <w:rFonts w:ascii="Times New Roman" w:hAnsi="Times New Roman" w:cs="Times New Roman"/>
                <w:szCs w:val="24"/>
              </w:rPr>
            </w:pPr>
          </w:p>
          <w:p w14:paraId="5215BBA1" w14:textId="77777777" w:rsidR="009F251F" w:rsidRPr="00FB76A9" w:rsidRDefault="009F251F" w:rsidP="00FD5CD5">
            <w:pPr>
              <w:pStyle w:val="ZUSTzmustartykuempunktem"/>
              <w:spacing w:line="240" w:lineRule="auto"/>
              <w:ind w:left="68" w:firstLine="0"/>
              <w:jc w:val="left"/>
              <w:rPr>
                <w:rFonts w:ascii="Times New Roman" w:hAnsi="Times New Roman" w:cs="Times New Roman"/>
                <w:szCs w:val="24"/>
              </w:rPr>
            </w:pPr>
            <w:r w:rsidRPr="00FB76A9">
              <w:rPr>
                <w:rFonts w:ascii="Times New Roman" w:hAnsi="Times New Roman" w:cs="Times New Roman"/>
                <w:szCs w:val="24"/>
              </w:rPr>
              <w:t xml:space="preserve">Art. 68o. 1. Świadectwo krajowego indywidualnego dopuszczenia pojazdu wydane dla nowego pojazdu zgodnie z art. 1 ust. 1 rozporządzenia 167/2013, art. 1 ust. 1 rozporządzenia 168/2013 albo art. 45 ust. 1 rozporządzenia 2018/858 przez właściwy organ innego niż Rzeczpospolita Polska państwa członkowskiego Unii Europejskiej uznaje Dyrektor TDT, w drodze decyzji administracyjnej, za opłatą, jeżeli pojazd ten spełnia odpowiednie warunki lub wymagania techniczne, które są równoważne warunkom lub wymaganiom obowiązującym na terytorium Rzeczypospolitej Polskiej, o których mowa w art. 68f ust. 1. </w:t>
            </w:r>
          </w:p>
          <w:p w14:paraId="26CBF0F9" w14:textId="77777777" w:rsidR="009F251F" w:rsidRPr="00FB76A9" w:rsidRDefault="009F251F" w:rsidP="00FD5CD5">
            <w:pPr>
              <w:pStyle w:val="ZUSTzmustartykuempunktem"/>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2. Wydanie decyzji, o której mowa w ust. 1, następuje na wniosek producenta, importera, przedstawiciela producenta lub właściciela pojazdu. </w:t>
            </w:r>
          </w:p>
          <w:p w14:paraId="78E83FFE" w14:textId="77777777" w:rsidR="009F251F" w:rsidRPr="00FB76A9" w:rsidRDefault="009F251F" w:rsidP="00FD5CD5">
            <w:pPr>
              <w:pStyle w:val="ZUSTzmustartykuempunktem"/>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3. Do wniosku, o którym mowa w ust. 2, dołącza się: </w:t>
            </w:r>
          </w:p>
          <w:p w14:paraId="00EBF4AE" w14:textId="77777777" w:rsidR="009F251F" w:rsidRPr="00FB76A9" w:rsidRDefault="009F251F" w:rsidP="00FD5CD5">
            <w:pPr>
              <w:pStyle w:val="ZUSTzmustartykuempunktem"/>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1) świadectwo krajowego indywidualnego dopuszczenia pojazdu wydane dla nowego pojazdu zgodnie z art. 1 ust. 1 rozporządzenia 167/2013, art. 1 ust. 1 rozporządzenia 168/2013 albo art. 45 ust. 1 rozporządzenia 2018/858 przez właściwy organ innego niż Rzeczpospolita Polska państwa członkowskiego Unii Europejskiej; </w:t>
            </w:r>
          </w:p>
          <w:p w14:paraId="77165EFF" w14:textId="77777777" w:rsidR="009F251F" w:rsidRPr="00FB76A9" w:rsidRDefault="009F251F" w:rsidP="00FD5CD5">
            <w:pPr>
              <w:pStyle w:val="ZUSTzmustartykuempunktem"/>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2) dokument wydany przez właściwy organ innego niż Rzeczpospolita Polska państwa </w:t>
            </w:r>
            <w:r w:rsidRPr="00FB76A9">
              <w:rPr>
                <w:rFonts w:ascii="Times New Roman" w:hAnsi="Times New Roman" w:cs="Times New Roman"/>
                <w:szCs w:val="24"/>
              </w:rPr>
              <w:lastRenderedPageBreak/>
              <w:t>członkowskiego Unii Europejskiej wskazujący przepisy techniczne, na podstawie których wydano świadectwo, o którym mowa w pkt 1;</w:t>
            </w:r>
          </w:p>
          <w:p w14:paraId="304747C9" w14:textId="77777777" w:rsidR="009F251F" w:rsidRPr="00FB76A9" w:rsidRDefault="009F251F" w:rsidP="00FD5CD5">
            <w:pPr>
              <w:pStyle w:val="ZUSTzmustartykuempunktem"/>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3) kopię dowodu uiszczenia opłaty, o której mowa w ust. 1. </w:t>
            </w:r>
          </w:p>
          <w:p w14:paraId="3999C5A8" w14:textId="77777777" w:rsidR="009F251F" w:rsidRPr="00FB76A9" w:rsidRDefault="009F251F" w:rsidP="00FD5CD5">
            <w:pPr>
              <w:pStyle w:val="ZUSTzmustartykuempunktem"/>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4. Dyrektor TDT może zwrócić się do właściwego organu innego niż Rzeczpospolita Polska państwa członkowskiego Unii Europejskiej o udostępnienie dodatkowych informacji o wydanym zgodnie z art. 1 ust. 1 rozporządzenia 167/2013, art. 1 ust. 1 rozporządzenia 168/2013 albo art. 45 ust. 1 rozporządzenia 2018/858 świadectwie krajowego indywidualnego dopuszczenia pojazdu. </w:t>
            </w:r>
          </w:p>
          <w:p w14:paraId="5B409D7D" w14:textId="77777777" w:rsidR="009F251F" w:rsidRPr="00FB76A9" w:rsidRDefault="009F251F" w:rsidP="00FD5CD5">
            <w:pPr>
              <w:pStyle w:val="ZUSTzmustartykuempunktem"/>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5. Dyrektor TDT, na wniosek właściwego organu innego niż Rzeczpospolita Polska państwa członkowskiego Unii Europejskiej, udostępnia temu organowi informacje o wydanym przez siebie świadectwie krajowego indywidualnego dopuszczenia nowego pojazdu. </w:t>
            </w:r>
          </w:p>
          <w:p w14:paraId="58E6ADFC" w14:textId="77777777" w:rsidR="009F251F" w:rsidRPr="00FB76A9" w:rsidRDefault="009F251F" w:rsidP="00FD5CD5">
            <w:pPr>
              <w:pStyle w:val="ZUSTzmustartykuempunktem"/>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6. W przypadku gdy wydano świadectwo krajowego indywidualnego dopuszczenia nowego pojazdu, który ma być sprzedany, zarejestrowany lub dopuszczony do ruchu na terytorium innego niż Rzeczpospolita Polska państwa członkowskiego Unii Europejskiej, Dyrektor TDT, na wniosek producenta, przedstawiciela producenta, importera lub właściciela pojazdu, wydaje dokument wskazujący przepisy techniczne, na podstawie których wydał świadectwo krajowego indywidualnego dopuszczenia nowego pojazdu. </w:t>
            </w:r>
          </w:p>
          <w:p w14:paraId="24AD73C4" w14:textId="77777777" w:rsidR="009F251F" w:rsidRPr="00FB76A9" w:rsidRDefault="009F251F" w:rsidP="00FD5CD5">
            <w:pPr>
              <w:pStyle w:val="ZUSTzmustartykuempunktem"/>
              <w:spacing w:line="240" w:lineRule="auto"/>
              <w:ind w:left="68"/>
              <w:jc w:val="left"/>
              <w:rPr>
                <w:rFonts w:ascii="Times New Roman" w:hAnsi="Times New Roman" w:cs="Times New Roman"/>
                <w:szCs w:val="24"/>
              </w:rPr>
            </w:pPr>
            <w:r w:rsidRPr="00FB76A9">
              <w:rPr>
                <w:rFonts w:ascii="Times New Roman" w:hAnsi="Times New Roman" w:cs="Times New Roman"/>
                <w:szCs w:val="24"/>
              </w:rPr>
              <w:lastRenderedPageBreak/>
              <w:t>7. W przypadku zarejestrowanego na terytorium państwa członkowskiego Unii Europejskiej pojazdu objętego świadectwem krajowego indywidualnego dopuszczenia pojazdu wydanym na ten pojazd przez właściwy organ innego niż Rzeczpospolita Polska państwa członkowskiego Unii Europejskiej, który ma zostać zarejestrowany na terytorium Rzeczypospolitej Polskiej, świadectwo to uznaje Dyrektor TDT, w drodze decyzji administracyjnej, za opłatą, jeżeli pojazd ten:</w:t>
            </w:r>
          </w:p>
          <w:p w14:paraId="2D3EEA2A" w14:textId="77777777" w:rsidR="009F251F" w:rsidRPr="00FB76A9" w:rsidRDefault="009F251F" w:rsidP="00FD5CD5">
            <w:pPr>
              <w:pStyle w:val="ZUSTzmustartykuempunktem"/>
              <w:spacing w:line="240" w:lineRule="auto"/>
              <w:ind w:left="68" w:firstLine="290"/>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spełnia odpowiednie warunki lub wymagania techniczne, które są równoważne warunkom lub wymaganiom obowiązującym na terytorium Rzeczypospolitej Polskiej, o których mowa w art. 68f ust. 1;</w:t>
            </w:r>
          </w:p>
          <w:p w14:paraId="61AA1D6E" w14:textId="77777777" w:rsidR="009F251F" w:rsidRPr="00FB76A9" w:rsidRDefault="009F251F" w:rsidP="00FD5CD5">
            <w:pPr>
              <w:pStyle w:val="ZUSTzmustartykuempunktem"/>
              <w:spacing w:line="240" w:lineRule="auto"/>
              <w:ind w:left="68" w:firstLine="29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 xml:space="preserve"> był zarejestrowany nie dłużej niż 2 lata przed złożeniem wniosku o jego pierwszą rejestrację na terenie Rzeczypospolitej Polskiej, oraz</w:t>
            </w:r>
          </w:p>
          <w:p w14:paraId="5637EC70" w14:textId="77777777" w:rsidR="009F251F" w:rsidRPr="00FB76A9" w:rsidRDefault="009F251F" w:rsidP="00FD5CD5">
            <w:pPr>
              <w:pStyle w:val="ZUSTzmustartykuempunktem"/>
              <w:spacing w:line="240" w:lineRule="auto"/>
              <w:ind w:left="68" w:firstLine="290"/>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jest objęty świadectwem krajowego indywidualnego dopuszczenia pojazdu wydanym zgodnie z art. 1 ust. 1 rozporządzenia 167/2013, art. 1 ust. 1 rozporządzenia 168/2013 albo art. 45 ust. 1 rozporządzenia 2018/858.</w:t>
            </w:r>
          </w:p>
          <w:p w14:paraId="3A76589C" w14:textId="77777777" w:rsidR="009F251F" w:rsidRPr="00FB76A9" w:rsidRDefault="009F251F" w:rsidP="00FD5CD5">
            <w:pPr>
              <w:pStyle w:val="ZUSTzmustartykuempunktem"/>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8. Wydanie decyzji, o której mowa w ust. 7, następuje na wniosek producenta, przedstawiciela producenta, importera, właściciela pojazdu. </w:t>
            </w:r>
          </w:p>
          <w:p w14:paraId="69321CEE" w14:textId="77777777" w:rsidR="009F251F" w:rsidRPr="00FB76A9" w:rsidRDefault="009F251F" w:rsidP="00FD5CD5">
            <w:pPr>
              <w:pStyle w:val="ZUSTzmustartykuempunktem"/>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9. Do wniosku, o którym mowa w ust. 8, dołącza się: </w:t>
            </w:r>
          </w:p>
          <w:p w14:paraId="428CC282" w14:textId="77777777" w:rsidR="009F251F" w:rsidRPr="00FB76A9" w:rsidRDefault="009F251F" w:rsidP="00FD5CD5">
            <w:pPr>
              <w:pStyle w:val="ZUSTzmustartykuempunktem"/>
              <w:spacing w:line="240" w:lineRule="auto"/>
              <w:ind w:left="68" w:firstLine="290"/>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 xml:space="preserve">świadectwo krajowego indywidualnego dopuszczenia pojazdu wydane przez właściwy </w:t>
            </w:r>
            <w:r w:rsidRPr="00FB76A9">
              <w:rPr>
                <w:rFonts w:ascii="Times New Roman" w:hAnsi="Times New Roman" w:cs="Times New Roman"/>
                <w:szCs w:val="24"/>
              </w:rPr>
              <w:lastRenderedPageBreak/>
              <w:t xml:space="preserve">organ innego niż Rzeczpospolita Polska państwa członkowskiego Unii Europejskiej zgodnie z art. 1 ust. 1 rozporządzenia 167/2013, art. 1 ust. 1 rozporządzenia 168/2013 albo art. 45 ust. 1 rozporządzenia 2018/858; </w:t>
            </w:r>
          </w:p>
          <w:p w14:paraId="2D0ECC38" w14:textId="77777777" w:rsidR="009F251F" w:rsidRPr="00FB76A9" w:rsidRDefault="009F251F" w:rsidP="00FD5CD5">
            <w:pPr>
              <w:pStyle w:val="ZUSTzmustartykuempunktem"/>
              <w:spacing w:line="240" w:lineRule="auto"/>
              <w:ind w:left="68" w:firstLine="290"/>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dokument wydany przez właściwy organ innego niż Rzeczpospolita Polska państwa członkowskiego Unii Europejskiej wskazujący przepisy techniczne, na podstawie których wydano świadectwo, o którym mowa w pkt 1;</w:t>
            </w:r>
          </w:p>
          <w:p w14:paraId="2BBD55C3" w14:textId="77777777" w:rsidR="009F251F" w:rsidRPr="00FB76A9" w:rsidRDefault="009F251F" w:rsidP="00FD5CD5">
            <w:pPr>
              <w:pStyle w:val="ZUSTzmustartykuempunktem"/>
              <w:spacing w:line="240" w:lineRule="auto"/>
              <w:ind w:left="68" w:firstLine="290"/>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dowód rejestracyjny albo dopuszczenie pojazdu do ruchu drogowego w państwie pochodzenia wydany przez właściwy organ;</w:t>
            </w:r>
          </w:p>
          <w:p w14:paraId="198FF661" w14:textId="77777777" w:rsidR="009F251F" w:rsidRPr="00FB76A9" w:rsidRDefault="009F251F" w:rsidP="00FD5CD5">
            <w:pPr>
              <w:pStyle w:val="ZUSTzmustartykuempunktem"/>
              <w:spacing w:line="240" w:lineRule="auto"/>
              <w:ind w:left="68" w:firstLine="290"/>
              <w:jc w:val="left"/>
              <w:rPr>
                <w:rFonts w:ascii="Times New Roman" w:hAnsi="Times New Roman" w:cs="Times New Roman"/>
                <w:szCs w:val="24"/>
              </w:rPr>
            </w:pPr>
            <w:r w:rsidRPr="00FB76A9">
              <w:rPr>
                <w:rFonts w:ascii="Times New Roman" w:hAnsi="Times New Roman" w:cs="Times New Roman"/>
                <w:szCs w:val="24"/>
              </w:rPr>
              <w:t>4)</w:t>
            </w:r>
            <w:r w:rsidRPr="00FB76A9">
              <w:rPr>
                <w:rFonts w:ascii="Times New Roman" w:hAnsi="Times New Roman" w:cs="Times New Roman"/>
                <w:szCs w:val="24"/>
              </w:rPr>
              <w:tab/>
              <w:t xml:space="preserve">kopię dowodu uiszczenia opłaty, o której mowa w ust. 7. </w:t>
            </w:r>
          </w:p>
          <w:p w14:paraId="42EBA73A" w14:textId="77777777" w:rsidR="009F251F" w:rsidRPr="00FB76A9" w:rsidRDefault="009F251F" w:rsidP="00FD5CD5">
            <w:pPr>
              <w:pStyle w:val="ZUSTzmustartykuempunktem"/>
              <w:spacing w:line="240" w:lineRule="auto"/>
              <w:ind w:left="68"/>
              <w:jc w:val="left"/>
              <w:rPr>
                <w:rFonts w:ascii="Times New Roman" w:hAnsi="Times New Roman" w:cs="Times New Roman"/>
                <w:szCs w:val="24"/>
              </w:rPr>
            </w:pPr>
            <w:r w:rsidRPr="00FB76A9">
              <w:rPr>
                <w:rFonts w:ascii="Times New Roman" w:hAnsi="Times New Roman" w:cs="Times New Roman"/>
                <w:szCs w:val="24"/>
              </w:rPr>
              <w:t xml:space="preserve">10. Dyrektor TDT, w drodze decyzji administracyjnej, za opłatą, odmawia uznania świadectwa, o którym mowa w ust. 1 albo ust. 7, wydanego na dany pojazd przez właściwy organ innego niż Rzeczpospolita Polska państwa członkowskiego Unii Europejskiej, jeżeli pojazd ten nie spełnia odpowiednich warunków lub wymagań technicznych, które są równoważne warunkom lub wymaganiom obowiązującym na terytorium Rzeczypospolitej Polskiej, o których mowa w art. 68f ust. 1. </w:t>
            </w:r>
          </w:p>
          <w:p w14:paraId="657B3A8E" w14:textId="77777777" w:rsidR="009F251F" w:rsidRPr="00FB76A9" w:rsidRDefault="009F251F"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Art. 68p. Dyrektor TDT wydaje duplikaty dokumentów, o których mowa w art. 68c ust. 1, art. 68o ust. 1 lub 7. Do wydania duplikatu stosuje się przepis art. 41 ust. 2.</w:t>
            </w:r>
          </w:p>
          <w:p w14:paraId="4382354C" w14:textId="77777777" w:rsidR="009F251F" w:rsidRPr="00FB76A9" w:rsidRDefault="009F251F"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Art. 68q. 1. Producent, przedstawiciel producenta, importer pojazdu, dla którego zostało wydane </w:t>
            </w:r>
            <w:r w:rsidRPr="00FB76A9">
              <w:rPr>
                <w:rFonts w:ascii="Times New Roman" w:hAnsi="Times New Roman" w:cs="Times New Roman"/>
                <w:szCs w:val="24"/>
              </w:rPr>
              <w:lastRenderedPageBreak/>
              <w:t>świadectwo unijnego indywidualnego dopuszczenia pojazdu, świadectwo krajowego indywidualnego dopuszczenia nowego pojazdu albo uznanie świadectwa krajowego indywidualnego dopuszczenia pojazdu, jest obowiązany wystawić oświadczenie zawierające dane i informacje o pojeździe niezbędne do rejestracji i ewidencji pojazdu, zgodnie ze wzorem określonym w przepisach wydanych na podstawie art. 68r ust. 1. Oświadczenie może być podpisane podpisem odbitym sposobem mechanicznym.</w:t>
            </w:r>
          </w:p>
          <w:p w14:paraId="75438B09" w14:textId="77777777" w:rsidR="009F251F" w:rsidRPr="00FB76A9" w:rsidRDefault="009F251F"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W przypadku pojazdu, dla którego właściciela zostało wydane świadectwo unijnego indywidualnego dopuszczenia pojazdu albo świadectwo krajowego indywidualnego dopuszczenia nowego pojazdu, oświadczenie, o którym mowa w ust. 1, może zostać wystawione przez służbę techniczną przeprowadzającą na wniosek właściciela tego pojazdu badania, o których mowa w art. 68d ust. 1.</w:t>
            </w:r>
          </w:p>
          <w:p w14:paraId="3B39BDB9" w14:textId="77777777" w:rsidR="00C543A1" w:rsidRPr="00FB76A9" w:rsidRDefault="002B5B3B"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Art. 68r. 1. </w:t>
            </w:r>
            <w:r w:rsidR="00C543A1" w:rsidRPr="00FB76A9">
              <w:rPr>
                <w:rFonts w:ascii="Times New Roman" w:hAnsi="Times New Roman" w:cs="Times New Roman"/>
                <w:szCs w:val="24"/>
              </w:rPr>
              <w:t xml:space="preserve"> Minister właściwy do spraw transportu określi, w drodze rozporządzenia: </w:t>
            </w:r>
          </w:p>
          <w:p w14:paraId="313039F3" w14:textId="77777777" w:rsidR="00C543A1" w:rsidRPr="00FB76A9" w:rsidRDefault="00C543A1" w:rsidP="00FD5CD5">
            <w:pPr>
              <w:pStyle w:val="ZARTzmartartykuempunktem"/>
              <w:keepNext/>
              <w:spacing w:line="240" w:lineRule="auto"/>
              <w:ind w:left="0" w:firstLine="216"/>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 xml:space="preserve">zakres warunków lub wymagań technicznych obowiązujących w procedurze krajowego indywidualnego dopuszczenia pojazdu, z uwzględnieniem równoważnych wymogów alternatywnych, zakres i sposób przeprowadzania badań potwierdzających spełnienie odpowiednich warunków lub wymagań technicznych w celu uzyskania krajowego indywidualnego dopuszczenia pojazdu; </w:t>
            </w:r>
          </w:p>
          <w:p w14:paraId="222BEDA8" w14:textId="77777777" w:rsidR="00C543A1" w:rsidRPr="00FB76A9" w:rsidRDefault="00C543A1" w:rsidP="00FD5CD5">
            <w:pPr>
              <w:pStyle w:val="ZARTzmartartykuempunktem"/>
              <w:keepNext/>
              <w:spacing w:line="240" w:lineRule="auto"/>
              <w:ind w:left="0" w:firstLine="216"/>
              <w:jc w:val="left"/>
              <w:rPr>
                <w:rFonts w:ascii="Times New Roman" w:hAnsi="Times New Roman" w:cs="Times New Roman"/>
                <w:szCs w:val="24"/>
              </w:rPr>
            </w:pPr>
            <w:r w:rsidRPr="00FB76A9">
              <w:rPr>
                <w:rFonts w:ascii="Times New Roman" w:hAnsi="Times New Roman" w:cs="Times New Roman"/>
                <w:szCs w:val="24"/>
              </w:rPr>
              <w:lastRenderedPageBreak/>
              <w:t xml:space="preserve">2) </w:t>
            </w:r>
            <w:r w:rsidRPr="00FB76A9">
              <w:rPr>
                <w:rFonts w:ascii="Times New Roman" w:hAnsi="Times New Roman" w:cs="Times New Roman"/>
                <w:szCs w:val="24"/>
              </w:rPr>
              <w:tab/>
              <w:t xml:space="preserve">wzory dokumentów związanych z procedurą unijnego i krajowego indywidualnego dopuszczenia pojazdu; </w:t>
            </w:r>
          </w:p>
          <w:p w14:paraId="0A48F95C" w14:textId="77777777" w:rsidR="00C543A1" w:rsidRPr="00FB76A9" w:rsidRDefault="00C543A1" w:rsidP="00FD5CD5">
            <w:pPr>
              <w:pStyle w:val="ZARTzmartartykuempunktem"/>
              <w:keepNext/>
              <w:spacing w:line="240" w:lineRule="auto"/>
              <w:ind w:left="0" w:firstLine="216"/>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 xml:space="preserve">wzór oświadczenia zawierającego dane i informacje o pojeździe niezbędne do rejestracji i ewidencji pojazdu; </w:t>
            </w:r>
          </w:p>
          <w:p w14:paraId="2C930229" w14:textId="77777777" w:rsidR="00C543A1" w:rsidRPr="00FB76A9" w:rsidRDefault="00C543A1" w:rsidP="00FD5CD5">
            <w:pPr>
              <w:pStyle w:val="ZARTzmartartykuempunktem"/>
              <w:keepNext/>
              <w:spacing w:line="240" w:lineRule="auto"/>
              <w:ind w:left="0" w:firstLine="216"/>
              <w:jc w:val="left"/>
              <w:rPr>
                <w:rFonts w:ascii="Times New Roman" w:hAnsi="Times New Roman" w:cs="Times New Roman"/>
                <w:szCs w:val="24"/>
              </w:rPr>
            </w:pPr>
            <w:r w:rsidRPr="00FB76A9">
              <w:rPr>
                <w:rFonts w:ascii="Times New Roman" w:hAnsi="Times New Roman" w:cs="Times New Roman"/>
                <w:szCs w:val="24"/>
              </w:rPr>
              <w:t xml:space="preserve">4) </w:t>
            </w:r>
            <w:r w:rsidRPr="00FB76A9">
              <w:rPr>
                <w:rFonts w:ascii="Times New Roman" w:hAnsi="Times New Roman" w:cs="Times New Roman"/>
                <w:szCs w:val="24"/>
              </w:rPr>
              <w:tab/>
              <w:t>szczegółowe czynności Dyrektora TDT, służby technicznej i uprawnionego diagnosty w procedurze indywidualnego dopuszczenia pojazdu;</w:t>
            </w:r>
          </w:p>
          <w:p w14:paraId="1EC69A2A" w14:textId="77777777" w:rsidR="00C543A1" w:rsidRPr="00FB76A9" w:rsidRDefault="00C543A1" w:rsidP="00FD5CD5">
            <w:pPr>
              <w:pStyle w:val="ZARTzmartartykuempunktem"/>
              <w:keepNext/>
              <w:spacing w:line="240" w:lineRule="auto"/>
              <w:ind w:left="0" w:firstLine="216"/>
              <w:jc w:val="left"/>
              <w:rPr>
                <w:rFonts w:ascii="Times New Roman" w:hAnsi="Times New Roman" w:cs="Times New Roman"/>
                <w:szCs w:val="24"/>
              </w:rPr>
            </w:pPr>
            <w:r w:rsidRPr="00FB76A9">
              <w:rPr>
                <w:rFonts w:ascii="Times New Roman" w:hAnsi="Times New Roman" w:cs="Times New Roman"/>
                <w:szCs w:val="24"/>
              </w:rPr>
              <w:t xml:space="preserve">5) </w:t>
            </w:r>
            <w:r w:rsidRPr="00FB76A9">
              <w:rPr>
                <w:rFonts w:ascii="Times New Roman" w:hAnsi="Times New Roman" w:cs="Times New Roman"/>
                <w:szCs w:val="24"/>
              </w:rPr>
              <w:tab/>
              <w:t>program szkolenia diagnostów, sposób przeprowadzania egzaminu kwalifikacyjnego oraz wzory dokumentów związanych z uzyskaniem zaświadczenia kwalifikacyjnego i uprawnienia dla przedsiębiorcy prowadzącego stację kontroli pojazdów.</w:t>
            </w:r>
          </w:p>
          <w:p w14:paraId="44150ABC" w14:textId="77777777" w:rsidR="00C543A1" w:rsidRPr="00FB76A9" w:rsidRDefault="00C543A1"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2. Wydając rozporządzenie, o którym mowa w ust. 1, minister uwzględnia: </w:t>
            </w:r>
          </w:p>
          <w:p w14:paraId="7649A117" w14:textId="77777777" w:rsidR="00C543A1" w:rsidRPr="00FB76A9" w:rsidRDefault="00C543A1" w:rsidP="00FD5CD5">
            <w:pPr>
              <w:pStyle w:val="ZARTzmartartykuempunktem"/>
              <w:keepNext/>
              <w:spacing w:line="240" w:lineRule="auto"/>
              <w:ind w:left="358" w:hanging="284"/>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 xml:space="preserve">konieczność zapewnienia właściwego poziomu bezpieczeństwa, ochrony zdrowia i środowiska; </w:t>
            </w:r>
          </w:p>
          <w:p w14:paraId="01B5E48C" w14:textId="77777777" w:rsidR="00C543A1" w:rsidRPr="00FB76A9" w:rsidRDefault="00C543A1" w:rsidP="00FD5CD5">
            <w:pPr>
              <w:pStyle w:val="ZARTzmartartykuempunktem"/>
              <w:keepNext/>
              <w:spacing w:line="240" w:lineRule="auto"/>
              <w:ind w:left="358" w:hanging="284"/>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potrzebę zapewnienia zabezpieczenia dokumentów przed podrobieniem lub przerobieniem;</w:t>
            </w:r>
          </w:p>
          <w:p w14:paraId="3A0D85A2" w14:textId="77777777" w:rsidR="00C543A1" w:rsidRPr="00FB76A9" w:rsidRDefault="00C543A1" w:rsidP="00FD5CD5">
            <w:pPr>
              <w:pStyle w:val="ZARTzmartartykuempunktem"/>
              <w:keepNext/>
              <w:spacing w:line="240" w:lineRule="auto"/>
              <w:ind w:left="358" w:hanging="284"/>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 xml:space="preserve">konieczność ujednolicenia wzorów dokumentów związanych z procedurą unijnego i krajowego indywidualnego dopuszczenia pojazdu oraz oświadczeń składanych w ramach rejestracji i ewidencji pojazdu, a także potrzebę zapewnienia ich funkcjonalności; </w:t>
            </w:r>
          </w:p>
          <w:p w14:paraId="33CC693A" w14:textId="77777777" w:rsidR="002B5B3B" w:rsidRPr="00FB76A9" w:rsidRDefault="00C543A1" w:rsidP="00FD5CD5">
            <w:pPr>
              <w:pStyle w:val="ZPKTzmpktartykuempunktem"/>
              <w:spacing w:line="240" w:lineRule="auto"/>
              <w:ind w:left="209"/>
              <w:jc w:val="left"/>
              <w:rPr>
                <w:rFonts w:ascii="Times New Roman" w:hAnsi="Times New Roman" w:cs="Times New Roman"/>
                <w:szCs w:val="24"/>
              </w:rPr>
            </w:pPr>
            <w:r w:rsidRPr="00FB76A9">
              <w:rPr>
                <w:rFonts w:ascii="Times New Roman" w:hAnsi="Times New Roman" w:cs="Times New Roman"/>
                <w:szCs w:val="24"/>
              </w:rPr>
              <w:t xml:space="preserve">4) </w:t>
            </w:r>
            <w:r w:rsidR="005547F0" w:rsidRPr="00FB76A9">
              <w:rPr>
                <w:rFonts w:ascii="Times New Roman" w:hAnsi="Times New Roman" w:cs="Times New Roman"/>
                <w:szCs w:val="24"/>
              </w:rPr>
              <w:t xml:space="preserve">4) </w:t>
            </w:r>
            <w:r w:rsidRPr="00FB76A9">
              <w:rPr>
                <w:rFonts w:ascii="Times New Roman" w:hAnsi="Times New Roman" w:cs="Times New Roman"/>
                <w:szCs w:val="24"/>
              </w:rPr>
              <w:t>konieczność zapewnienia sprawnego i skutecznego wykonywania zadań w zakresie indywidualnego dopuszczenia pojazdu.</w:t>
            </w:r>
            <w:r w:rsidR="002B5B3B" w:rsidRPr="00FB76A9">
              <w:rPr>
                <w:rFonts w:ascii="Times New Roman" w:hAnsi="Times New Roman" w:cs="Times New Roman"/>
                <w:szCs w:val="24"/>
              </w:rPr>
              <w:t>”</w:t>
            </w:r>
          </w:p>
        </w:tc>
        <w:tc>
          <w:tcPr>
            <w:tcW w:w="1675" w:type="dxa"/>
          </w:tcPr>
          <w:p w14:paraId="43EDAA97" w14:textId="77777777" w:rsidR="005127DF" w:rsidRPr="00FB76A9" w:rsidRDefault="005127DF" w:rsidP="00FD5CD5">
            <w:pPr>
              <w:spacing w:after="0" w:line="240" w:lineRule="auto"/>
              <w:rPr>
                <w:rFonts w:ascii="Times New Roman" w:eastAsia="Times New Roman" w:hAnsi="Times New Roman" w:cs="Times New Roman"/>
                <w:sz w:val="24"/>
                <w:szCs w:val="24"/>
                <w:lang w:eastAsia="pl-PL"/>
              </w:rPr>
            </w:pPr>
          </w:p>
        </w:tc>
      </w:tr>
      <w:tr w:rsidR="00801F27" w:rsidRPr="00FB76A9" w14:paraId="2A2A89B8" w14:textId="77777777" w:rsidTr="004F1DD9">
        <w:trPr>
          <w:trHeight w:val="270"/>
        </w:trPr>
        <w:tc>
          <w:tcPr>
            <w:tcW w:w="988" w:type="dxa"/>
            <w:tcBorders>
              <w:top w:val="single" w:sz="4" w:space="0" w:color="auto"/>
              <w:left w:val="single" w:sz="4" w:space="0" w:color="auto"/>
              <w:bottom w:val="single" w:sz="4" w:space="0" w:color="auto"/>
              <w:right w:val="single" w:sz="4" w:space="0" w:color="auto"/>
            </w:tcBorders>
          </w:tcPr>
          <w:p w14:paraId="5CA25194" w14:textId="77777777" w:rsidR="00801F27" w:rsidRPr="00FB76A9" w:rsidRDefault="00801F27"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lastRenderedPageBreak/>
              <w:t>Art. 51-52</w:t>
            </w:r>
          </w:p>
        </w:tc>
        <w:tc>
          <w:tcPr>
            <w:tcW w:w="5386" w:type="dxa"/>
            <w:gridSpan w:val="2"/>
            <w:tcBorders>
              <w:top w:val="single" w:sz="4" w:space="0" w:color="auto"/>
              <w:left w:val="single" w:sz="4" w:space="0" w:color="auto"/>
              <w:bottom w:val="single" w:sz="4" w:space="0" w:color="auto"/>
              <w:right w:val="single" w:sz="4" w:space="0" w:color="auto"/>
            </w:tcBorders>
          </w:tcPr>
          <w:p w14:paraId="5A2074C1" w14:textId="77777777" w:rsidR="00801F27" w:rsidRPr="00FB76A9" w:rsidRDefault="00801F27" w:rsidP="00FD5CD5">
            <w:pPr>
              <w:pStyle w:val="CM4"/>
            </w:pPr>
            <w:r w:rsidRPr="00FB76A9">
              <w:t xml:space="preserve">„Art. 51 W przypadku gdy, na podstawie własnych działań w zakresie nadzoru rynku lub na podstawie informacji przekazanych przez organ udzielający homologacji, lub producenta, lub na podstawie złożonych skarg, organy nadzoru rynku jednego państwa członkowskiego mają wystarczające powody, aby sądzić, że dany pojazd, układ, komponent lub oddzielny zespół techniczny stwarzają poważne zagrożenie dla zdrowia lub bezpieczeństwa osób lub innych aspektów ochrony interesów publicznych objętych zakresem niniejszego rozporządzenia lub nie są zgodne z wymogami określonymi w niniejszym rozporządzeniu, te organy nadzoru rynku dokonują oceny danego pojazdu, układu, komponentu lub oddzielnego zespołu technicznego w odniesieniu do spełniania odpowiednich wymogów określonych w niniejszym rozporządzeniu. Odpowiednie podmioty gospodarcze i odpowiedni organy udzielające homologacji w pełni współpracują z organami nadzoru rynku, przy czym współpraca ta obejmuje przekazywanie wyników wszystkich wykonanych odpowiednich sprawdzeń i badań zgodnie z art. 31. </w:t>
            </w:r>
          </w:p>
          <w:p w14:paraId="2A2BEFB9" w14:textId="77777777" w:rsidR="00801F27" w:rsidRPr="00FB76A9" w:rsidRDefault="00801F27" w:rsidP="00FD5CD5">
            <w:pPr>
              <w:pStyle w:val="CM4"/>
            </w:pPr>
            <w:r w:rsidRPr="00FB76A9">
              <w:t xml:space="preserve">Do oceny ryzyka odnośnego pojazdu, układu, komponentu lub oddzielnego zespołu technicznego zastosowanie ma art. 20 rozporządzenia (WE) nr 765/2008. </w:t>
            </w:r>
          </w:p>
          <w:p w14:paraId="72985D5A" w14:textId="77777777" w:rsidR="00801F27" w:rsidRPr="00FB76A9" w:rsidRDefault="00801F27" w:rsidP="00FD5CD5">
            <w:pPr>
              <w:pStyle w:val="CM4"/>
            </w:pPr>
            <w:r w:rsidRPr="00FB76A9">
              <w:rPr>
                <w:iCs/>
              </w:rPr>
              <w:t>Art. 52.</w:t>
            </w:r>
            <w:r w:rsidRPr="00FB76A9">
              <w:t xml:space="preserve">1. W przypadku gdy po przeprowadzeniu oceny, o której mowa w art. 51, organ nadzoru rynku jednego państwa członkowskiego uznaje, że dany pojazd, układ, komponent lub oddzielny zespół techniczny stwarza poważne zagrożenie dla zdrowia lub bezpieczeństwa osób lub dla innych aspektów </w:t>
            </w:r>
            <w:r w:rsidRPr="00FB76A9">
              <w:lastRenderedPageBreak/>
              <w:t xml:space="preserve">ochrony interesów publicznych objętych niniejszym rozporządzeniem, niezwłocznie żąda od odnośnego podmiotu gospodarczego wprowadzenia wszelkich odpowiednich środków naprawczych w celu zapewnienia, aby ten pojazd, układ, komponent lub oddzielny zespół techniczny, w momencie wprowadzenia go do obrotu, zarejestrowania lub dopuszczenia, nie stwarzał już takiego zagrożenia. </w:t>
            </w:r>
          </w:p>
          <w:p w14:paraId="5A423B08" w14:textId="77777777" w:rsidR="00801F27" w:rsidRPr="00FB76A9" w:rsidRDefault="00801F27" w:rsidP="00FD5CD5">
            <w:pPr>
              <w:pStyle w:val="CM4"/>
            </w:pPr>
            <w:r w:rsidRPr="00FB76A9">
              <w:t xml:space="preserve">2. W przypadku gdy po przeprowadzeniu oceny, o której mowa w art. 51, organ nadzoru rynku jednego państwa członkowskiego uznaje, że dany pojazd, układ, komponent lub oddzielny zespół techniczny jest niezgodny z niniejszym rozporządzeniem, lecz nie stwarza poważnego zagrożenia, o którym mowa w ust. 1 niniejszego artykułu, niezwłocznie żąda od odnośnego podmiotu gospodarczego wprowadzenia w rozsądnym terminie wszelkich odpowiednich środków naprawczych w celu zapewnienia zgodności pojazdu, układu, komponentu lub oddzielnego zespołu technicznego z tymi wymogami. Termin ten odpowiednio uwzględnia ewentualność braku zgodności w celu zapewnienia, aby dany pojazd, układ, komponent lub oddzielny zespół techniczny był zgodny w momencie wprowadzenia go do obrotu, zarejestrowania lub dopuszczenia. </w:t>
            </w:r>
          </w:p>
          <w:p w14:paraId="39DF8D21" w14:textId="77777777" w:rsidR="00801F27" w:rsidRPr="00FB76A9" w:rsidRDefault="00801F27" w:rsidP="00FD5CD5">
            <w:pPr>
              <w:pStyle w:val="CM4"/>
            </w:pPr>
            <w:r w:rsidRPr="00FB76A9">
              <w:t xml:space="preserve">Podmioty gospodarcze, zgodnie z obowiązkami ustanowionymi w art. 13–21, zapewniają podjęcie wszystkich odpowiednich środków naprawczych w odniesieniu do wszystkich odnośnych pojazdów, układów, komponentów lub oddzielnych zespołów technicznych, które wprowadziły do obrotu, zarejestrowały lub dopuściły w Unii. </w:t>
            </w:r>
          </w:p>
          <w:p w14:paraId="5036020E" w14:textId="77777777" w:rsidR="00801F27" w:rsidRPr="00FB76A9" w:rsidRDefault="00801F27" w:rsidP="00FD5CD5">
            <w:pPr>
              <w:pStyle w:val="CM4"/>
            </w:pPr>
            <w:r w:rsidRPr="00FB76A9">
              <w:lastRenderedPageBreak/>
              <w:t xml:space="preserve">3. W przypadku gdy podmioty gospodarcze nie przyjmą odpowiednich środków naprawczych w odpowiednim terminie, o którym mowa w ust. 1 lub 2, lub w przypadku gdy zagrożenie wymaga pilnego podjęcia działań, organy krajowe przyjmują wszystkie odpowiednie tymczasowe środki ograniczające w celu zakazania lub ograniczenia udostępnienia na rynku, rejestracji lub dopuszczania odnośnych pojazdów, układów, komponentów lub oddzielnych zespołów technicznych na swoim rynku krajowym lub ich wycofania z obrotu lub od użytkowników. </w:t>
            </w:r>
          </w:p>
          <w:p w14:paraId="42F9AF79" w14:textId="77777777" w:rsidR="00801F27" w:rsidRPr="00FB76A9" w:rsidRDefault="00801F27" w:rsidP="00FD5CD5">
            <w:pPr>
              <w:pStyle w:val="CM4"/>
            </w:pPr>
            <w:r w:rsidRPr="00FB76A9">
              <w:t xml:space="preserve">Do środków ograniczających, o których mowa w akapicie pierwszym niniejszego ustępu, stosuje się art. 21 rozporządzenia (WE) nr 765/2008. </w:t>
            </w:r>
          </w:p>
          <w:p w14:paraId="7FCD8D5E" w14:textId="77777777" w:rsidR="00801F27" w:rsidRPr="00FB76A9" w:rsidRDefault="00801F27" w:rsidP="00FD5CD5">
            <w:pPr>
              <w:pStyle w:val="CM4"/>
            </w:pPr>
            <w:r w:rsidRPr="00FB76A9">
              <w:t xml:space="preserve">4. Komisja może przyjąć akty wykonawcze ustanawiające klasyfikację ewentualności braku zgodności z odpowiednimi wymogami i odpowiednie środki, które właściwe organy krajowe muszą podjąć, aby zapewnić jednolite stosowanie niniejszego artykułu. Te akty wykonawcze przyjmuje się zgodnie z procedurą sprawdzającą, o której mowa w art. 83 ust. 2. </w:t>
            </w:r>
          </w:p>
          <w:p w14:paraId="0BB55C3E" w14:textId="77777777" w:rsidR="00801F27" w:rsidRPr="00FB76A9" w:rsidRDefault="00801F27" w:rsidP="00FD5CD5">
            <w:pPr>
              <w:pStyle w:val="CM4"/>
            </w:pPr>
          </w:p>
        </w:tc>
        <w:tc>
          <w:tcPr>
            <w:tcW w:w="851" w:type="dxa"/>
            <w:tcBorders>
              <w:top w:val="single" w:sz="4" w:space="0" w:color="auto"/>
              <w:left w:val="single" w:sz="4" w:space="0" w:color="auto"/>
              <w:bottom w:val="single" w:sz="4" w:space="0" w:color="auto"/>
              <w:right w:val="single" w:sz="4" w:space="0" w:color="auto"/>
            </w:tcBorders>
          </w:tcPr>
          <w:p w14:paraId="47A06B33" w14:textId="77777777" w:rsidR="00801F27" w:rsidRPr="00FB76A9" w:rsidRDefault="00801F27"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lastRenderedPageBreak/>
              <w:t>T</w:t>
            </w:r>
          </w:p>
        </w:tc>
        <w:tc>
          <w:tcPr>
            <w:tcW w:w="992" w:type="dxa"/>
            <w:tcBorders>
              <w:top w:val="single" w:sz="4" w:space="0" w:color="auto"/>
              <w:left w:val="single" w:sz="4" w:space="0" w:color="auto"/>
              <w:bottom w:val="single" w:sz="4" w:space="0" w:color="auto"/>
              <w:right w:val="single" w:sz="4" w:space="0" w:color="auto"/>
            </w:tcBorders>
          </w:tcPr>
          <w:p w14:paraId="703D519A" w14:textId="77777777" w:rsidR="00801F27" w:rsidRPr="00FB76A9" w:rsidRDefault="00801F27"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w:t>
            </w:r>
            <w:r w:rsidR="0097219F" w:rsidRPr="00FB76A9">
              <w:rPr>
                <w:rFonts w:ascii="Times New Roman" w:eastAsia="Times New Roman" w:hAnsi="Times New Roman" w:cs="Times New Roman"/>
                <w:sz w:val="24"/>
                <w:szCs w:val="24"/>
                <w:lang w:eastAsia="pl-PL"/>
              </w:rPr>
              <w:t>23</w:t>
            </w:r>
          </w:p>
        </w:tc>
        <w:tc>
          <w:tcPr>
            <w:tcW w:w="5103" w:type="dxa"/>
            <w:tcBorders>
              <w:top w:val="single" w:sz="4" w:space="0" w:color="auto"/>
              <w:left w:val="single" w:sz="4" w:space="0" w:color="auto"/>
              <w:bottom w:val="single" w:sz="4" w:space="0" w:color="auto"/>
              <w:right w:val="single" w:sz="4" w:space="0" w:color="auto"/>
            </w:tcBorders>
          </w:tcPr>
          <w:p w14:paraId="7B70651F" w14:textId="77777777" w:rsidR="003B5FE3" w:rsidRPr="00FB76A9" w:rsidRDefault="003B5FE3"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„Rozdział 6 </w:t>
            </w:r>
          </w:p>
          <w:p w14:paraId="21E450EC" w14:textId="77777777" w:rsidR="003B5FE3" w:rsidRPr="00FB76A9" w:rsidRDefault="003B5FE3"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Akcje serwisowe </w:t>
            </w:r>
          </w:p>
          <w:p w14:paraId="4F012E8C" w14:textId="77777777" w:rsidR="003B5FE3" w:rsidRPr="00FB76A9" w:rsidRDefault="003B5FE3"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Art. 70. 1. Podstawą do podjęcia akcji serwisowej na terytorium Rzeczpospolitej Polskiej w odniesieniu do pojazdów, przedmiotów wyposażenia lub części, dla których producent uzyskał świadectwo homologacji typu UE pojazdu, świadectwo homologacji typu UE albo świadectwo homologacji typu ONZ są:</w:t>
            </w:r>
          </w:p>
          <w:p w14:paraId="7B638F44" w14:textId="77777777" w:rsidR="003B5FE3" w:rsidRPr="00FB76A9" w:rsidRDefault="003B5FE3" w:rsidP="00FD5CD5">
            <w:pPr>
              <w:pStyle w:val="ZROZDZODDZOZNzmoznrozdzoddzartykuempunktem"/>
              <w:spacing w:line="240" w:lineRule="auto"/>
              <w:ind w:left="0" w:firstLine="358"/>
              <w:jc w:val="left"/>
              <w:rPr>
                <w:rFonts w:ascii="Times New Roman" w:hAnsi="Times New Roman" w:cs="Times New Roman"/>
              </w:rPr>
            </w:pPr>
            <w:r w:rsidRPr="00FB76A9">
              <w:rPr>
                <w:rFonts w:ascii="Times New Roman" w:hAnsi="Times New Roman" w:cs="Times New Roman"/>
              </w:rPr>
              <w:t>1)</w:t>
            </w:r>
            <w:r w:rsidRPr="00FB76A9">
              <w:rPr>
                <w:rFonts w:ascii="Times New Roman" w:hAnsi="Times New Roman" w:cs="Times New Roman"/>
              </w:rPr>
              <w:tab/>
              <w:t>własne działania Dyrektora TDT jako organu nadzoru rynku, lub</w:t>
            </w:r>
          </w:p>
          <w:p w14:paraId="357C1ED0" w14:textId="77777777" w:rsidR="003B5FE3" w:rsidRPr="00FB76A9" w:rsidRDefault="003B5FE3" w:rsidP="00FD5CD5">
            <w:pPr>
              <w:pStyle w:val="ZROZDZODDZOZNzmoznrozdzoddzartykuempunktem"/>
              <w:spacing w:line="240" w:lineRule="auto"/>
              <w:ind w:left="0" w:firstLine="358"/>
              <w:jc w:val="left"/>
              <w:rPr>
                <w:rFonts w:ascii="Times New Roman" w:hAnsi="Times New Roman" w:cs="Times New Roman"/>
              </w:rPr>
            </w:pPr>
            <w:r w:rsidRPr="00FB76A9">
              <w:rPr>
                <w:rFonts w:ascii="Times New Roman" w:hAnsi="Times New Roman" w:cs="Times New Roman"/>
              </w:rPr>
              <w:t>2)</w:t>
            </w:r>
            <w:r w:rsidRPr="00FB76A9">
              <w:rPr>
                <w:rFonts w:ascii="Times New Roman" w:hAnsi="Times New Roman" w:cs="Times New Roman"/>
              </w:rPr>
              <w:tab/>
              <w:t>informacje zamieszczone w systemie Safety Gate, lub</w:t>
            </w:r>
          </w:p>
          <w:p w14:paraId="75B6D5D2" w14:textId="77777777" w:rsidR="003B5FE3" w:rsidRPr="00FB76A9" w:rsidRDefault="003B5FE3" w:rsidP="00FD5CD5">
            <w:pPr>
              <w:pStyle w:val="ZROZDZODDZOZNzmoznrozdzoddzartykuempunktem"/>
              <w:spacing w:line="240" w:lineRule="auto"/>
              <w:ind w:left="0" w:firstLine="358"/>
              <w:jc w:val="left"/>
              <w:rPr>
                <w:rFonts w:ascii="Times New Roman" w:hAnsi="Times New Roman" w:cs="Times New Roman"/>
              </w:rPr>
            </w:pPr>
            <w:r w:rsidRPr="00FB76A9">
              <w:rPr>
                <w:rFonts w:ascii="Times New Roman" w:hAnsi="Times New Roman" w:cs="Times New Roman"/>
              </w:rPr>
              <w:t>3)</w:t>
            </w:r>
            <w:r w:rsidRPr="00FB76A9">
              <w:rPr>
                <w:rFonts w:ascii="Times New Roman" w:hAnsi="Times New Roman" w:cs="Times New Roman"/>
              </w:rPr>
              <w:tab/>
              <w:t>informacje przekazane przez organ udzielający homologacji, lub</w:t>
            </w:r>
          </w:p>
          <w:p w14:paraId="0235C557" w14:textId="77777777" w:rsidR="003B5FE3" w:rsidRPr="00FB76A9" w:rsidRDefault="003B5FE3" w:rsidP="00FD5CD5">
            <w:pPr>
              <w:pStyle w:val="ZROZDZODDZOZNzmoznrozdzoddzartykuempunktem"/>
              <w:spacing w:line="240" w:lineRule="auto"/>
              <w:ind w:left="0" w:firstLine="358"/>
              <w:jc w:val="left"/>
              <w:rPr>
                <w:rFonts w:ascii="Times New Roman" w:hAnsi="Times New Roman" w:cs="Times New Roman"/>
              </w:rPr>
            </w:pPr>
            <w:r w:rsidRPr="00FB76A9">
              <w:rPr>
                <w:rFonts w:ascii="Times New Roman" w:hAnsi="Times New Roman" w:cs="Times New Roman"/>
              </w:rPr>
              <w:t>4)</w:t>
            </w:r>
            <w:r w:rsidRPr="00FB76A9">
              <w:rPr>
                <w:rFonts w:ascii="Times New Roman" w:hAnsi="Times New Roman" w:cs="Times New Roman"/>
              </w:rPr>
              <w:tab/>
              <w:t>informacje przekazane przez podmiot gospodarczy.</w:t>
            </w:r>
          </w:p>
          <w:p w14:paraId="63E04B62" w14:textId="77777777" w:rsidR="003B5FE3" w:rsidRPr="00FB76A9" w:rsidRDefault="003B5FE3"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2. W przypadku stwierdzenia przez podmiot gospodarczy we wprowadzonym do obrotu pojeździe, przedmiocie wyposażenia lub części, o którym mowa w ust. 1, ryzyka lub poważnego ryzyka dla bezpieczeństwa, ochrony zdrowia i środowiska albo niezgodność pojazdu, przedmiotu wyposażenia lub części z wymaganiami technicznymi, podmiot ten jest obowiązany niezwłocznie powiadomić o tym Dyrektora TDT jako organ nadzoru rynku oraz podjąć działania zgodnie z przepisami rozdziału XII rozporządzenia 167/2013, rozdziału XII rozporządzenia 168/2013 lub rozdziału XI rozporządzenia 2018/858 – odpowiednio do kategorii pojazdu, przedmiotu wyposażenia lub części.</w:t>
            </w:r>
          </w:p>
          <w:p w14:paraId="2EB8D1F6" w14:textId="77777777" w:rsidR="003B5FE3" w:rsidRPr="00FB76A9" w:rsidRDefault="003B5FE3"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lastRenderedPageBreak/>
              <w:t>3. Podmiot gospodarczy jest obowiązany do udostępniania użytkownikom końcowym informacji o konieczności sprawdzenia stanu technicznego pojazdu w warunkach serwisowych producenta w taki sposób, aby informacja ta była dostępna dla użytkownika końcowego na stronie podmiotowej podmiotu gospodarczego po wpisaniu numeru VIN pojazdu. Informacja dotycząca akcji serwisowej powinna zawierać co najmniej numer i krótki opis akcji serwisowej lub informację, że pojazd nie jest objęty akcją serwisową.</w:t>
            </w:r>
          </w:p>
          <w:p w14:paraId="035B8F4E" w14:textId="77777777" w:rsidR="003B5FE3" w:rsidRPr="00FB76A9" w:rsidRDefault="003B5FE3"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4. Podmioty gospodarczy jest obowiązany do wdrożenia odpowiednich zabezpieczeń oraz mechanizmów ograniczających liczbę zapytań z jednego adresu IP albo innych równoważnych środków zapobiegających zautomatyzowanemu gromadzeniu danych. </w:t>
            </w:r>
          </w:p>
          <w:p w14:paraId="6A955B01" w14:textId="77777777" w:rsidR="003B5FE3" w:rsidRPr="00FB76A9" w:rsidRDefault="003B5FE3"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5. Dyrektor TDT jako organu nadzoru rynku na podstawie powiadomienia, o którym mowa w ust. 2, występuje do ewidencji o przekazanie aktualnych informacji dotyczących użytkowników końcowych pojazdów obejmujące nazwę lub imię i nazwisko, adres siedziby albo miejsca zamieszkania w powiązaniu z numerem VIN pojazdu oraz numerem tablicy rejestracyjnej.</w:t>
            </w:r>
          </w:p>
          <w:p w14:paraId="7ED133FD" w14:textId="77777777" w:rsidR="003B5FE3" w:rsidRPr="00FB76A9" w:rsidRDefault="003B5FE3"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6. Na podstawie danych otrzymanych z ewidencji Dyrektor TDT jako organ nadzoru rynku zawiadamia użytkowników końcowych o konieczności sprawdzenia stanu technicznego pojazdu w warunkach serwisowych producenta. </w:t>
            </w:r>
          </w:p>
          <w:p w14:paraId="3AC47010" w14:textId="77777777" w:rsidR="003B5FE3" w:rsidRPr="00FB76A9" w:rsidRDefault="003B5FE3"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lastRenderedPageBreak/>
              <w:t xml:space="preserve">7. Dyrektor TDT jako organ nadzoru rynku jest obowiązany do usunięcia z systemów informatycznych danych o użytkownikach końcowych pojazdów, w odniesieniu do których została przeprowadzona akcja serwisowa, w terminie do końca pierwszego kwartału następnego roku. </w:t>
            </w:r>
          </w:p>
          <w:p w14:paraId="1D0BF918" w14:textId="77777777" w:rsidR="003B5FE3" w:rsidRPr="00FB76A9" w:rsidRDefault="003B5FE3"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8. Dyrektor TDT jako organ nadzoru rynku, w drodze decyzji administracyjnej, określa wysokość opłaty i termin jej uiszczenia przez podmiot gospodarczy za powiadomienie przez Dyrektora TDT jako organ nadzoru rynku użytkowników końcowych o konieczności sprawdzenia stanu technicznego pojazdu w warunkach serwisowych producenta. Opłata uiszczana jest na wskazany rachunek bankowy Transportowego Dozoru Technicznego.</w:t>
            </w:r>
          </w:p>
          <w:p w14:paraId="6F5FDB0B" w14:textId="77777777" w:rsidR="003B5FE3" w:rsidRDefault="003B5FE3"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9. Wysokość opłaty za powiadomienie każdego użytkownika końcowego nie może przekroczyć 0,22% wysokości przeciętnego wynagrodzenia, o którym mowa w art. 68g ust. 4, od każdego powiadomienia.</w:t>
            </w:r>
          </w:p>
          <w:p w14:paraId="4B632038" w14:textId="77777777" w:rsidR="004A6CA6" w:rsidRPr="004A6CA6" w:rsidRDefault="004A6CA6" w:rsidP="00FD5CD5">
            <w:pPr>
              <w:pStyle w:val="ZUSTzmustartykuempunktem"/>
              <w:spacing w:line="240" w:lineRule="auto"/>
              <w:ind w:left="0" w:firstLine="0"/>
              <w:jc w:val="left"/>
              <w:rPr>
                <w:rFonts w:ascii="Times New Roman" w:hAnsi="Times New Roman" w:cs="Times New Roman"/>
                <w:bCs/>
                <w:kern w:val="24"/>
                <w:szCs w:val="24"/>
              </w:rPr>
            </w:pPr>
            <w:r w:rsidRPr="004A6CA6">
              <w:rPr>
                <w:rFonts w:ascii="Times New Roman" w:hAnsi="Times New Roman" w:cs="Times New Roman"/>
                <w:bCs/>
                <w:kern w:val="24"/>
                <w:szCs w:val="24"/>
              </w:rPr>
              <w:t>10. Podmiot gospodarczy jest zobowiązany do informowania Dyrektora TDT jako organ nadzoru rynku o postępie w realizacji akcji serwisowych co najmniej raz na kwartał.</w:t>
            </w:r>
          </w:p>
          <w:p w14:paraId="34D7DB7D" w14:textId="77777777" w:rsidR="004A6CA6" w:rsidRPr="004A6CA6" w:rsidRDefault="004A6CA6" w:rsidP="00FD5CD5">
            <w:pPr>
              <w:pStyle w:val="ZUSTzmustartykuempunktem"/>
              <w:spacing w:line="240" w:lineRule="auto"/>
              <w:ind w:left="0" w:firstLine="0"/>
              <w:jc w:val="left"/>
              <w:rPr>
                <w:rFonts w:ascii="Times New Roman" w:hAnsi="Times New Roman" w:cs="Times New Roman"/>
                <w:bCs/>
                <w:kern w:val="24"/>
                <w:szCs w:val="24"/>
              </w:rPr>
            </w:pPr>
            <w:r w:rsidRPr="004A6CA6">
              <w:rPr>
                <w:rFonts w:ascii="Times New Roman" w:hAnsi="Times New Roman" w:cs="Times New Roman"/>
                <w:bCs/>
                <w:kern w:val="24"/>
                <w:szCs w:val="24"/>
              </w:rPr>
              <w:t xml:space="preserve">11. Do opłaty, o której mowa w ust. 10, stosuje się przepisy art. 68zzb ust. 1 i 2. </w:t>
            </w:r>
          </w:p>
          <w:p w14:paraId="580C0767" w14:textId="77777777" w:rsidR="004A6CA6" w:rsidRDefault="004A6CA6" w:rsidP="00FD5CD5">
            <w:pPr>
              <w:pStyle w:val="ZROZDZODDZOZNzmoznrozdzoddzartykuempunktem"/>
              <w:spacing w:line="240" w:lineRule="auto"/>
              <w:ind w:left="0"/>
              <w:jc w:val="left"/>
              <w:rPr>
                <w:rFonts w:cs="Times New Roman"/>
                <w:kern w:val="0"/>
              </w:rPr>
            </w:pPr>
          </w:p>
          <w:p w14:paraId="6084CEB6" w14:textId="77777777" w:rsidR="003B5FE3" w:rsidRPr="00FB76A9" w:rsidRDefault="003B5FE3"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Art. 71. 1. Podstawą do podjęcia akcji serwisowej na terytorium Rzeczpospolitej Polskiej w odniesieniu do pojazdów, dla których producent </w:t>
            </w:r>
            <w:r w:rsidRPr="00FB76A9">
              <w:rPr>
                <w:rFonts w:ascii="Times New Roman" w:hAnsi="Times New Roman" w:cs="Times New Roman"/>
              </w:rPr>
              <w:lastRenderedPageBreak/>
              <w:t>uzyskał świadectwo krajowej homologacji typu pojazdu, tramwaju albo trolejbusu, są działania i informacje, o których mowa w art. 70 ust. 1 pkt 1, 3 i 4.</w:t>
            </w:r>
          </w:p>
          <w:p w14:paraId="61FB0337" w14:textId="77777777" w:rsidR="003B5FE3" w:rsidRPr="00FB76A9" w:rsidRDefault="003B5FE3"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2. W przypadku stwierdzenia przez podmiot gospodarczy we wprowadzonym do obrotu pojeździe, o którym mowa w ust. 1, ryzyka albo poważnego ryzyka dla bezpieczeństwa, ochrony zdrowia i środowiska lub niezgodność pojazdu z wymaganiami technicznymi, podmiot ten jest obowiązany niezwłocznie powiadomić o tym Dyrektora TDT jako organ nadzoru rynku oraz podjąć działania polegające na usunięciu tych zagrożeń. </w:t>
            </w:r>
          </w:p>
          <w:p w14:paraId="75B752C8" w14:textId="77777777" w:rsidR="003B5FE3" w:rsidRPr="00FB76A9" w:rsidRDefault="003B5FE3"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3. W celu usunięcia ryzyka lub niezgodności, o których mowa w ust. 2, podmiot gospodarczy: </w:t>
            </w:r>
          </w:p>
          <w:p w14:paraId="14EFC1E3" w14:textId="77777777" w:rsidR="003B5FE3" w:rsidRPr="00FB76A9" w:rsidRDefault="003B5FE3"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1) opracowuje plan działań mających na celu usunięcie ryzyka albo poważnego ryzyka lub niezgodności z wymaganiami technicznymi, obejmujący zakres i harmonogram czynności oraz liczbę pojazdów; </w:t>
            </w:r>
          </w:p>
          <w:p w14:paraId="4CEDE56D" w14:textId="77777777" w:rsidR="003B5FE3" w:rsidRPr="00FB76A9" w:rsidRDefault="003B5FE3"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2) uzgadnia z Dyrektorem TDT jako organem nadzoru rynku plan działań, o którym mowa w pkt 1; </w:t>
            </w:r>
          </w:p>
          <w:p w14:paraId="5D8756C5" w14:textId="77777777" w:rsidR="003B5FE3" w:rsidRPr="00FB76A9" w:rsidRDefault="003B5FE3"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3) udostępnia użytkownikom końcowym informację o konieczności sprawdzenia stanu technicznego pojazdu w warunkach serwisowych producenta w taki sposób, aby informacja ta była dostępna dla użytkownika końcowego na stronie podmiotowej podmiotu gospodarczego po wpisaniu numeru VIN pojazdu. Informacja dotycząca akcji serwisowej powinna zawierać co </w:t>
            </w:r>
            <w:r w:rsidRPr="00FB76A9">
              <w:rPr>
                <w:rFonts w:ascii="Times New Roman" w:hAnsi="Times New Roman" w:cs="Times New Roman"/>
              </w:rPr>
              <w:lastRenderedPageBreak/>
              <w:t>najmniej numer i krótki opis akcji serwisowej lub informację, że pojazd nie jest objęty akcją serwisową.</w:t>
            </w:r>
          </w:p>
          <w:p w14:paraId="2C18AB0B" w14:textId="77777777" w:rsidR="003B5FE3" w:rsidRPr="00FB76A9" w:rsidRDefault="003B5FE3"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4. Po otrzymaniu powiadomienia, o którym mowa w ust. 2, oraz planu działań, o którym mowa w ust. 3 pkt 1, Dyrektor TDT jako organ nadzoru rynku: </w:t>
            </w:r>
          </w:p>
          <w:p w14:paraId="496698EA" w14:textId="77777777" w:rsidR="003B5FE3" w:rsidRPr="00FB76A9" w:rsidRDefault="003B5FE3"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1) ocenia plan działań, a w przypadku gdy ma do niego zastrzeżenia, nakazuje podmiotowi gospodarczemu uwzględnić zastrzeżenia w planie działań lub harmonogramie czynności; </w:t>
            </w:r>
          </w:p>
          <w:p w14:paraId="000533A3" w14:textId="77777777" w:rsidR="003B5FE3" w:rsidRPr="00FB76A9" w:rsidRDefault="003B5FE3"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2) akceptuje plan działań; </w:t>
            </w:r>
          </w:p>
          <w:p w14:paraId="629A9388" w14:textId="77777777" w:rsidR="003B5FE3" w:rsidRPr="00FB76A9" w:rsidRDefault="003B5FE3" w:rsidP="00FD5CD5">
            <w:pPr>
              <w:pStyle w:val="ZROZDZODDZOZNzmoznrozdzoddzartykuempunktem"/>
              <w:spacing w:line="240" w:lineRule="auto"/>
              <w:ind w:left="68"/>
              <w:jc w:val="left"/>
              <w:rPr>
                <w:rFonts w:ascii="Times New Roman" w:hAnsi="Times New Roman" w:cs="Times New Roman"/>
              </w:rPr>
            </w:pPr>
            <w:r w:rsidRPr="00FB76A9">
              <w:rPr>
                <w:rFonts w:ascii="Times New Roman" w:hAnsi="Times New Roman" w:cs="Times New Roman"/>
              </w:rPr>
              <w:t xml:space="preserve">3) określa terminy informowania go o realizacji i zakończeniu działań; </w:t>
            </w:r>
          </w:p>
          <w:p w14:paraId="5F1AC5C3" w14:textId="77777777" w:rsidR="003B5FE3" w:rsidRPr="00FB76A9" w:rsidRDefault="003B5FE3" w:rsidP="00FD5CD5">
            <w:pPr>
              <w:pStyle w:val="ZROZDZODDZOZNzmoznrozdzoddzartykuempunktem"/>
              <w:spacing w:line="240" w:lineRule="auto"/>
              <w:ind w:left="68"/>
              <w:jc w:val="left"/>
              <w:rPr>
                <w:rFonts w:ascii="Times New Roman" w:hAnsi="Times New Roman" w:cs="Times New Roman"/>
              </w:rPr>
            </w:pPr>
            <w:r w:rsidRPr="00FB76A9">
              <w:rPr>
                <w:rFonts w:ascii="Times New Roman" w:hAnsi="Times New Roman" w:cs="Times New Roman"/>
              </w:rPr>
              <w:t>4)zobowiązuje podmiot gospodarczy do informowania Dyrektora TDT jako organ nadzoru rynku o postępie w realizacji akcji serwisowych co najmniej raz na kwartał.</w:t>
            </w:r>
          </w:p>
          <w:p w14:paraId="2121AD1F" w14:textId="77777777" w:rsidR="003B5FE3" w:rsidRPr="00FB76A9" w:rsidRDefault="003B5FE3" w:rsidP="00FD5CD5">
            <w:pPr>
              <w:pStyle w:val="ZROZDZODDZOZNzmoznrozdzoddzartykuempunktem"/>
              <w:spacing w:line="240" w:lineRule="auto"/>
              <w:ind w:left="68"/>
              <w:jc w:val="left"/>
              <w:rPr>
                <w:rFonts w:ascii="Times New Roman" w:hAnsi="Times New Roman" w:cs="Times New Roman"/>
              </w:rPr>
            </w:pPr>
            <w:r w:rsidRPr="00FB76A9">
              <w:rPr>
                <w:rFonts w:ascii="Times New Roman" w:hAnsi="Times New Roman" w:cs="Times New Roman"/>
              </w:rPr>
              <w:t>5. Dyrektor TDT jako organ nadzoru rynku na podstawie powiadomienia, o którym mowa w ust. 2, występuje do ewidencji o przekazanie aktualnych informacji dotyczących użytkowników pojazdów obejmujące nazwę lub imię i nazwisko, adres siedziby albo miejsca zamieszkania w powiązaniu z numerem VIN pojazdu oraz numerem tablicy rejestracyjnej.</w:t>
            </w:r>
          </w:p>
          <w:p w14:paraId="23FB4B97" w14:textId="77777777" w:rsidR="003B5FE3" w:rsidRPr="00FB76A9" w:rsidRDefault="003B5FE3" w:rsidP="00FD5CD5">
            <w:pPr>
              <w:pStyle w:val="ZROZDZODDZOZNzmoznrozdzoddzartykuempunktem"/>
              <w:spacing w:line="240" w:lineRule="auto"/>
              <w:ind w:left="68"/>
              <w:jc w:val="left"/>
              <w:rPr>
                <w:rFonts w:ascii="Times New Roman" w:hAnsi="Times New Roman" w:cs="Times New Roman"/>
              </w:rPr>
            </w:pPr>
            <w:r w:rsidRPr="00FB76A9">
              <w:rPr>
                <w:rFonts w:ascii="Times New Roman" w:hAnsi="Times New Roman" w:cs="Times New Roman"/>
              </w:rPr>
              <w:t>6. Na podstawie danych otrzymanych z ewidencji Dyrektor TDT jako organ nadzoru rynku zawiadamia użytkowników końcowych o konieczności sprawdzenia stanu technicznego pojazdu w warunkach serwisowych producenta.</w:t>
            </w:r>
          </w:p>
          <w:p w14:paraId="7A8FA4B6" w14:textId="77777777" w:rsidR="003B5FE3" w:rsidRPr="00FB76A9" w:rsidRDefault="003B5FE3" w:rsidP="00FD5CD5">
            <w:pPr>
              <w:pStyle w:val="ZROZDZODDZOZNzmoznrozdzoddzartykuempunktem"/>
              <w:spacing w:line="240" w:lineRule="auto"/>
              <w:ind w:left="68"/>
              <w:jc w:val="left"/>
              <w:rPr>
                <w:rFonts w:ascii="Times New Roman" w:hAnsi="Times New Roman" w:cs="Times New Roman"/>
              </w:rPr>
            </w:pPr>
            <w:r w:rsidRPr="00FB76A9">
              <w:rPr>
                <w:rFonts w:ascii="Times New Roman" w:hAnsi="Times New Roman" w:cs="Times New Roman"/>
              </w:rPr>
              <w:t xml:space="preserve">7. Dyrektor TDT jako organem nadzoru rynku jest obowiązany do usunięcia z systemów </w:t>
            </w:r>
            <w:r w:rsidRPr="00FB76A9">
              <w:rPr>
                <w:rFonts w:ascii="Times New Roman" w:hAnsi="Times New Roman" w:cs="Times New Roman"/>
              </w:rPr>
              <w:lastRenderedPageBreak/>
              <w:t xml:space="preserve">informatycznych danych o użytkownikach końcowych pojazdów, w odniesieniu do których została przeprowadzona akcja serwisowa, w terminie do końca pierwszego kwartału następnego roku. </w:t>
            </w:r>
          </w:p>
          <w:p w14:paraId="73AED78B" w14:textId="77777777" w:rsidR="003B5FE3" w:rsidRPr="00FB76A9" w:rsidRDefault="003B5FE3" w:rsidP="00FD5CD5">
            <w:pPr>
              <w:pStyle w:val="ZROZDZODDZOZNzmoznrozdzoddzartykuempunktem"/>
              <w:spacing w:line="240" w:lineRule="auto"/>
              <w:ind w:left="68"/>
              <w:jc w:val="left"/>
              <w:rPr>
                <w:rFonts w:ascii="Times New Roman" w:hAnsi="Times New Roman" w:cs="Times New Roman"/>
              </w:rPr>
            </w:pPr>
            <w:r w:rsidRPr="00FB76A9">
              <w:rPr>
                <w:rFonts w:ascii="Times New Roman" w:hAnsi="Times New Roman" w:cs="Times New Roman"/>
              </w:rPr>
              <w:t>8. Dyrektor TDT jako organ nadzoru rynku, w drodze decyzji administracyjnej, określa wysokość opłaty i termin jej uiszczenia przez podmiot gospodarczy za powiadomienie przez Dyrektora TDT jako organ nadzoru rynku użytkowników końcowych o konieczności sprawdzenia stanu technicznego pojazdu w warunkach serwisowych producenta. Opłata uiszczana jest na wskazany rachunek bankowy Transportowego Dozoru Technicznego.</w:t>
            </w:r>
          </w:p>
          <w:p w14:paraId="158FF266" w14:textId="77777777" w:rsidR="003B5FE3" w:rsidRPr="00FB76A9" w:rsidRDefault="003B5FE3" w:rsidP="00FD5CD5">
            <w:pPr>
              <w:pStyle w:val="ZROZDZODDZOZNzmoznrozdzoddzartykuempunktem"/>
              <w:spacing w:line="240" w:lineRule="auto"/>
              <w:ind w:left="68"/>
              <w:jc w:val="left"/>
              <w:rPr>
                <w:rFonts w:ascii="Times New Roman" w:hAnsi="Times New Roman" w:cs="Times New Roman"/>
              </w:rPr>
            </w:pPr>
            <w:r w:rsidRPr="00FB76A9">
              <w:rPr>
                <w:rFonts w:ascii="Times New Roman" w:hAnsi="Times New Roman" w:cs="Times New Roman"/>
              </w:rPr>
              <w:t>9. Wysokość opłaty za powiadomienie każdego użytkownika końcowego nie może przekroczyć 0,22% wysokości przeciętnego wynagrodzenia, o którym mowa w art. 68g ust. 4, od każdego powiadomienia.</w:t>
            </w:r>
          </w:p>
          <w:p w14:paraId="4E52F31E" w14:textId="77777777" w:rsidR="004A6CA6" w:rsidRPr="004A6CA6" w:rsidRDefault="004A6CA6" w:rsidP="00FD5CD5">
            <w:pPr>
              <w:pStyle w:val="ZUSTzmustartykuempunktem"/>
              <w:spacing w:line="240" w:lineRule="auto"/>
              <w:ind w:left="0" w:firstLine="0"/>
              <w:jc w:val="left"/>
              <w:rPr>
                <w:rFonts w:ascii="Times New Roman" w:hAnsi="Times New Roman" w:cs="Times New Roman"/>
                <w:bCs/>
                <w:kern w:val="24"/>
                <w:szCs w:val="24"/>
              </w:rPr>
            </w:pPr>
            <w:r w:rsidRPr="004A6CA6">
              <w:rPr>
                <w:rFonts w:ascii="Times New Roman" w:hAnsi="Times New Roman" w:cs="Times New Roman"/>
                <w:bCs/>
                <w:kern w:val="24"/>
                <w:szCs w:val="24"/>
              </w:rPr>
              <w:t>10. Do opłaty, o której mowa w ust. 8, stosuje się przepisy art. 68zzb ust. 1 i 2.</w:t>
            </w:r>
          </w:p>
          <w:p w14:paraId="5F45AB5A" w14:textId="77777777" w:rsidR="003B5FE3" w:rsidRPr="00FB76A9" w:rsidRDefault="003B5FE3" w:rsidP="00FD5CD5">
            <w:pPr>
              <w:pStyle w:val="ZROZDZODDZOZNzmoznrozdzoddzartykuempunktem"/>
              <w:spacing w:line="240" w:lineRule="auto"/>
              <w:ind w:left="68"/>
              <w:jc w:val="left"/>
              <w:rPr>
                <w:rFonts w:ascii="Times New Roman" w:hAnsi="Times New Roman" w:cs="Times New Roman"/>
              </w:rPr>
            </w:pPr>
            <w:r w:rsidRPr="00FB76A9">
              <w:rPr>
                <w:rFonts w:ascii="Times New Roman" w:hAnsi="Times New Roman" w:cs="Times New Roman"/>
              </w:rPr>
              <w:t xml:space="preserve">11. Producent informuje Dyrektora TDT jako organ nadzoru rynku o: </w:t>
            </w:r>
          </w:p>
          <w:p w14:paraId="0ECB734A" w14:textId="77777777" w:rsidR="003B5FE3" w:rsidRPr="00FB76A9" w:rsidRDefault="003B5FE3" w:rsidP="00FD5CD5">
            <w:pPr>
              <w:pStyle w:val="ZROZDZODDZOZNzmoznrozdzoddzartykuempunktem"/>
              <w:spacing w:line="240" w:lineRule="auto"/>
              <w:ind w:left="216"/>
              <w:jc w:val="left"/>
              <w:rPr>
                <w:rFonts w:ascii="Times New Roman" w:hAnsi="Times New Roman" w:cs="Times New Roman"/>
              </w:rPr>
            </w:pPr>
            <w:r w:rsidRPr="00FB76A9">
              <w:rPr>
                <w:rFonts w:ascii="Times New Roman" w:hAnsi="Times New Roman" w:cs="Times New Roman"/>
              </w:rPr>
              <w:t xml:space="preserve">1) </w:t>
            </w:r>
            <w:r w:rsidRPr="00FB76A9">
              <w:rPr>
                <w:rFonts w:ascii="Times New Roman" w:hAnsi="Times New Roman" w:cs="Times New Roman"/>
              </w:rPr>
              <w:tab/>
              <w:t xml:space="preserve">realizacji działań w celu usunięcia stwierdzonych zagrożeń w terminach wskazanych w harmonogramie czynności; </w:t>
            </w:r>
          </w:p>
          <w:p w14:paraId="2E129E53" w14:textId="77777777" w:rsidR="003B5FE3" w:rsidRPr="00FB76A9" w:rsidRDefault="003B5FE3" w:rsidP="00FD5CD5">
            <w:pPr>
              <w:pStyle w:val="ZROZDZODDZOZNzmoznrozdzoddzartykuempunktem"/>
              <w:spacing w:line="240" w:lineRule="auto"/>
              <w:ind w:left="216"/>
              <w:jc w:val="left"/>
              <w:rPr>
                <w:rFonts w:ascii="Times New Roman" w:hAnsi="Times New Roman" w:cs="Times New Roman"/>
              </w:rPr>
            </w:pPr>
            <w:r w:rsidRPr="00FB76A9">
              <w:rPr>
                <w:rFonts w:ascii="Times New Roman" w:hAnsi="Times New Roman" w:cs="Times New Roman"/>
              </w:rPr>
              <w:t xml:space="preserve">2) </w:t>
            </w:r>
            <w:r w:rsidRPr="00FB76A9">
              <w:rPr>
                <w:rFonts w:ascii="Times New Roman" w:hAnsi="Times New Roman" w:cs="Times New Roman"/>
              </w:rPr>
              <w:tab/>
              <w:t xml:space="preserve">zakończeniu działań oraz przedstawia sprawozdanie z przeprowadzonych działań. </w:t>
            </w:r>
          </w:p>
          <w:p w14:paraId="1B5091B9" w14:textId="77777777" w:rsidR="003B5FE3" w:rsidRPr="00FB76A9" w:rsidRDefault="003B5FE3" w:rsidP="00FD5CD5">
            <w:pPr>
              <w:pStyle w:val="ZROZDZODDZOZNzmoznrozdzoddzartykuempunktem"/>
              <w:spacing w:line="240" w:lineRule="auto"/>
              <w:ind w:left="216"/>
              <w:jc w:val="left"/>
              <w:rPr>
                <w:rFonts w:ascii="Times New Roman" w:hAnsi="Times New Roman" w:cs="Times New Roman"/>
              </w:rPr>
            </w:pPr>
            <w:r w:rsidRPr="00FB76A9">
              <w:rPr>
                <w:rFonts w:ascii="Times New Roman" w:hAnsi="Times New Roman" w:cs="Times New Roman"/>
              </w:rPr>
              <w:t xml:space="preserve">12. Koszty działań związanych z usunięciem zagrożeń ponosi producent. </w:t>
            </w:r>
          </w:p>
          <w:p w14:paraId="7CF32931" w14:textId="77777777" w:rsidR="00801F27" w:rsidRPr="00FB76A9" w:rsidRDefault="003B5FE3" w:rsidP="00FD5CD5">
            <w:pPr>
              <w:pStyle w:val="ZARTzmartartykuempunktem"/>
              <w:spacing w:line="240" w:lineRule="auto"/>
              <w:ind w:left="216" w:firstLine="0"/>
              <w:jc w:val="left"/>
              <w:rPr>
                <w:rFonts w:ascii="Times New Roman" w:eastAsia="Times New Roman" w:hAnsi="Times New Roman" w:cs="Times New Roman"/>
                <w:szCs w:val="24"/>
              </w:rPr>
            </w:pPr>
            <w:r w:rsidRPr="00FB76A9">
              <w:rPr>
                <w:rFonts w:ascii="Times New Roman" w:hAnsi="Times New Roman" w:cs="Times New Roman"/>
                <w:szCs w:val="24"/>
              </w:rPr>
              <w:lastRenderedPageBreak/>
              <w:t>13. Obowiązki informacyjne importerów i dystrybutorów określone odpowiednio w rozporządzeniu 167/2013, rozporządzeniu 168/2013 albo rozporządzeniu 2018/858 dotyczą importerów i dystrybutorów pojazdów, przedmiotów wyposażenia lub części, które posiadają świadectwo krajowej homologacji typu pojazdu, tramwaju albo trolejbusu albo świadectwo homologacji typu ONZ.”</w:t>
            </w:r>
          </w:p>
        </w:tc>
        <w:tc>
          <w:tcPr>
            <w:tcW w:w="1675" w:type="dxa"/>
          </w:tcPr>
          <w:p w14:paraId="1780257A" w14:textId="77777777" w:rsidR="00801F27" w:rsidRPr="00FB76A9" w:rsidRDefault="00801F27" w:rsidP="00FD5CD5">
            <w:pPr>
              <w:spacing w:after="0" w:line="240" w:lineRule="auto"/>
              <w:rPr>
                <w:rFonts w:ascii="Times New Roman" w:eastAsia="Times New Roman" w:hAnsi="Times New Roman" w:cs="Times New Roman"/>
                <w:sz w:val="24"/>
                <w:szCs w:val="24"/>
                <w:lang w:eastAsia="pl-PL"/>
              </w:rPr>
            </w:pPr>
          </w:p>
        </w:tc>
      </w:tr>
      <w:tr w:rsidR="002A6DA0" w:rsidRPr="00FB76A9" w14:paraId="5C38F72B" w14:textId="77777777" w:rsidTr="004F1DD9">
        <w:trPr>
          <w:trHeight w:val="541"/>
        </w:trPr>
        <w:tc>
          <w:tcPr>
            <w:tcW w:w="988" w:type="dxa"/>
            <w:tcBorders>
              <w:top w:val="single" w:sz="4" w:space="0" w:color="auto"/>
              <w:left w:val="single" w:sz="4" w:space="0" w:color="auto"/>
              <w:bottom w:val="single" w:sz="4" w:space="0" w:color="auto"/>
              <w:right w:val="single" w:sz="4" w:space="0" w:color="auto"/>
            </w:tcBorders>
          </w:tcPr>
          <w:p w14:paraId="3CF22DDD" w14:textId="77777777" w:rsidR="002A6DA0" w:rsidRPr="00FB76A9" w:rsidRDefault="002A6DA0" w:rsidP="00FD5CD5">
            <w:pPr>
              <w:spacing w:after="0" w:line="240" w:lineRule="auto"/>
              <w:rPr>
                <w:rFonts w:ascii="Times New Roman" w:eastAsia="Times New Roman" w:hAnsi="Times New Roman" w:cs="Times New Roman"/>
                <w:b/>
                <w:sz w:val="24"/>
                <w:szCs w:val="24"/>
                <w:lang w:eastAsia="pl-PL"/>
              </w:rPr>
            </w:pPr>
            <w:r w:rsidRPr="004A6CA6">
              <w:rPr>
                <w:rFonts w:ascii="Times New Roman" w:eastAsia="Times New Roman" w:hAnsi="Times New Roman" w:cs="Times New Roman"/>
                <w:b/>
                <w:sz w:val="24"/>
                <w:szCs w:val="24"/>
                <w:lang w:eastAsia="pl-PL"/>
              </w:rPr>
              <w:lastRenderedPageBreak/>
              <w:t>Art. 53</w:t>
            </w:r>
          </w:p>
        </w:tc>
        <w:tc>
          <w:tcPr>
            <w:tcW w:w="5386" w:type="dxa"/>
            <w:gridSpan w:val="2"/>
            <w:tcBorders>
              <w:top w:val="single" w:sz="4" w:space="0" w:color="auto"/>
              <w:left w:val="single" w:sz="4" w:space="0" w:color="auto"/>
              <w:bottom w:val="single" w:sz="4" w:space="0" w:color="auto"/>
              <w:right w:val="single" w:sz="4" w:space="0" w:color="auto"/>
            </w:tcBorders>
          </w:tcPr>
          <w:p w14:paraId="31D63ED8" w14:textId="77777777" w:rsidR="002A6DA0" w:rsidRPr="002A6DA0" w:rsidRDefault="002A6DA0" w:rsidP="00FD5CD5">
            <w:pPr>
              <w:pStyle w:val="CM4"/>
            </w:pPr>
            <w:r w:rsidRPr="002A6DA0">
              <w:t>Artykuł 53</w:t>
            </w:r>
          </w:p>
          <w:p w14:paraId="0335A9DB" w14:textId="77777777" w:rsidR="002A6DA0" w:rsidRPr="002A6DA0" w:rsidRDefault="002A6DA0" w:rsidP="00FD5CD5">
            <w:pPr>
              <w:pStyle w:val="CM4"/>
            </w:pPr>
            <w:r w:rsidRPr="002A6DA0">
              <w:t>Środki naprawcze i ograniczające na poziomie unijnym</w:t>
            </w:r>
          </w:p>
          <w:p w14:paraId="3CC1F1AD" w14:textId="77777777" w:rsidR="002A6DA0" w:rsidRPr="002A6DA0" w:rsidRDefault="002A6DA0" w:rsidP="00FD5CD5">
            <w:pPr>
              <w:pStyle w:val="CM4"/>
            </w:pPr>
            <w:r w:rsidRPr="002A6DA0">
              <w:t>1. Państwo członkowskie, które przyjmuje środki naprawcze i ograniczające zgodnie z art. 52, niezwłocznie powiadamia Komisję i pozostałe państwa członkowskie za pomocą ICSMS. O swoich ustaleniach niezwłocznie informuje ono także organ udzielający homologacji, który udzielił danej homologacji.</w:t>
            </w:r>
          </w:p>
          <w:p w14:paraId="77615FC0" w14:textId="77777777" w:rsidR="002A6DA0" w:rsidRPr="002A6DA0" w:rsidRDefault="002A6DA0" w:rsidP="00FD5CD5">
            <w:pPr>
              <w:pStyle w:val="CM4"/>
            </w:pPr>
            <w:r w:rsidRPr="002A6DA0">
              <w:t>Przekazane informacje obejmują wszystkie dostępne szczegóły, w szczególności dane niezbędne do identyfikacji odnośnych pojazdów, układów, komponentów lub oddzielnych zespołów technicznych, informacje na temat ich pochodzenia, charakteru rzekomego braku zgodności i zagrożenia przez nie stwarzanego, rodzaju i okresu obowiązywania podjętych krajowych środków naprawczych i ograniczających, a także argumentów przedstawionych przez odnośny podmiot gospodarczy.</w:t>
            </w:r>
          </w:p>
          <w:p w14:paraId="6DA33ACA" w14:textId="77777777" w:rsidR="002A6DA0" w:rsidRPr="002A6DA0" w:rsidRDefault="002A6DA0" w:rsidP="00FD5CD5">
            <w:pPr>
              <w:rPr>
                <w:rFonts w:ascii="Times New Roman" w:hAnsi="Times New Roman" w:cs="Times New Roman"/>
                <w:sz w:val="24"/>
                <w:szCs w:val="24"/>
              </w:rPr>
            </w:pPr>
            <w:r w:rsidRPr="002A6DA0">
              <w:rPr>
                <w:rFonts w:ascii="Times New Roman" w:hAnsi="Times New Roman" w:cs="Times New Roman"/>
                <w:sz w:val="24"/>
                <w:szCs w:val="24"/>
              </w:rPr>
              <w:lastRenderedPageBreak/>
              <w:t>2. Państwo członkowskie, które podejmuje środki naprawcze lub ograniczające wskazuje także, czy zagrożenie lub brak zgodności wynikają z:</w:t>
            </w:r>
          </w:p>
          <w:p w14:paraId="2A1342E8" w14:textId="77777777" w:rsidR="002A6DA0" w:rsidRPr="002A6DA0" w:rsidRDefault="002A6DA0" w:rsidP="00FD5CD5">
            <w:pPr>
              <w:rPr>
                <w:rFonts w:ascii="Times New Roman" w:hAnsi="Times New Roman" w:cs="Times New Roman"/>
                <w:sz w:val="24"/>
                <w:szCs w:val="24"/>
              </w:rPr>
            </w:pPr>
            <w:r w:rsidRPr="002A6DA0">
              <w:rPr>
                <w:rFonts w:ascii="Times New Roman" w:hAnsi="Times New Roman" w:cs="Times New Roman"/>
                <w:sz w:val="24"/>
                <w:szCs w:val="24"/>
              </w:rPr>
              <w:t>a) niespełniania przez pojazdy, układy, komponenty lub oddzielne zespoły techniczne wymogów związanych ze zdrowiem lub bezpieczeństwem osób, ochroną środowiska lub innymi aspektami ochrony interesów publicznych objętymi zakresem niniejszego rozporządzenia; lub</w:t>
            </w:r>
          </w:p>
          <w:p w14:paraId="3FFA8AEF" w14:textId="77777777" w:rsidR="002A6DA0" w:rsidRPr="002A6DA0" w:rsidRDefault="002A6DA0" w:rsidP="00FD5CD5">
            <w:pPr>
              <w:rPr>
                <w:rFonts w:ascii="Times New Roman" w:hAnsi="Times New Roman" w:cs="Times New Roman"/>
                <w:sz w:val="24"/>
                <w:szCs w:val="24"/>
              </w:rPr>
            </w:pPr>
            <w:r w:rsidRPr="002A6DA0">
              <w:rPr>
                <w:rFonts w:ascii="Times New Roman" w:hAnsi="Times New Roman" w:cs="Times New Roman"/>
                <w:sz w:val="24"/>
                <w:szCs w:val="24"/>
              </w:rPr>
              <w:t>b) niedociągnięć w odpowiednich aktach prawnych wymienionych w załączniku II.</w:t>
            </w:r>
          </w:p>
          <w:p w14:paraId="09B0C5B3" w14:textId="77777777" w:rsidR="002A6DA0" w:rsidRPr="002A6DA0" w:rsidRDefault="002A6DA0" w:rsidP="00FD5CD5">
            <w:pPr>
              <w:rPr>
                <w:rFonts w:ascii="Times New Roman" w:hAnsi="Times New Roman" w:cs="Times New Roman"/>
                <w:sz w:val="24"/>
                <w:szCs w:val="24"/>
              </w:rPr>
            </w:pPr>
            <w:r w:rsidRPr="002A6DA0">
              <w:rPr>
                <w:rFonts w:ascii="Times New Roman" w:hAnsi="Times New Roman" w:cs="Times New Roman"/>
                <w:sz w:val="24"/>
                <w:szCs w:val="24"/>
              </w:rPr>
              <w:t>3. Państwo członkowskie, inne niż państwo członkowskie które podejmuje środki naprawcze lub ograniczające, w terminie jednego miesiąca od powiadomienia, o którym mowa w ust. 1, informują Komisję i pozostałe państwa członkowskie o wszystkich przyjętych środkach naprawczych lub ograniczających i przekazują wszelkie dodatkowe informacje, którymi dysponują, dotyczące braku zgodności danych pojazdów, układów, komponentów lub oddzielnych zespołów technicznych i zagrożenia przez nie stwarzanego, a także, w przypadku sprzeciwu wobec zgłoszonego środka krajowego, przedstawiają swoje zastrzeżenia.</w:t>
            </w:r>
          </w:p>
          <w:p w14:paraId="5D9D1375" w14:textId="77777777" w:rsidR="002A6DA0" w:rsidRPr="002A6DA0" w:rsidRDefault="002A6DA0" w:rsidP="00FD5CD5">
            <w:pPr>
              <w:rPr>
                <w:rFonts w:ascii="Times New Roman" w:hAnsi="Times New Roman" w:cs="Times New Roman"/>
                <w:sz w:val="24"/>
                <w:szCs w:val="24"/>
              </w:rPr>
            </w:pPr>
            <w:r w:rsidRPr="002A6DA0">
              <w:rPr>
                <w:rFonts w:ascii="Times New Roman" w:hAnsi="Times New Roman" w:cs="Times New Roman"/>
                <w:sz w:val="24"/>
                <w:szCs w:val="24"/>
              </w:rPr>
              <w:t xml:space="preserve">4. W przypadku gdy w terminie jednego miesiąca od powiadomienia, o którym mowa w ust. 1, inne państwo członkowskie ani Komisja nie zgłoszą sprzeciwu wobec zgłoszonego środka krajowego, </w:t>
            </w:r>
            <w:r w:rsidRPr="002A6DA0">
              <w:rPr>
                <w:rFonts w:ascii="Times New Roman" w:hAnsi="Times New Roman" w:cs="Times New Roman"/>
                <w:sz w:val="24"/>
                <w:szCs w:val="24"/>
              </w:rPr>
              <w:lastRenderedPageBreak/>
              <w:t xml:space="preserve">środek ten uznaje się za uzasadniony. Pozostałe państwa członkowskie zapewniają bezzwłoczne przyjęcie na swoim terytorium podobnych środków naprawczych lub ograniczających w odniesieniu do danych pojazdów, układów, komponentów lub oddzielnych zespołów technicznych. </w:t>
            </w:r>
          </w:p>
          <w:p w14:paraId="6E004884" w14:textId="77777777" w:rsidR="002A6DA0" w:rsidRPr="002A6DA0" w:rsidRDefault="002A6DA0" w:rsidP="00FD5CD5">
            <w:pPr>
              <w:rPr>
                <w:rFonts w:ascii="Times New Roman" w:hAnsi="Times New Roman" w:cs="Times New Roman"/>
                <w:sz w:val="24"/>
                <w:szCs w:val="24"/>
              </w:rPr>
            </w:pPr>
            <w:r w:rsidRPr="002A6DA0">
              <w:rPr>
                <w:rFonts w:ascii="Times New Roman" w:hAnsi="Times New Roman" w:cs="Times New Roman"/>
                <w:sz w:val="24"/>
                <w:szCs w:val="24"/>
              </w:rPr>
              <w:t xml:space="preserve">5. W przypadku gdy w terminie jednego miesiąca od powiadomienia, o którym mowa w ust. 1, jedno spośród pozostałych państw członkowskich albo Komisja zgłosi sprzeciw wobec zgłoszonego środka krajowego lub w przypadku gdy Komisja uzna zgłoszony środek krajowy za sprzeczny z prawem unijnym, Komisja niezwłocznie konsultuje się z odnośnymi państwami członkowskimi oraz z odpowiednim podmiotem gospodarczym lub odpowiednimi podmiotami gospodarczymi. </w:t>
            </w:r>
          </w:p>
          <w:p w14:paraId="1BEAE811" w14:textId="77777777" w:rsidR="002A6DA0" w:rsidRPr="002A6DA0" w:rsidRDefault="002A6DA0" w:rsidP="00FD5CD5">
            <w:pPr>
              <w:rPr>
                <w:rFonts w:ascii="Times New Roman" w:hAnsi="Times New Roman" w:cs="Times New Roman"/>
                <w:sz w:val="24"/>
                <w:szCs w:val="24"/>
              </w:rPr>
            </w:pPr>
            <w:r w:rsidRPr="002A6DA0">
              <w:rPr>
                <w:rFonts w:ascii="Times New Roman" w:hAnsi="Times New Roman" w:cs="Times New Roman"/>
                <w:sz w:val="24"/>
                <w:szCs w:val="24"/>
              </w:rPr>
              <w:t xml:space="preserve">Na podstawie konsultacji, o których mowa w akapicie pierwszym niniejszego ustępu, Komisja przyjmuje akty wykonawcze w celu podjęcia decyzji w sprawie zharmonizowanych środków naprawczych lub ograniczających na szczeblu unijnym. Te akty wykonawcze przyjmuje się zgodnie z procedurą sprawdzającą, o której mowa w art. 83 ust. 2. </w:t>
            </w:r>
          </w:p>
          <w:p w14:paraId="1DD58E3F" w14:textId="77777777" w:rsidR="002A6DA0" w:rsidRPr="002A6DA0" w:rsidRDefault="002A6DA0" w:rsidP="00FD5CD5">
            <w:pPr>
              <w:rPr>
                <w:rFonts w:ascii="Times New Roman" w:hAnsi="Times New Roman" w:cs="Times New Roman"/>
                <w:sz w:val="24"/>
                <w:szCs w:val="24"/>
              </w:rPr>
            </w:pPr>
            <w:r w:rsidRPr="002A6DA0">
              <w:rPr>
                <w:rFonts w:ascii="Times New Roman" w:hAnsi="Times New Roman" w:cs="Times New Roman"/>
                <w:sz w:val="24"/>
                <w:szCs w:val="24"/>
              </w:rPr>
              <w:t xml:space="preserve">Komisja kieruje swoje akty wykonawcze, o których mowa w akapicie drugim, do wszystkich państw członkowskich i niezwłocznie powiadamia o nich odpowiednie (jeden lub więcej) podmioty gospodarcze. Państwa członkowskie niezwłocznie </w:t>
            </w:r>
            <w:r w:rsidRPr="002A6DA0">
              <w:rPr>
                <w:rFonts w:ascii="Times New Roman" w:hAnsi="Times New Roman" w:cs="Times New Roman"/>
                <w:sz w:val="24"/>
                <w:szCs w:val="24"/>
              </w:rPr>
              <w:lastRenderedPageBreak/>
              <w:t xml:space="preserve">wdrażają te akty i odpowiednio informują o tym Komisję. </w:t>
            </w:r>
          </w:p>
          <w:p w14:paraId="24BED7F6" w14:textId="77777777" w:rsidR="002A6DA0" w:rsidRPr="002A6DA0" w:rsidRDefault="002A6DA0" w:rsidP="00FD5CD5">
            <w:pPr>
              <w:rPr>
                <w:rFonts w:ascii="Times New Roman" w:hAnsi="Times New Roman" w:cs="Times New Roman"/>
                <w:sz w:val="24"/>
                <w:szCs w:val="24"/>
              </w:rPr>
            </w:pPr>
            <w:r w:rsidRPr="002A6DA0">
              <w:rPr>
                <w:rFonts w:ascii="Times New Roman" w:hAnsi="Times New Roman" w:cs="Times New Roman"/>
                <w:sz w:val="24"/>
                <w:szCs w:val="24"/>
              </w:rPr>
              <w:t>Jeżeli Komisja uzna zgłoszony środek krajowy za niewystarczający, zainteresowane państwo członkowskie wycofuje lub dostosowuje środek zgodnie z decyzją Komisji, o której mowa w akapicie drugim.</w:t>
            </w:r>
          </w:p>
        </w:tc>
        <w:tc>
          <w:tcPr>
            <w:tcW w:w="851" w:type="dxa"/>
            <w:tcBorders>
              <w:top w:val="single" w:sz="4" w:space="0" w:color="auto"/>
              <w:left w:val="single" w:sz="4" w:space="0" w:color="auto"/>
              <w:bottom w:val="single" w:sz="4" w:space="0" w:color="auto"/>
              <w:right w:val="single" w:sz="4" w:space="0" w:color="auto"/>
            </w:tcBorders>
          </w:tcPr>
          <w:p w14:paraId="486FC060" w14:textId="77777777" w:rsidR="002A6DA0" w:rsidRPr="00FB76A9" w:rsidRDefault="002A6DA0" w:rsidP="00FD5CD5">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w:t>
            </w:r>
          </w:p>
        </w:tc>
        <w:tc>
          <w:tcPr>
            <w:tcW w:w="992" w:type="dxa"/>
            <w:tcBorders>
              <w:top w:val="single" w:sz="4" w:space="0" w:color="auto"/>
              <w:left w:val="single" w:sz="4" w:space="0" w:color="auto"/>
              <w:bottom w:val="single" w:sz="4" w:space="0" w:color="auto"/>
              <w:right w:val="single" w:sz="4" w:space="0" w:color="auto"/>
            </w:tcBorders>
          </w:tcPr>
          <w:p w14:paraId="0233EBB6" w14:textId="77777777" w:rsidR="002A6DA0" w:rsidRPr="00FB76A9" w:rsidRDefault="002A6DA0" w:rsidP="00FD5CD5">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 pkt 23</w:t>
            </w:r>
          </w:p>
        </w:tc>
        <w:tc>
          <w:tcPr>
            <w:tcW w:w="5103" w:type="dxa"/>
            <w:tcBorders>
              <w:top w:val="single" w:sz="4" w:space="0" w:color="auto"/>
              <w:left w:val="single" w:sz="4" w:space="0" w:color="auto"/>
              <w:bottom w:val="single" w:sz="4" w:space="0" w:color="auto"/>
              <w:right w:val="single" w:sz="4" w:space="0" w:color="auto"/>
            </w:tcBorders>
          </w:tcPr>
          <w:p w14:paraId="1CE64783" w14:textId="77777777" w:rsidR="002A6DA0" w:rsidRPr="002A6DA0" w:rsidRDefault="002A6DA0" w:rsidP="00FD5CD5">
            <w:pPr>
              <w:pStyle w:val="ZUSTzmustartykuempunktem"/>
              <w:spacing w:line="240" w:lineRule="auto"/>
              <w:ind w:left="0" w:firstLine="0"/>
              <w:jc w:val="left"/>
              <w:rPr>
                <w:rFonts w:ascii="Times New Roman" w:hAnsi="Times New Roman" w:cs="Times New Roman"/>
                <w:szCs w:val="24"/>
              </w:rPr>
            </w:pPr>
            <w:r w:rsidRPr="002A6DA0">
              <w:rPr>
                <w:rFonts w:ascii="Times New Roman" w:hAnsi="Times New Roman" w:cs="Times New Roman"/>
                <w:szCs w:val="24"/>
              </w:rPr>
              <w:t>„Rozdział 6</w:t>
            </w:r>
          </w:p>
          <w:p w14:paraId="49522E61" w14:textId="77777777" w:rsidR="002A6DA0" w:rsidRDefault="002A6DA0" w:rsidP="00FD5CD5">
            <w:pPr>
              <w:pStyle w:val="ZUSTzmustartykuempunktem"/>
              <w:spacing w:line="240" w:lineRule="auto"/>
              <w:ind w:left="0" w:firstLine="0"/>
              <w:jc w:val="left"/>
              <w:rPr>
                <w:rFonts w:ascii="Times New Roman" w:hAnsi="Times New Roman" w:cs="Times New Roman"/>
                <w:szCs w:val="24"/>
              </w:rPr>
            </w:pPr>
            <w:r w:rsidRPr="002A6DA0">
              <w:rPr>
                <w:rFonts w:ascii="Times New Roman" w:hAnsi="Times New Roman" w:cs="Times New Roman"/>
                <w:szCs w:val="24"/>
              </w:rPr>
              <w:t>Akcje serwisowe</w:t>
            </w:r>
          </w:p>
          <w:p w14:paraId="70CA1C26" w14:textId="77777777" w:rsidR="002A6DA0" w:rsidRPr="00FB76A9" w:rsidRDefault="00BC7ACD" w:rsidP="00FD5CD5">
            <w:pPr>
              <w:pStyle w:val="ZUSTzmustartykuempunktem"/>
              <w:spacing w:line="240" w:lineRule="auto"/>
              <w:ind w:left="0" w:firstLine="0"/>
              <w:jc w:val="left"/>
              <w:rPr>
                <w:rFonts w:ascii="Times New Roman" w:hAnsi="Times New Roman" w:cs="Times New Roman"/>
                <w:szCs w:val="24"/>
              </w:rPr>
            </w:pPr>
            <w:r w:rsidRPr="00BC7ACD">
              <w:rPr>
                <w:rFonts w:ascii="Times New Roman" w:hAnsi="Times New Roman" w:cs="Times New Roman"/>
                <w:szCs w:val="24"/>
              </w:rPr>
              <w:t>Art. 70.</w:t>
            </w:r>
            <w:r>
              <w:rPr>
                <w:rFonts w:ascii="Times New Roman" w:hAnsi="Times New Roman" w:cs="Times New Roman"/>
                <w:szCs w:val="24"/>
              </w:rPr>
              <w:t xml:space="preserve">2 </w:t>
            </w:r>
            <w:r w:rsidRPr="00BC7ACD">
              <w:rPr>
                <w:rFonts w:ascii="Times New Roman" w:hAnsi="Times New Roman" w:cs="Times New Roman"/>
                <w:szCs w:val="24"/>
              </w:rPr>
              <w:t>W przypadku stwierdzenia przez podmiot gospodarczy we wprowadzonym do obrotu pojeździe, przedmiocie wyposażenia lub części, o którym mowa w ust. 1, ryzyka lub poważnego ryzyka dla bezpieczeństwa, ochrony zdrowia i środowiska albo niezgodność pojazdu, przedmiotu wyposażenia lub części z wymaganiami technicznymi, podmiot ten jest obowiązany niezwłocznie powiadomić o tym Dyrektora TDT jako organ nadzoru rynku oraz podjąć działania zgodnie z przepisami rozdziału XII rozporządzenia 167/2013, rozdziału XII rozporządzenia 168/2013 lub rozdziału XI rozporządzenia 2018/858 – odpowiednio do kategorii pojazdu, przedmiotu wyposażenia lub części.</w:t>
            </w:r>
            <w:r>
              <w:rPr>
                <w:rFonts w:ascii="Times New Roman" w:hAnsi="Times New Roman" w:cs="Times New Roman"/>
                <w:szCs w:val="24"/>
              </w:rPr>
              <w:t>”</w:t>
            </w:r>
          </w:p>
        </w:tc>
        <w:tc>
          <w:tcPr>
            <w:tcW w:w="1675" w:type="dxa"/>
          </w:tcPr>
          <w:p w14:paraId="14A6C0A3" w14:textId="77777777" w:rsidR="002A6DA0" w:rsidRPr="00FB76A9" w:rsidRDefault="002A6DA0" w:rsidP="00FD5CD5">
            <w:pPr>
              <w:spacing w:after="0" w:line="240" w:lineRule="auto"/>
              <w:rPr>
                <w:rFonts w:ascii="Times New Roman" w:eastAsia="Times New Roman" w:hAnsi="Times New Roman" w:cs="Times New Roman"/>
                <w:sz w:val="24"/>
                <w:szCs w:val="24"/>
                <w:lang w:eastAsia="pl-PL"/>
              </w:rPr>
            </w:pPr>
          </w:p>
        </w:tc>
      </w:tr>
      <w:tr w:rsidR="005435E2" w:rsidRPr="00FB76A9" w14:paraId="00640403" w14:textId="77777777" w:rsidTr="004F1DD9">
        <w:trPr>
          <w:trHeight w:val="541"/>
        </w:trPr>
        <w:tc>
          <w:tcPr>
            <w:tcW w:w="988" w:type="dxa"/>
            <w:tcBorders>
              <w:top w:val="single" w:sz="4" w:space="0" w:color="auto"/>
              <w:left w:val="single" w:sz="4" w:space="0" w:color="auto"/>
              <w:bottom w:val="single" w:sz="4" w:space="0" w:color="auto"/>
              <w:right w:val="single" w:sz="4" w:space="0" w:color="auto"/>
            </w:tcBorders>
          </w:tcPr>
          <w:p w14:paraId="106F112E" w14:textId="77777777" w:rsidR="005435E2" w:rsidRPr="00FB76A9" w:rsidRDefault="006C28A3"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lastRenderedPageBreak/>
              <w:t xml:space="preserve">Art. 84 </w:t>
            </w:r>
          </w:p>
        </w:tc>
        <w:tc>
          <w:tcPr>
            <w:tcW w:w="5386" w:type="dxa"/>
            <w:gridSpan w:val="2"/>
            <w:tcBorders>
              <w:top w:val="single" w:sz="4" w:space="0" w:color="auto"/>
              <w:left w:val="single" w:sz="4" w:space="0" w:color="auto"/>
              <w:bottom w:val="single" w:sz="4" w:space="0" w:color="auto"/>
              <w:right w:val="single" w:sz="4" w:space="0" w:color="auto"/>
            </w:tcBorders>
          </w:tcPr>
          <w:p w14:paraId="0FF2BC0C" w14:textId="77777777" w:rsidR="006C28A3" w:rsidRPr="00FB76A9" w:rsidRDefault="006C28A3" w:rsidP="00FD5CD5">
            <w:pPr>
              <w:pStyle w:val="CM4"/>
            </w:pPr>
            <w:r w:rsidRPr="00FB76A9">
              <w:t xml:space="preserve">1. Państwa członkowskie ustanawiają </w:t>
            </w:r>
            <w:r w:rsidRPr="00FB76A9">
              <w:rPr>
                <w:u w:val="single"/>
              </w:rPr>
              <w:t>przepisy dotyczące sankcji</w:t>
            </w:r>
            <w:r w:rsidRPr="00FB76A9">
              <w:t xml:space="preserve"> za naruszenie przez podmioty gospodarcze i służby techniczne niniejszego rozporządzenia oraz wprowadzają wszelkie środki niezbędne do zapewnienia ich wdrożenia. Sankcje te muszą być skuteczne, proporcjonalne i odstraszające. W szczególności, sankcje te są proporcjonalne do powagi braku zgodności i liczby niezgodnych z wymogami pojazdów, układów, komponentów lub oddzielnych zespołów technicznych udostępnionych na rynku danego państwa członkowskiego. </w:t>
            </w:r>
            <w:r w:rsidR="00836411" w:rsidRPr="00FB76A9">
              <w:t>(…).</w:t>
            </w:r>
          </w:p>
          <w:p w14:paraId="6E24E3E2" w14:textId="77777777" w:rsidR="006C28A3" w:rsidRPr="00FB76A9" w:rsidRDefault="006C28A3" w:rsidP="00FD5CD5">
            <w:pPr>
              <w:pStyle w:val="CM4"/>
            </w:pPr>
            <w:r w:rsidRPr="00FB76A9">
              <w:t xml:space="preserve">2. Sankcjom podlegają przynajmniej następujące typy naruszeń przepisów przez podmioty gospodarcze i służby techniczne: </w:t>
            </w:r>
          </w:p>
          <w:p w14:paraId="184758E7" w14:textId="77777777" w:rsidR="005435E2" w:rsidRPr="00FB76A9" w:rsidRDefault="006C28A3" w:rsidP="00FD5CD5">
            <w:pPr>
              <w:spacing w:after="0" w:line="240" w:lineRule="auto"/>
              <w:rPr>
                <w:rFonts w:ascii="Times New Roman" w:hAnsi="Times New Roman" w:cs="Times New Roman"/>
                <w:sz w:val="24"/>
                <w:szCs w:val="24"/>
              </w:rPr>
            </w:pPr>
            <w:r w:rsidRPr="00FB76A9">
              <w:rPr>
                <w:rFonts w:ascii="Times New Roman" w:hAnsi="Times New Roman" w:cs="Times New Roman"/>
                <w:sz w:val="24"/>
                <w:szCs w:val="24"/>
              </w:rPr>
              <w:t>a) składanie fałszywych oświadczeń w trakcie procedur homologacyjnych lub podczas wprowadzania środków naprawczych lub ograniczających zgodnie z rozdziałem XI;</w:t>
            </w:r>
          </w:p>
          <w:p w14:paraId="042A5CE1" w14:textId="77777777" w:rsidR="006C28A3" w:rsidRPr="00FB76A9" w:rsidRDefault="006C28A3" w:rsidP="00FD5CD5">
            <w:pPr>
              <w:pStyle w:val="CM4"/>
            </w:pPr>
            <w:r w:rsidRPr="00FB76A9">
              <w:t xml:space="preserve">b) fałszowanie wyników badań w zakresie homologacji typu lub nadzoru rynku; </w:t>
            </w:r>
          </w:p>
          <w:p w14:paraId="6839D7BD" w14:textId="77777777" w:rsidR="006C28A3" w:rsidRPr="00FB76A9" w:rsidRDefault="006C28A3" w:rsidP="00FD5CD5">
            <w:pPr>
              <w:pStyle w:val="CM4"/>
            </w:pPr>
            <w:r w:rsidRPr="00FB76A9">
              <w:t xml:space="preserve">c) zatajanie danych lub specyfikacji technicznych, które mogłoby prowadzić do wycofania pojazdów, układów, komponentów i oddzielnych zespołów technicznych od użytkowników, lub do odmowy </w:t>
            </w:r>
            <w:r w:rsidRPr="00FB76A9">
              <w:lastRenderedPageBreak/>
              <w:t xml:space="preserve">wydania lub cofnięcia świadectwa homologacji typu UE; </w:t>
            </w:r>
          </w:p>
          <w:p w14:paraId="0E1649C0" w14:textId="77777777" w:rsidR="006C28A3" w:rsidRPr="00FB76A9" w:rsidRDefault="006C28A3" w:rsidP="00FD5CD5">
            <w:pPr>
              <w:pStyle w:val="CM4"/>
            </w:pPr>
            <w:r w:rsidRPr="00FB76A9">
              <w:t xml:space="preserve">d) niespełnianie przez służby techniczne wymogów w zakresie ich wyznaczenia. </w:t>
            </w:r>
          </w:p>
          <w:p w14:paraId="0818074C" w14:textId="77777777" w:rsidR="006C28A3" w:rsidRPr="00FB76A9" w:rsidRDefault="006C28A3" w:rsidP="00FD5CD5">
            <w:pPr>
              <w:spacing w:after="0" w:line="240" w:lineRule="auto"/>
              <w:rPr>
                <w:rFonts w:ascii="Times New Roman" w:hAnsi="Times New Roman" w:cs="Times New Roman"/>
                <w:sz w:val="24"/>
                <w:szCs w:val="24"/>
              </w:rPr>
            </w:pPr>
            <w:r w:rsidRPr="00FB76A9">
              <w:rPr>
                <w:rFonts w:ascii="Times New Roman" w:hAnsi="Times New Roman" w:cs="Times New Roman"/>
                <w:sz w:val="24"/>
                <w:szCs w:val="24"/>
              </w:rPr>
              <w:t>3. Oprócz typów naruszeń określonych w ust. 2, sankcjom podlegają również przynajmniej następujące typy naruszeń przepisów przez podmioty gospodarcze:</w:t>
            </w:r>
          </w:p>
          <w:p w14:paraId="1CDC9919" w14:textId="77777777" w:rsidR="006C28A3" w:rsidRPr="00FB76A9" w:rsidRDefault="006C28A3" w:rsidP="00FD5CD5">
            <w:pPr>
              <w:pStyle w:val="CM4"/>
            </w:pPr>
            <w:r w:rsidRPr="00FB76A9">
              <w:t xml:space="preserve">a) odmowa udzielenia dostępu do informacji; </w:t>
            </w:r>
          </w:p>
          <w:p w14:paraId="55EA072F" w14:textId="77777777" w:rsidR="006C28A3" w:rsidRPr="00FB76A9" w:rsidRDefault="006C28A3" w:rsidP="00FD5CD5">
            <w:pPr>
              <w:spacing w:after="0" w:line="240" w:lineRule="auto"/>
              <w:rPr>
                <w:rFonts w:ascii="Times New Roman" w:hAnsi="Times New Roman" w:cs="Times New Roman"/>
                <w:sz w:val="24"/>
                <w:szCs w:val="24"/>
              </w:rPr>
            </w:pPr>
            <w:r w:rsidRPr="00FB76A9">
              <w:rPr>
                <w:rFonts w:ascii="Times New Roman" w:hAnsi="Times New Roman" w:cs="Times New Roman"/>
                <w:sz w:val="24"/>
                <w:szCs w:val="24"/>
              </w:rPr>
              <w:t>b) udostępnianie na rynku pojazdów, układów, komponentów lub oddzielnych zespołów technicznych podlegających homologacji bez uzyskania takiej homologacji lub fałszowanie w tym celu dokumentów, świadectw zgodności, tabliczek znamionowych lub oznaczeń homologacji.</w:t>
            </w:r>
            <w:r w:rsidR="008B3EC8" w:rsidRPr="00FB76A9">
              <w:rPr>
                <w:rFonts w:ascii="Times New Roman" w:hAnsi="Times New Roman" w:cs="Times New Roman"/>
                <w:sz w:val="24"/>
                <w:szCs w:val="24"/>
              </w:rPr>
              <w:t>”</w:t>
            </w:r>
          </w:p>
          <w:p w14:paraId="0E226B45" w14:textId="77777777" w:rsidR="006C28A3" w:rsidRPr="00FB76A9" w:rsidRDefault="006C28A3" w:rsidP="00FD5CD5">
            <w:pPr>
              <w:spacing w:after="0" w:line="240" w:lineRule="auto"/>
              <w:rPr>
                <w:rFonts w:ascii="Times New Roman" w:eastAsia="Times New Roman" w:hAnsi="Times New Roman" w:cs="Times New Roman"/>
                <w:sz w:val="24"/>
                <w:szCs w:val="24"/>
                <w:lang w:eastAsia="pl-PL"/>
              </w:rPr>
            </w:pPr>
          </w:p>
        </w:tc>
        <w:tc>
          <w:tcPr>
            <w:tcW w:w="851" w:type="dxa"/>
            <w:tcBorders>
              <w:top w:val="single" w:sz="4" w:space="0" w:color="auto"/>
              <w:left w:val="single" w:sz="4" w:space="0" w:color="auto"/>
              <w:bottom w:val="single" w:sz="4" w:space="0" w:color="auto"/>
              <w:right w:val="single" w:sz="4" w:space="0" w:color="auto"/>
            </w:tcBorders>
          </w:tcPr>
          <w:p w14:paraId="5979FDB2" w14:textId="77777777" w:rsidR="005435E2" w:rsidRPr="00FB76A9" w:rsidRDefault="00EE3122"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lastRenderedPageBreak/>
              <w:t>T</w:t>
            </w:r>
          </w:p>
        </w:tc>
        <w:tc>
          <w:tcPr>
            <w:tcW w:w="992" w:type="dxa"/>
            <w:tcBorders>
              <w:top w:val="single" w:sz="4" w:space="0" w:color="auto"/>
              <w:left w:val="single" w:sz="4" w:space="0" w:color="auto"/>
              <w:bottom w:val="single" w:sz="4" w:space="0" w:color="auto"/>
              <w:right w:val="single" w:sz="4" w:space="0" w:color="auto"/>
            </w:tcBorders>
          </w:tcPr>
          <w:p w14:paraId="38068861" w14:textId="77777777" w:rsidR="007237BA" w:rsidRPr="00FB76A9" w:rsidRDefault="007237BA"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w:t>
            </w:r>
            <w:r w:rsidR="008052FA" w:rsidRPr="00FB76A9">
              <w:rPr>
                <w:rFonts w:ascii="Times New Roman" w:eastAsia="Times New Roman" w:hAnsi="Times New Roman" w:cs="Times New Roman"/>
                <w:sz w:val="24"/>
                <w:szCs w:val="24"/>
                <w:lang w:eastAsia="pl-PL"/>
              </w:rPr>
              <w:t>6-</w:t>
            </w:r>
            <w:r w:rsidR="00125345" w:rsidRPr="00FB76A9">
              <w:rPr>
                <w:rFonts w:ascii="Times New Roman" w:eastAsia="Times New Roman" w:hAnsi="Times New Roman" w:cs="Times New Roman"/>
                <w:sz w:val="24"/>
                <w:szCs w:val="24"/>
                <w:lang w:eastAsia="pl-PL"/>
              </w:rPr>
              <w:t>7</w:t>
            </w:r>
          </w:p>
          <w:p w14:paraId="6DAACE99" w14:textId="77777777" w:rsidR="007237BA" w:rsidRPr="00FB76A9" w:rsidRDefault="007237BA" w:rsidP="00FD5CD5">
            <w:pPr>
              <w:spacing w:after="0" w:line="240" w:lineRule="auto"/>
              <w:rPr>
                <w:rFonts w:ascii="Times New Roman" w:eastAsia="Times New Roman" w:hAnsi="Times New Roman" w:cs="Times New Roman"/>
                <w:sz w:val="24"/>
                <w:szCs w:val="24"/>
                <w:lang w:eastAsia="pl-PL"/>
              </w:rPr>
            </w:pPr>
          </w:p>
          <w:p w14:paraId="4CC4A9DC" w14:textId="77777777" w:rsidR="007237BA" w:rsidRPr="00FB76A9" w:rsidRDefault="007237BA" w:rsidP="00FD5CD5">
            <w:pPr>
              <w:spacing w:after="0" w:line="240" w:lineRule="auto"/>
              <w:rPr>
                <w:rFonts w:ascii="Times New Roman" w:eastAsia="Times New Roman" w:hAnsi="Times New Roman" w:cs="Times New Roman"/>
                <w:sz w:val="24"/>
                <w:szCs w:val="24"/>
                <w:lang w:eastAsia="pl-PL"/>
              </w:rPr>
            </w:pPr>
          </w:p>
          <w:p w14:paraId="2FB53484"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55AC6C64"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52C71A42"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3B473F54"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37553BD4"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5BE50456"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7BE44CA7"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005D94B7"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211ECF47"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3602A35F"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1E424DCD"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70AF8697"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18CB35E2"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46DEEFA6"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719C9742"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1F63A4A8"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4CB0873D"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2B411092"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7A25699B"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085164D6"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35960D3B"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58865FB5"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36128356"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7F45593F"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227DD261"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4FFC9CE4"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291BC5E0"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2982DD32"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1C6C9132"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0C0AF054"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1AB26CBB"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4A020DD6"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4BD9A4A8"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778E99AB"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34AA30C1"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001D2ADE"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7A023673" w14:textId="77777777" w:rsidR="0079299E" w:rsidRPr="00FB76A9" w:rsidRDefault="0079299E" w:rsidP="00FD5CD5">
            <w:pPr>
              <w:spacing w:after="0" w:line="240" w:lineRule="auto"/>
              <w:rPr>
                <w:rFonts w:ascii="Times New Roman" w:eastAsia="Times New Roman" w:hAnsi="Times New Roman" w:cs="Times New Roman"/>
                <w:sz w:val="24"/>
                <w:szCs w:val="24"/>
                <w:lang w:eastAsia="pl-PL"/>
              </w:rPr>
            </w:pPr>
          </w:p>
          <w:p w14:paraId="41EFD5A3" w14:textId="77777777" w:rsidR="009C317A" w:rsidRPr="00FB76A9" w:rsidRDefault="009C317A" w:rsidP="00FD5CD5">
            <w:pPr>
              <w:spacing w:after="0" w:line="240" w:lineRule="auto"/>
              <w:rPr>
                <w:rFonts w:ascii="Times New Roman" w:eastAsia="Times New Roman" w:hAnsi="Times New Roman" w:cs="Times New Roman"/>
                <w:sz w:val="24"/>
                <w:szCs w:val="24"/>
                <w:lang w:eastAsia="pl-PL"/>
              </w:rPr>
            </w:pPr>
          </w:p>
          <w:p w14:paraId="28E399D2" w14:textId="77777777" w:rsidR="009C317A" w:rsidRPr="00FB76A9" w:rsidRDefault="009C317A" w:rsidP="00FD5CD5">
            <w:pPr>
              <w:spacing w:after="0" w:line="240" w:lineRule="auto"/>
              <w:rPr>
                <w:rFonts w:ascii="Times New Roman" w:eastAsia="Times New Roman" w:hAnsi="Times New Roman" w:cs="Times New Roman"/>
                <w:sz w:val="24"/>
                <w:szCs w:val="24"/>
                <w:lang w:eastAsia="pl-PL"/>
              </w:rPr>
            </w:pPr>
          </w:p>
          <w:p w14:paraId="3E90CB55" w14:textId="77777777" w:rsidR="00F0600B" w:rsidRPr="00FB76A9" w:rsidRDefault="00F0600B" w:rsidP="00FD5CD5">
            <w:pPr>
              <w:spacing w:after="0" w:line="240" w:lineRule="auto"/>
              <w:rPr>
                <w:rFonts w:ascii="Times New Roman" w:eastAsia="Times New Roman" w:hAnsi="Times New Roman" w:cs="Times New Roman"/>
                <w:sz w:val="24"/>
                <w:szCs w:val="24"/>
                <w:lang w:eastAsia="pl-PL"/>
              </w:rPr>
            </w:pPr>
          </w:p>
          <w:p w14:paraId="53D53EA4" w14:textId="77777777" w:rsidR="00F0600B" w:rsidRPr="00FB76A9" w:rsidRDefault="00F0600B" w:rsidP="00FD5CD5">
            <w:pPr>
              <w:spacing w:after="0" w:line="240" w:lineRule="auto"/>
              <w:rPr>
                <w:rFonts w:ascii="Times New Roman" w:eastAsia="Times New Roman" w:hAnsi="Times New Roman" w:cs="Times New Roman"/>
                <w:sz w:val="24"/>
                <w:szCs w:val="24"/>
                <w:lang w:eastAsia="pl-PL"/>
              </w:rPr>
            </w:pPr>
          </w:p>
          <w:p w14:paraId="36D0ED59" w14:textId="77777777" w:rsidR="00C97B90" w:rsidRPr="00FB76A9" w:rsidRDefault="00C97B90" w:rsidP="00FD5CD5">
            <w:pPr>
              <w:spacing w:after="0" w:line="240" w:lineRule="auto"/>
              <w:rPr>
                <w:rFonts w:ascii="Times New Roman" w:eastAsia="Times New Roman" w:hAnsi="Times New Roman" w:cs="Times New Roman"/>
                <w:sz w:val="24"/>
                <w:szCs w:val="24"/>
                <w:lang w:eastAsia="pl-PL"/>
              </w:rPr>
            </w:pPr>
          </w:p>
          <w:p w14:paraId="082E4C06" w14:textId="77777777" w:rsidR="00C97B90" w:rsidRPr="00FB76A9" w:rsidRDefault="00C97B90" w:rsidP="00FD5CD5">
            <w:pPr>
              <w:spacing w:after="0" w:line="240" w:lineRule="auto"/>
              <w:rPr>
                <w:rFonts w:ascii="Times New Roman" w:eastAsia="Times New Roman" w:hAnsi="Times New Roman" w:cs="Times New Roman"/>
                <w:sz w:val="24"/>
                <w:szCs w:val="24"/>
                <w:lang w:eastAsia="pl-PL"/>
              </w:rPr>
            </w:pPr>
          </w:p>
          <w:p w14:paraId="732729BD" w14:textId="77777777" w:rsidR="00C97B90" w:rsidRPr="00FB76A9" w:rsidRDefault="00C97B90" w:rsidP="00FD5CD5">
            <w:pPr>
              <w:spacing w:after="0" w:line="240" w:lineRule="auto"/>
              <w:rPr>
                <w:rFonts w:ascii="Times New Roman" w:eastAsia="Times New Roman" w:hAnsi="Times New Roman" w:cs="Times New Roman"/>
                <w:sz w:val="24"/>
                <w:szCs w:val="24"/>
                <w:lang w:eastAsia="pl-PL"/>
              </w:rPr>
            </w:pPr>
          </w:p>
          <w:p w14:paraId="40793444" w14:textId="77777777" w:rsidR="00C97B90" w:rsidRPr="00FB76A9" w:rsidRDefault="00C97B90" w:rsidP="00FD5CD5">
            <w:pPr>
              <w:spacing w:after="0" w:line="240" w:lineRule="auto"/>
              <w:rPr>
                <w:rFonts w:ascii="Times New Roman" w:eastAsia="Times New Roman" w:hAnsi="Times New Roman" w:cs="Times New Roman"/>
                <w:sz w:val="24"/>
                <w:szCs w:val="24"/>
                <w:lang w:eastAsia="pl-PL"/>
              </w:rPr>
            </w:pPr>
          </w:p>
          <w:p w14:paraId="04D6F13E" w14:textId="77777777" w:rsidR="008052FA" w:rsidRPr="00FB76A9" w:rsidRDefault="008052FA" w:rsidP="00FD5CD5">
            <w:pPr>
              <w:spacing w:after="0" w:line="240" w:lineRule="auto"/>
              <w:rPr>
                <w:rFonts w:ascii="Times New Roman" w:eastAsia="Times New Roman" w:hAnsi="Times New Roman" w:cs="Times New Roman"/>
                <w:sz w:val="24"/>
                <w:szCs w:val="24"/>
                <w:lang w:eastAsia="pl-PL"/>
              </w:rPr>
            </w:pPr>
          </w:p>
          <w:p w14:paraId="44F19783" w14:textId="77777777" w:rsidR="008052FA" w:rsidRPr="00FB76A9" w:rsidRDefault="008052FA" w:rsidP="00FD5CD5">
            <w:pPr>
              <w:spacing w:after="0" w:line="240" w:lineRule="auto"/>
              <w:rPr>
                <w:rFonts w:ascii="Times New Roman" w:eastAsia="Times New Roman" w:hAnsi="Times New Roman" w:cs="Times New Roman"/>
                <w:sz w:val="24"/>
                <w:szCs w:val="24"/>
                <w:lang w:eastAsia="pl-PL"/>
              </w:rPr>
            </w:pPr>
          </w:p>
          <w:p w14:paraId="034E5B14" w14:textId="77777777" w:rsidR="008052FA" w:rsidRPr="00FB76A9" w:rsidRDefault="008052FA" w:rsidP="00FD5CD5">
            <w:pPr>
              <w:spacing w:after="0" w:line="240" w:lineRule="auto"/>
              <w:rPr>
                <w:rFonts w:ascii="Times New Roman" w:eastAsia="Times New Roman" w:hAnsi="Times New Roman" w:cs="Times New Roman"/>
                <w:sz w:val="24"/>
                <w:szCs w:val="24"/>
                <w:lang w:eastAsia="pl-PL"/>
              </w:rPr>
            </w:pPr>
          </w:p>
          <w:p w14:paraId="7008C39D" w14:textId="77777777" w:rsidR="008052FA" w:rsidRPr="00FB76A9" w:rsidRDefault="008052FA" w:rsidP="00FD5CD5">
            <w:pPr>
              <w:spacing w:after="0" w:line="240" w:lineRule="auto"/>
              <w:rPr>
                <w:rFonts w:ascii="Times New Roman" w:eastAsia="Times New Roman" w:hAnsi="Times New Roman" w:cs="Times New Roman"/>
                <w:sz w:val="24"/>
                <w:szCs w:val="24"/>
                <w:lang w:eastAsia="pl-PL"/>
              </w:rPr>
            </w:pPr>
          </w:p>
          <w:p w14:paraId="1B454478" w14:textId="77777777" w:rsidR="008052FA" w:rsidRPr="00FB76A9" w:rsidRDefault="008052FA" w:rsidP="00FD5CD5">
            <w:pPr>
              <w:spacing w:after="0" w:line="240" w:lineRule="auto"/>
              <w:rPr>
                <w:rFonts w:ascii="Times New Roman" w:eastAsia="Times New Roman" w:hAnsi="Times New Roman" w:cs="Times New Roman"/>
                <w:sz w:val="24"/>
                <w:szCs w:val="24"/>
                <w:lang w:eastAsia="pl-PL"/>
              </w:rPr>
            </w:pPr>
          </w:p>
          <w:p w14:paraId="4B605F53" w14:textId="77777777" w:rsidR="008052FA" w:rsidRPr="00FB76A9" w:rsidRDefault="008052FA" w:rsidP="00FD5CD5">
            <w:pPr>
              <w:spacing w:after="0" w:line="240" w:lineRule="auto"/>
              <w:rPr>
                <w:rFonts w:ascii="Times New Roman" w:eastAsia="Times New Roman" w:hAnsi="Times New Roman" w:cs="Times New Roman"/>
                <w:sz w:val="24"/>
                <w:szCs w:val="24"/>
                <w:lang w:eastAsia="pl-PL"/>
              </w:rPr>
            </w:pPr>
          </w:p>
          <w:p w14:paraId="4B35C1AD" w14:textId="77777777" w:rsidR="008052FA" w:rsidRPr="00FB76A9" w:rsidRDefault="008052FA" w:rsidP="00FD5CD5">
            <w:pPr>
              <w:spacing w:after="0" w:line="240" w:lineRule="auto"/>
              <w:rPr>
                <w:rFonts w:ascii="Times New Roman" w:eastAsia="Times New Roman" w:hAnsi="Times New Roman" w:cs="Times New Roman"/>
                <w:sz w:val="24"/>
                <w:szCs w:val="24"/>
                <w:lang w:eastAsia="pl-PL"/>
              </w:rPr>
            </w:pPr>
          </w:p>
          <w:p w14:paraId="6853F179" w14:textId="77777777" w:rsidR="008052FA" w:rsidRPr="00FB76A9" w:rsidRDefault="008052FA" w:rsidP="00FD5CD5">
            <w:pPr>
              <w:spacing w:after="0" w:line="240" w:lineRule="auto"/>
              <w:rPr>
                <w:rFonts w:ascii="Times New Roman" w:eastAsia="Times New Roman" w:hAnsi="Times New Roman" w:cs="Times New Roman"/>
                <w:sz w:val="24"/>
                <w:szCs w:val="24"/>
                <w:lang w:eastAsia="pl-PL"/>
              </w:rPr>
            </w:pPr>
          </w:p>
          <w:p w14:paraId="776390CF" w14:textId="77777777" w:rsidR="008052FA" w:rsidRPr="00FB76A9" w:rsidRDefault="008052FA" w:rsidP="00FD5CD5">
            <w:pPr>
              <w:spacing w:after="0" w:line="240" w:lineRule="auto"/>
              <w:rPr>
                <w:rFonts w:ascii="Times New Roman" w:eastAsia="Times New Roman" w:hAnsi="Times New Roman" w:cs="Times New Roman"/>
                <w:sz w:val="24"/>
                <w:szCs w:val="24"/>
                <w:lang w:eastAsia="pl-PL"/>
              </w:rPr>
            </w:pPr>
          </w:p>
          <w:p w14:paraId="41B75DF2" w14:textId="77777777" w:rsidR="008052FA" w:rsidRPr="00FB76A9" w:rsidRDefault="008052FA" w:rsidP="00FD5CD5">
            <w:pPr>
              <w:spacing w:after="0" w:line="240" w:lineRule="auto"/>
              <w:rPr>
                <w:rFonts w:ascii="Times New Roman" w:eastAsia="Times New Roman" w:hAnsi="Times New Roman" w:cs="Times New Roman"/>
                <w:sz w:val="24"/>
                <w:szCs w:val="24"/>
                <w:lang w:eastAsia="pl-PL"/>
              </w:rPr>
            </w:pPr>
          </w:p>
          <w:p w14:paraId="329BD36C" w14:textId="77777777" w:rsidR="008052FA" w:rsidRPr="00FB76A9" w:rsidRDefault="008052FA" w:rsidP="00FD5CD5">
            <w:pPr>
              <w:spacing w:after="0" w:line="240" w:lineRule="auto"/>
              <w:rPr>
                <w:rFonts w:ascii="Times New Roman" w:eastAsia="Times New Roman" w:hAnsi="Times New Roman" w:cs="Times New Roman"/>
                <w:sz w:val="24"/>
                <w:szCs w:val="24"/>
                <w:lang w:eastAsia="pl-PL"/>
              </w:rPr>
            </w:pPr>
          </w:p>
          <w:p w14:paraId="1F0AAD27" w14:textId="77777777" w:rsidR="008052FA" w:rsidRPr="00FB76A9" w:rsidRDefault="008052FA" w:rsidP="00FD5CD5">
            <w:pPr>
              <w:spacing w:after="0" w:line="240" w:lineRule="auto"/>
              <w:rPr>
                <w:rFonts w:ascii="Times New Roman" w:eastAsia="Times New Roman" w:hAnsi="Times New Roman" w:cs="Times New Roman"/>
                <w:sz w:val="24"/>
                <w:szCs w:val="24"/>
                <w:lang w:eastAsia="pl-PL"/>
              </w:rPr>
            </w:pPr>
          </w:p>
          <w:p w14:paraId="77A17F9D" w14:textId="77777777" w:rsidR="008052FA" w:rsidRPr="00FB76A9" w:rsidRDefault="008052FA" w:rsidP="00FD5CD5">
            <w:pPr>
              <w:spacing w:after="0" w:line="240" w:lineRule="auto"/>
              <w:rPr>
                <w:rFonts w:ascii="Times New Roman" w:eastAsia="Times New Roman" w:hAnsi="Times New Roman" w:cs="Times New Roman"/>
                <w:sz w:val="24"/>
                <w:szCs w:val="24"/>
                <w:lang w:eastAsia="pl-PL"/>
              </w:rPr>
            </w:pPr>
          </w:p>
          <w:p w14:paraId="09A9B10F" w14:textId="77777777" w:rsidR="008052FA" w:rsidRPr="00FB76A9" w:rsidRDefault="008052FA" w:rsidP="00FD5CD5">
            <w:pPr>
              <w:spacing w:after="0" w:line="240" w:lineRule="auto"/>
              <w:rPr>
                <w:rFonts w:ascii="Times New Roman" w:eastAsia="Times New Roman" w:hAnsi="Times New Roman" w:cs="Times New Roman"/>
                <w:sz w:val="24"/>
                <w:szCs w:val="24"/>
                <w:lang w:eastAsia="pl-PL"/>
              </w:rPr>
            </w:pPr>
          </w:p>
          <w:p w14:paraId="4DFA4C36" w14:textId="77777777" w:rsidR="008052FA" w:rsidRPr="00FB76A9" w:rsidRDefault="008052FA" w:rsidP="00FD5CD5">
            <w:pPr>
              <w:spacing w:after="0" w:line="240" w:lineRule="auto"/>
              <w:rPr>
                <w:rFonts w:ascii="Times New Roman" w:eastAsia="Times New Roman" w:hAnsi="Times New Roman" w:cs="Times New Roman"/>
                <w:sz w:val="24"/>
                <w:szCs w:val="24"/>
                <w:lang w:eastAsia="pl-PL"/>
              </w:rPr>
            </w:pPr>
          </w:p>
          <w:p w14:paraId="164AA390" w14:textId="77777777" w:rsidR="005435E2" w:rsidRPr="00FB76A9" w:rsidRDefault="006C28A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w:t>
            </w:r>
            <w:r w:rsidR="00836411" w:rsidRPr="00FB76A9">
              <w:rPr>
                <w:rFonts w:ascii="Times New Roman" w:eastAsia="Times New Roman" w:hAnsi="Times New Roman" w:cs="Times New Roman"/>
                <w:sz w:val="24"/>
                <w:szCs w:val="24"/>
                <w:lang w:eastAsia="pl-PL"/>
              </w:rPr>
              <w:t xml:space="preserve">1 pkt </w:t>
            </w:r>
            <w:r w:rsidR="008052FA" w:rsidRPr="00FB76A9">
              <w:rPr>
                <w:rFonts w:ascii="Times New Roman" w:eastAsia="Times New Roman" w:hAnsi="Times New Roman" w:cs="Times New Roman"/>
                <w:sz w:val="24"/>
                <w:szCs w:val="24"/>
                <w:lang w:eastAsia="pl-PL"/>
              </w:rPr>
              <w:t>24</w:t>
            </w:r>
            <w:r w:rsidR="00836411" w:rsidRPr="00FB76A9">
              <w:rPr>
                <w:rFonts w:ascii="Times New Roman" w:eastAsia="Times New Roman" w:hAnsi="Times New Roman" w:cs="Times New Roman"/>
                <w:sz w:val="24"/>
                <w:szCs w:val="24"/>
                <w:lang w:eastAsia="pl-PL"/>
              </w:rPr>
              <w:t xml:space="preserve"> </w:t>
            </w:r>
          </w:p>
        </w:tc>
        <w:tc>
          <w:tcPr>
            <w:tcW w:w="5103" w:type="dxa"/>
            <w:tcBorders>
              <w:top w:val="single" w:sz="4" w:space="0" w:color="auto"/>
              <w:left w:val="single" w:sz="4" w:space="0" w:color="auto"/>
              <w:bottom w:val="single" w:sz="4" w:space="0" w:color="auto"/>
              <w:right w:val="single" w:sz="4" w:space="0" w:color="auto"/>
            </w:tcBorders>
          </w:tcPr>
          <w:p w14:paraId="48718D06" w14:textId="77777777" w:rsidR="008052FA" w:rsidRPr="00FB76A9" w:rsidRDefault="008052FA"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lastRenderedPageBreak/>
              <w:t>„6) w art. 13 ust. 3 otrzymuje brzmienie:</w:t>
            </w:r>
          </w:p>
          <w:p w14:paraId="473C047C" w14:textId="77777777" w:rsidR="008052FA" w:rsidRPr="00FB76A9" w:rsidRDefault="00CF37BF" w:rsidP="00FD5CD5">
            <w:pPr>
              <w:pStyle w:val="ZUSTzmustartykuempunktem"/>
              <w:spacing w:line="240" w:lineRule="auto"/>
              <w:ind w:left="0"/>
              <w:jc w:val="left"/>
              <w:rPr>
                <w:rFonts w:ascii="Times New Roman" w:hAnsi="Times New Roman" w:cs="Times New Roman"/>
                <w:szCs w:val="24"/>
              </w:rPr>
            </w:pPr>
            <w:r w:rsidRPr="001F1A7B">
              <w:t>„3. Producent, przedstawiciel producenta, importer</w:t>
            </w:r>
            <w:r>
              <w:t xml:space="preserve"> </w:t>
            </w:r>
            <w:r w:rsidRPr="004A6CA6">
              <w:t>albo właściciel pojazdu, z</w:t>
            </w:r>
            <w:r w:rsidRPr="001F1A7B">
              <w:t> wyjątkiem tramwaju i trolejbusu, na którego typ producent nie uzyskał dokumentu, o którym mowa w ust. 1 pkt 1, jest obowiązany uzyskać, zgodnie z odpowiednio rozporządzeniem 167/2013, rozporządzeniem 168/2013, rozporządzeniem 2018/858 albo przepisami ustawy:</w:t>
            </w:r>
          </w:p>
          <w:p w14:paraId="6484D2B3" w14:textId="77777777" w:rsidR="008052FA" w:rsidRPr="00FB76A9" w:rsidRDefault="008052FA" w:rsidP="00FD5CD5">
            <w:pPr>
              <w:pStyle w:val="ZUSTzmustartykuempunktem"/>
              <w:spacing w:line="240" w:lineRule="auto"/>
              <w:ind w:left="0"/>
              <w:jc w:val="left"/>
              <w:rPr>
                <w:rFonts w:ascii="Times New Roman" w:hAnsi="Times New Roman" w:cs="Times New Roman"/>
                <w:szCs w:val="24"/>
              </w:rPr>
            </w:pPr>
            <w:r w:rsidRPr="00FB76A9">
              <w:rPr>
                <w:rFonts w:ascii="Times New Roman" w:hAnsi="Times New Roman" w:cs="Times New Roman"/>
                <w:szCs w:val="24"/>
              </w:rPr>
              <w:t>1)świadectwo krajowego indywidualnego dopuszczenia nowego pojazdu;</w:t>
            </w:r>
          </w:p>
          <w:p w14:paraId="56940C12" w14:textId="77777777" w:rsidR="008052FA" w:rsidRPr="00FB76A9" w:rsidRDefault="008052FA" w:rsidP="00FD5CD5">
            <w:pPr>
              <w:pStyle w:val="ZUSTzmustartykuempunktem"/>
              <w:spacing w:line="240" w:lineRule="auto"/>
              <w:ind w:left="0"/>
              <w:jc w:val="left"/>
              <w:rPr>
                <w:rFonts w:ascii="Times New Roman" w:hAnsi="Times New Roman" w:cs="Times New Roman"/>
                <w:szCs w:val="24"/>
              </w:rPr>
            </w:pPr>
            <w:r w:rsidRPr="00FB76A9">
              <w:rPr>
                <w:rFonts w:ascii="Times New Roman" w:hAnsi="Times New Roman" w:cs="Times New Roman"/>
                <w:szCs w:val="24"/>
              </w:rPr>
              <w:t>2)świadectwo krajowego indywidualnego dopuszczenia pojazdu niebędącego nowym pojazdem;</w:t>
            </w:r>
          </w:p>
          <w:p w14:paraId="089FEFBA" w14:textId="77777777" w:rsidR="008052FA" w:rsidRPr="00FB76A9" w:rsidRDefault="008052FA" w:rsidP="00FD5CD5">
            <w:pPr>
              <w:pStyle w:val="ZUSTzmustartykuempunktem"/>
              <w:spacing w:line="240" w:lineRule="auto"/>
              <w:ind w:left="0"/>
              <w:jc w:val="left"/>
              <w:rPr>
                <w:rFonts w:ascii="Times New Roman" w:hAnsi="Times New Roman" w:cs="Times New Roman"/>
                <w:szCs w:val="24"/>
              </w:rPr>
            </w:pPr>
            <w:r w:rsidRPr="00FB76A9">
              <w:rPr>
                <w:rFonts w:ascii="Times New Roman" w:hAnsi="Times New Roman" w:cs="Times New Roman"/>
                <w:szCs w:val="24"/>
              </w:rPr>
              <w:t>3)uznanie świadectwa krajowego indywidualnego dopuszczenia pojazdu wydanego zgodnie z art. 1 ust. 1 rozporządzenia 167/2013, art. 1 ust. 1 rozporządzenia 168/2013 albo art. 45 ust. 1 rozporządzenia 2018/858 przez właściwy organ innego niż Rzeczpospolita Polska państwa członkowskiego Unii Europejskiej albo</w:t>
            </w:r>
          </w:p>
          <w:p w14:paraId="7ABC563C" w14:textId="77777777" w:rsidR="008052FA" w:rsidRPr="00FB76A9" w:rsidRDefault="008052FA" w:rsidP="00FD5CD5">
            <w:pPr>
              <w:pStyle w:val="ZUSTzmustartykuempunktem"/>
              <w:spacing w:line="240" w:lineRule="auto"/>
              <w:ind w:firstLine="0"/>
              <w:jc w:val="left"/>
              <w:rPr>
                <w:rFonts w:ascii="Times New Roman" w:hAnsi="Times New Roman" w:cs="Times New Roman"/>
                <w:szCs w:val="24"/>
              </w:rPr>
            </w:pPr>
            <w:r w:rsidRPr="00FB76A9">
              <w:rPr>
                <w:rFonts w:ascii="Times New Roman" w:hAnsi="Times New Roman" w:cs="Times New Roman"/>
                <w:szCs w:val="24"/>
              </w:rPr>
              <w:t>4) świadectwo unijnego indywidualnego dopuszczenia pojazdu</w:t>
            </w:r>
          </w:p>
          <w:p w14:paraId="26452752" w14:textId="77777777" w:rsidR="008052FA" w:rsidRPr="00FB76A9" w:rsidRDefault="008052FA"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lastRenderedPageBreak/>
              <w:t>– które potwierdza spełnienie odpowiednich warunków lub wymagań technicznych określonych dla tego pojazdu.”</w:t>
            </w:r>
          </w:p>
          <w:p w14:paraId="46024171" w14:textId="77777777" w:rsidR="00C97B90" w:rsidRPr="00FB76A9" w:rsidRDefault="00C97B90" w:rsidP="00FD5CD5">
            <w:pPr>
              <w:pStyle w:val="ZUSTzmustartykuempunktem"/>
              <w:spacing w:line="240" w:lineRule="auto"/>
              <w:ind w:left="0" w:firstLine="0"/>
              <w:jc w:val="left"/>
              <w:rPr>
                <w:rFonts w:ascii="Times New Roman" w:hAnsi="Times New Roman" w:cs="Times New Roman"/>
                <w:szCs w:val="24"/>
              </w:rPr>
            </w:pPr>
          </w:p>
          <w:p w14:paraId="5F955EEB" w14:textId="77777777" w:rsidR="00C97B90" w:rsidRPr="00FB76A9" w:rsidRDefault="00EA3911"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w:t>
            </w:r>
            <w:r w:rsidR="00C97B90" w:rsidRPr="00FB76A9">
              <w:rPr>
                <w:rFonts w:ascii="Times New Roman" w:hAnsi="Times New Roman" w:cs="Times New Roman"/>
                <w:szCs w:val="24"/>
              </w:rPr>
              <w:t xml:space="preserve">7)  w art. 14 dodaje się ust. </w:t>
            </w:r>
            <w:r w:rsidR="00C97B90" w:rsidRPr="004A6CA6">
              <w:rPr>
                <w:rFonts w:ascii="Times New Roman" w:hAnsi="Times New Roman" w:cs="Times New Roman"/>
                <w:szCs w:val="24"/>
              </w:rPr>
              <w:t>4-</w:t>
            </w:r>
            <w:r w:rsidR="00A1246E" w:rsidRPr="004A6CA6">
              <w:rPr>
                <w:rFonts w:ascii="Times New Roman" w:hAnsi="Times New Roman" w:cs="Times New Roman"/>
                <w:szCs w:val="24"/>
              </w:rPr>
              <w:t>1</w:t>
            </w:r>
            <w:r w:rsidR="00BB7881" w:rsidRPr="004A6CA6">
              <w:rPr>
                <w:rFonts w:ascii="Times New Roman" w:hAnsi="Times New Roman" w:cs="Times New Roman"/>
                <w:szCs w:val="24"/>
              </w:rPr>
              <w:t>1</w:t>
            </w:r>
            <w:r w:rsidR="00C97B90" w:rsidRPr="004A6CA6">
              <w:rPr>
                <w:rFonts w:ascii="Times New Roman" w:hAnsi="Times New Roman" w:cs="Times New Roman"/>
                <w:szCs w:val="24"/>
              </w:rPr>
              <w:t xml:space="preserve"> w brzmieniu</w:t>
            </w:r>
            <w:r w:rsidR="00C97B90" w:rsidRPr="00FB76A9">
              <w:rPr>
                <w:rFonts w:ascii="Times New Roman" w:hAnsi="Times New Roman" w:cs="Times New Roman"/>
                <w:szCs w:val="24"/>
              </w:rPr>
              <w:t>:</w:t>
            </w:r>
          </w:p>
          <w:p w14:paraId="00675988" w14:textId="77777777" w:rsidR="00C97B90" w:rsidRPr="00FB76A9" w:rsidRDefault="00C97B90"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w:t>
            </w:r>
          </w:p>
          <w:p w14:paraId="17E26910" w14:textId="77777777" w:rsidR="0079299E" w:rsidRDefault="00C97B90"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4. Zakazuje się wprowadzania do obrotu pojazdu, przedmiotu wyposażenia lub części bez wymaganego odpowiedniego: świadectwa homologacji typu UE, świadectwa homologacji typu WE, świadectwa homologacji typu ONZ, świadectwa homologacji typu EKG ONZ, świadectwa krajowej homologacji typu pojazdu dla pojazdów kategorii: C, R, S, T4.1, T4.2, świadectwa krajowej homologacji typu tramwaju, świadectwa krajowej homologacji typu trolejbusu, świadectwa homologacji typu WE dla pojazdów produkowanych w małych seriach, świadectwa krajowej homologacji typu dla pojazdów produkowanych w małych seriach, uznania świadectwa krajowej homologacji typu pojazdów produkowanych w małych seriach wydanego przez właściwy organ innego niż Rzeczpospolita Polska państwa członkowskiego Unii Europejskiej, dopuszczenia jednostkowego pojazdu, dopuszczenia indywidualnego WE pojazdu, świadectwa krajowego indywidualnego dopuszczenia nowego pojazdu, świadectwa unijnego indywidualnego dopuszczenia pojazdu, uznania świadectwa krajowego indywidualnego dopuszczenia pojazdu wydanego dla nowego pojazdu zgodnie z art. 1 ust. 1 rozporządzenia </w:t>
            </w:r>
            <w:r w:rsidRPr="00FB76A9">
              <w:rPr>
                <w:rFonts w:ascii="Times New Roman" w:hAnsi="Times New Roman" w:cs="Times New Roman"/>
                <w:szCs w:val="24"/>
              </w:rPr>
              <w:lastRenderedPageBreak/>
              <w:t>167/2013, art. 1 ust. 1 rozporządzenia 168/2013 albo art. 45 ust. 1 rozporządzenia 2018/858 przez właściwy organ innego niż Rzeczpospolita Polska państwa członkowskiego Unii Europejskiej albo zezwolenia na wprowadzanie do obrotu przedmiotu wyposażenia lub części, które mogą stwarzać poważne zagrożenie dla właściwego funkcjonowania istotnych układów, z wyłączeniem art. 13 ust. 4 i art. 68b.”</w:t>
            </w:r>
          </w:p>
          <w:p w14:paraId="63E53632" w14:textId="77777777" w:rsidR="00C472E8" w:rsidRPr="00FB76A9" w:rsidRDefault="00C472E8" w:rsidP="00FD5CD5">
            <w:pPr>
              <w:pStyle w:val="ZUSTzmustartykuempunktem"/>
              <w:spacing w:line="240" w:lineRule="auto"/>
              <w:ind w:left="0" w:firstLine="0"/>
              <w:jc w:val="left"/>
              <w:rPr>
                <w:rFonts w:ascii="Times New Roman" w:hAnsi="Times New Roman" w:cs="Times New Roman"/>
                <w:szCs w:val="24"/>
              </w:rPr>
            </w:pPr>
          </w:p>
          <w:p w14:paraId="6B5D0AE3" w14:textId="77777777" w:rsidR="005435E2" w:rsidRPr="00FA7954" w:rsidRDefault="00D958D0" w:rsidP="00FD5CD5">
            <w:pPr>
              <w:pStyle w:val="ZROZDZODDZOZNzmoznrozdzoddzartykuempunktem"/>
              <w:spacing w:line="240" w:lineRule="auto"/>
              <w:ind w:left="0"/>
              <w:jc w:val="left"/>
              <w:rPr>
                <w:rFonts w:ascii="Times New Roman" w:hAnsi="Times New Roman" w:cs="Times New Roman"/>
              </w:rPr>
            </w:pPr>
            <w:r w:rsidRPr="00FA7954">
              <w:rPr>
                <w:rFonts w:ascii="Times New Roman" w:hAnsi="Times New Roman" w:cs="Times New Roman"/>
              </w:rPr>
              <w:t>Nowy r</w:t>
            </w:r>
            <w:r w:rsidR="00836411" w:rsidRPr="00FA7954">
              <w:rPr>
                <w:rFonts w:ascii="Times New Roman" w:hAnsi="Times New Roman" w:cs="Times New Roman"/>
              </w:rPr>
              <w:t xml:space="preserve">ozdział 6a </w:t>
            </w:r>
            <w:r w:rsidRPr="00FA7954">
              <w:rPr>
                <w:rFonts w:ascii="Times New Roman" w:hAnsi="Times New Roman" w:cs="Times New Roman"/>
              </w:rPr>
              <w:t>„</w:t>
            </w:r>
            <w:r w:rsidR="00836411" w:rsidRPr="00FA7954">
              <w:rPr>
                <w:rFonts w:ascii="Times New Roman" w:hAnsi="Times New Roman" w:cs="Times New Roman"/>
              </w:rPr>
              <w:t>Administracyjne kary pieniężne”</w:t>
            </w:r>
          </w:p>
          <w:p w14:paraId="6B779A01" w14:textId="77777777" w:rsidR="004A6CA6" w:rsidRPr="004A6CA6" w:rsidRDefault="00C472E8" w:rsidP="00FD5CD5">
            <w:pPr>
              <w:pStyle w:val="ZUSTzmustartykuempunktem"/>
              <w:spacing w:line="240" w:lineRule="auto"/>
              <w:ind w:firstLine="0"/>
              <w:jc w:val="left"/>
              <w:rPr>
                <w:rFonts w:ascii="Times New Roman" w:hAnsi="Times New Roman" w:cs="Times New Roman"/>
                <w:szCs w:val="24"/>
              </w:rPr>
            </w:pPr>
            <w:r>
              <w:rPr>
                <w:rFonts w:ascii="Times New Roman" w:hAnsi="Times New Roman" w:cs="Times New Roman"/>
                <w:szCs w:val="24"/>
              </w:rPr>
              <w:t>„</w:t>
            </w:r>
            <w:r w:rsidR="004A6CA6" w:rsidRPr="004A6CA6">
              <w:rPr>
                <w:rFonts w:ascii="Times New Roman" w:hAnsi="Times New Roman" w:cs="Times New Roman"/>
                <w:szCs w:val="24"/>
              </w:rPr>
              <w:t>Art. 71a. 1. Podmiot gospodarczy, który narusza zakaz, o którym mowa w art. 14 ust. 4 lub ust. 5, podlega administracyjnej karze pieniężnej do wysokości dwunastokrotności przeciętnego wynagrodzenia, o którym mowa w art. 68g ust. 4, ogłaszanego za czwarty kwartał roku poprzedzającego nałożenie kary, za każdy pojazd, przedmiot wyposażenia lub część, które wprowadził do obrotu.</w:t>
            </w:r>
          </w:p>
          <w:p w14:paraId="665BF5CC"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2. Podmiot gospodarczy, który narusza zakaz, o którym mowa w art. 14 ust. 6, podlega administracyjnej karze pieniężnej do wysokości dwukrotności przeciętnego wynagrodzenia, o którym mowa w art. 68g ust. 4, ogłaszanego za czwarty kwartał roku poprzedzającego nałożenie kary, za każdy rower, wózek rowerowy, hulajnogę elektrycznych lub urządzenie transportu osobistego. </w:t>
            </w:r>
          </w:p>
          <w:p w14:paraId="70F1806D"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lastRenderedPageBreak/>
              <w:t>3. Podmiot gospodarczy, który naruszył zakaz, o którym mowa w art. 14 ust. 7, podlega administracyjnej karze pieniężnej do wysokości jednokrotności przeciętnego wynagrodzenia, o którym mowa w art. 68g ust. 4, ogłaszanego za czwarty kwartał roku poprzedzającego nałożenie kary, za każdy montaż tej instalacji w pojeździe.</w:t>
            </w:r>
          </w:p>
          <w:p w14:paraId="7BD8D652"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4. Podmiot gospodarczy, który narusza zakaz, o którym mowa w art. 14 ust. 8, podlega administracyjnej karze pieniężnej do wysokości sześciokrotności przeciętnego wynagrodzenia, o którym mowa w art. 68g ust. 4, ogłaszanego za czwarty kwartał roku poprzedzającego nałożenie kary, za każdy pojazd, przedmiot wyposażenia lub część, w odniesieniu do którego naruszono zakaz. </w:t>
            </w:r>
          </w:p>
          <w:p w14:paraId="48A30A64"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5. Producent, który narusza zakaz, o którym mowa w art. 14 ust. 9, podlega administracyjnej karze pieniężnej do wysokości sześciokrotności przeciętnego wynagrodzenia, o którym mowa w art. 68g ust. 4, ogłaszanego za czwarty kwartał roku poprzedzającego nałożenie kary. </w:t>
            </w:r>
          </w:p>
          <w:p w14:paraId="31D268E2"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6. Podmiot gospodarczy oraz  niezależny podmiot, który narusza zakaz, o którym mowa w art. 14 ust. 10, podlega administracyjnej karze pieniężnej do wysokości sześciokrotności przeciętnego wynagrodzenia, o którym mowa w art. 68g ust. 4, ogłaszanego za czwarty kwartał roku poprzedzającego nałożenie kary. </w:t>
            </w:r>
          </w:p>
          <w:p w14:paraId="700E75AC"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lastRenderedPageBreak/>
              <w:t>7. Podmiot gospodarczy, który narusza zakaz, o którym mowa w art. 14 ust. 11, podlega administracyjnej karze pieniężnej do wysokości sześciokrotności przeciętnego wynagrodzenia, o którym mowa w art. 68g ust. 4, ogłaszanego za czwarty kwartał roku poprzedzającego nałożenie kary.</w:t>
            </w:r>
          </w:p>
          <w:p w14:paraId="75C543F0" w14:textId="77777777" w:rsidR="004A6CA6" w:rsidRPr="004A6CA6" w:rsidRDefault="00C472E8" w:rsidP="00FD5CD5">
            <w:pPr>
              <w:pStyle w:val="ZUSTzmustartykuempunktem"/>
              <w:spacing w:line="240" w:lineRule="auto"/>
              <w:ind w:left="0" w:firstLine="0"/>
              <w:jc w:val="left"/>
              <w:rPr>
                <w:rFonts w:ascii="Times New Roman" w:hAnsi="Times New Roman" w:cs="Times New Roman"/>
                <w:szCs w:val="24"/>
              </w:rPr>
            </w:pPr>
            <w:r>
              <w:rPr>
                <w:rFonts w:ascii="Times New Roman" w:hAnsi="Times New Roman" w:cs="Times New Roman"/>
                <w:szCs w:val="24"/>
              </w:rPr>
              <w:t xml:space="preserve">         </w:t>
            </w:r>
            <w:r w:rsidR="004A6CA6" w:rsidRPr="004A6CA6">
              <w:rPr>
                <w:rFonts w:ascii="Times New Roman" w:hAnsi="Times New Roman" w:cs="Times New Roman"/>
                <w:szCs w:val="24"/>
              </w:rPr>
              <w:t>Art. 71b. Podmiot gospodarczy, który:</w:t>
            </w:r>
          </w:p>
          <w:p w14:paraId="2BCC4327"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1)</w:t>
            </w:r>
            <w:r w:rsidRPr="004A6CA6">
              <w:rPr>
                <w:rFonts w:ascii="Times New Roman" w:hAnsi="Times New Roman" w:cs="Times New Roman"/>
                <w:szCs w:val="24"/>
              </w:rPr>
              <w:tab/>
              <w:t>nie wykonał decyzji, o której mowa w art. 68zj ust. 1, w zakresie, o którym mowa w art. 68zk ust. 1 pkt 1, podlega administracyjnej karze pieniężnej do wysokości dwukrotności przeciętnego wynagrodzenia, o którym mowa w art. 68g ust. 4, ogłaszanego za czwarty kwartał roku poprzedzającego nałożenie kary;</w:t>
            </w:r>
          </w:p>
          <w:p w14:paraId="5638F779"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2)</w:t>
            </w:r>
            <w:r w:rsidRPr="004A6CA6">
              <w:rPr>
                <w:rFonts w:ascii="Times New Roman" w:hAnsi="Times New Roman" w:cs="Times New Roman"/>
                <w:szCs w:val="24"/>
              </w:rPr>
              <w:tab/>
              <w:t>nie wykonał decyzji, o której mowa w art. 68zj ust. 1, w zakresie, o którym mowa w art. 68zk ust. 1 pkt 2, podlega administracyjnej karze pieniężnej w wysokości równoważnej ceny sprzedaży objętego decyzją pojazdu, przedmiotu wyposażenia lub części, roweru, wózka rowerowego, hulajnogi elektrycznej oraz urządzenia transportu osobistego, użytkownikowi końcowemu z faktury</w:t>
            </w:r>
            <w:r w:rsidR="00C32BF3">
              <w:rPr>
                <w:rFonts w:ascii="Times New Roman" w:hAnsi="Times New Roman" w:cs="Times New Roman"/>
                <w:szCs w:val="24"/>
              </w:rPr>
              <w:t xml:space="preserve"> </w:t>
            </w:r>
            <w:r w:rsidRPr="004A6CA6">
              <w:rPr>
                <w:rFonts w:ascii="Times New Roman" w:hAnsi="Times New Roman" w:cs="Times New Roman"/>
                <w:szCs w:val="24"/>
              </w:rPr>
              <w:t xml:space="preserve">lub rachunku; </w:t>
            </w:r>
          </w:p>
          <w:p w14:paraId="627AC1A9"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3)</w:t>
            </w:r>
            <w:r w:rsidRPr="004A6CA6">
              <w:rPr>
                <w:rFonts w:ascii="Times New Roman" w:hAnsi="Times New Roman" w:cs="Times New Roman"/>
                <w:szCs w:val="24"/>
              </w:rPr>
              <w:tab/>
              <w:t xml:space="preserve">ponownie udostępnił na rynku pojazd, przedmiot wyposażenia lub cześć, rower, wózek rowerowy, hulajnogę elektryczną oraz urządzenie transportu osobistego pomimo zakazu, o którym mowa </w:t>
            </w:r>
            <w:r w:rsidRPr="004A6CA6">
              <w:rPr>
                <w:rFonts w:ascii="Times New Roman" w:hAnsi="Times New Roman" w:cs="Times New Roman"/>
                <w:szCs w:val="24"/>
              </w:rPr>
              <w:lastRenderedPageBreak/>
              <w:t xml:space="preserve">w art. 14 ust. 11, podlega administracyjnej karze pieniężnej w wysokości równoważnej cenie sprzedaży pojazdu, przedmiotu wyposażenia lub części, roweru, wózka rowerowego, hulajnogi elektrycznej lub urządzenia transportu osobistego użytkownikowi końcowemu z faktury lub rachunku.  </w:t>
            </w:r>
          </w:p>
          <w:p w14:paraId="1A644F08" w14:textId="77777777" w:rsidR="004A6CA6" w:rsidRPr="004A6CA6" w:rsidRDefault="004A6CA6" w:rsidP="00FD5CD5">
            <w:pPr>
              <w:pStyle w:val="ZUSTzmustartykuempunktem"/>
              <w:spacing w:line="240" w:lineRule="auto"/>
              <w:ind w:firstLine="0"/>
              <w:jc w:val="left"/>
              <w:rPr>
                <w:rFonts w:ascii="Times New Roman" w:hAnsi="Times New Roman" w:cs="Times New Roman"/>
                <w:szCs w:val="24"/>
              </w:rPr>
            </w:pPr>
            <w:r w:rsidRPr="004A6CA6">
              <w:rPr>
                <w:rFonts w:ascii="Times New Roman" w:hAnsi="Times New Roman" w:cs="Times New Roman"/>
                <w:szCs w:val="24"/>
              </w:rPr>
              <w:t>Art. 71c. Podmiot gospodarczy, który wprowadził do obrotu pojazd, przedmiot wyposażenia lub część niezgodnie z wymaganiami określonymi w:</w:t>
            </w:r>
          </w:p>
          <w:p w14:paraId="1538A932"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1) </w:t>
            </w:r>
            <w:r w:rsidRPr="004A6CA6">
              <w:rPr>
                <w:rFonts w:ascii="Times New Roman" w:hAnsi="Times New Roman" w:cs="Times New Roman"/>
                <w:szCs w:val="24"/>
              </w:rPr>
              <w:tab/>
              <w:t>art. 27 ustawy,</w:t>
            </w:r>
          </w:p>
          <w:p w14:paraId="39BF9AFD"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2) </w:t>
            </w:r>
            <w:r w:rsidRPr="004A6CA6">
              <w:rPr>
                <w:rFonts w:ascii="Times New Roman" w:hAnsi="Times New Roman" w:cs="Times New Roman"/>
                <w:szCs w:val="24"/>
              </w:rPr>
              <w:tab/>
              <w:t>art. 33 i art. 34 rozporządzenia 167/2013,</w:t>
            </w:r>
          </w:p>
          <w:p w14:paraId="06A99BC1"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3) </w:t>
            </w:r>
            <w:r w:rsidRPr="004A6CA6">
              <w:rPr>
                <w:rFonts w:ascii="Times New Roman" w:hAnsi="Times New Roman" w:cs="Times New Roman"/>
                <w:szCs w:val="24"/>
              </w:rPr>
              <w:tab/>
              <w:t>art. 34, art. 38 i art. 39 rozporządzenia 168/2013,</w:t>
            </w:r>
          </w:p>
          <w:p w14:paraId="33C8E54D"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4) </w:t>
            </w:r>
            <w:r w:rsidRPr="004A6CA6">
              <w:rPr>
                <w:rFonts w:ascii="Times New Roman" w:hAnsi="Times New Roman" w:cs="Times New Roman"/>
                <w:szCs w:val="24"/>
              </w:rPr>
              <w:tab/>
              <w:t>art. 33, art. 36 i art. 38 rozporządzenia 2018/858,</w:t>
            </w:r>
          </w:p>
          <w:p w14:paraId="3D117890"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7) </w:t>
            </w:r>
            <w:r w:rsidRPr="004A6CA6">
              <w:rPr>
                <w:rFonts w:ascii="Times New Roman" w:hAnsi="Times New Roman" w:cs="Times New Roman"/>
                <w:szCs w:val="24"/>
              </w:rPr>
              <w:tab/>
              <w:t>art. 4 i art. 5 rozporządzenia (WE) nr 715/2007 Parlamentu Europejskiego i Rady z dnia 20 czerwca 2007 r. w sprawie homologacji typu pojazdów silnikowych w odniesieniu do emisji zanieczyszczeń pochodzących z lekkich pojazdów pasażerskich i użytkowych (Euro 5 i Euro 6) oraz w sprawie dostępu do informacji dotyczących naprawy i utrzymania pojazdów (Dz. Urz. UE L 171 z 29.06.2007, str. 1, z późn. zm. )), zwanego dalej „rozporządzeniem 715/2007”,</w:t>
            </w:r>
          </w:p>
          <w:p w14:paraId="624B11FD"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lastRenderedPageBreak/>
              <w:t xml:space="preserve">8) </w:t>
            </w:r>
            <w:r w:rsidRPr="004A6CA6">
              <w:rPr>
                <w:rFonts w:ascii="Times New Roman" w:hAnsi="Times New Roman" w:cs="Times New Roman"/>
                <w:szCs w:val="24"/>
              </w:rPr>
              <w:tab/>
              <w:t>art. 4–11 rozporządzenia Parlamentu Europejskiego i Rady (UE) 2019/2144 z dnia 27 listopada 2019 r. w sprawie wymogów dotyczących homologacji typu pojazdów silnikowych i ich przyczep oraz układów, komponentów i oddzielnych zespołów technicznych przeznaczonych do tych pojazdów, w odniesieniu do ich ogólnego bezpieczeństwa oraz ochrony osób znajdujących się w pojeździe i niechronionych uczestników ruchu drogowego, zmieniającego rozporządzenie Parlamentu Europejskiego i Rady (UE) 2018/858 oraz uchylającego rozporządzenia Parlamentu Europejskiego i Rady (WE) nr 78/2009, (WE) nr 79/2009 i (WE) nr 661/2009 oraz rozporządzenia Komisji (WE) nr 631/2009, (UE) nr 406/2010, (UE) nr 672/2010, (UE) nr 1003/2010, (UE) nr 1005/2010, (UE) nr 1008/2010, (UE) nr 1009/2010, (UE) nr 19/2011, (UE) nr 109/2011, (UE) nr 458/2011, (UE) nr 65/2012, (UE) nr 130/2012, (UE) nr 347/2012, (UE) nr 351/2012, (UE) nr 1230/2012 i (UE) 2015/166 (Dz. Urz. UE L 325 z 16.12.2019, str. 1, z późn. zm.), zwanego dalej „rozporządzeniem 2019/2144”,</w:t>
            </w:r>
          </w:p>
          <w:p w14:paraId="74FE0367"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10)</w:t>
            </w:r>
            <w:r w:rsidRPr="004A6CA6">
              <w:rPr>
                <w:rFonts w:ascii="Times New Roman" w:hAnsi="Times New Roman" w:cs="Times New Roman"/>
                <w:szCs w:val="24"/>
              </w:rPr>
              <w:tab/>
              <w:t xml:space="preserve"> art. 4, art. 5, art. 5a i art. 7 rozporządzenia Parlamentu Europejskiego i Rady (WE) nr 595/2009 z dnia 18 czerwca 2009 r. dotyczącego homologacji typu pojazdów silnikowych i silników w </w:t>
            </w:r>
            <w:r w:rsidRPr="004A6CA6">
              <w:rPr>
                <w:rFonts w:ascii="Times New Roman" w:hAnsi="Times New Roman" w:cs="Times New Roman"/>
                <w:szCs w:val="24"/>
              </w:rPr>
              <w:lastRenderedPageBreak/>
              <w:t>odniesieniu do emisji zanieczyszczeń pochodzących z pojazdów ciężarowych o dużej ładowności (Euro VI) i zmieniającego rozporządzenie (WE) nr 715/2007 i dyrektywę 2007/46/WE oraz uchylającego dyrektywy 80/1269/EWG, 2005/55/WE i 2005/78/WE (Dz. Urz. UE L 188 z 18.07.2009, str. 1, z późn. zm. )), zwanego dalej „rozporządzeniem 595/2009”,</w:t>
            </w:r>
          </w:p>
          <w:p w14:paraId="4FD58738"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11) </w:t>
            </w:r>
            <w:r w:rsidRPr="004A6CA6">
              <w:rPr>
                <w:rFonts w:ascii="Times New Roman" w:hAnsi="Times New Roman" w:cs="Times New Roman"/>
                <w:szCs w:val="24"/>
              </w:rPr>
              <w:tab/>
              <w:t>art. 5–8 rozporządzenia Parlamentu Europejskiego i Rady (UE) nr 540/2014 z dnia 16 kwietnia 2014 r. w sprawie poziomu dźwięku pojazdów silnikowych i zamiennych układów tłumiących oraz zmieniającego dyrektywę 2007/46/WE i uchylającego dyrektywę 70/157/EWG (Dz. Urz. UE L 158 z 27.05.2014, str. 131, z późn. zm. )), zwanego dalej „rozporządzeniem 540/2014”,</w:t>
            </w:r>
          </w:p>
          <w:p w14:paraId="4DB15279"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12) </w:t>
            </w:r>
            <w:r w:rsidRPr="004A6CA6">
              <w:rPr>
                <w:rFonts w:ascii="Times New Roman" w:hAnsi="Times New Roman" w:cs="Times New Roman"/>
                <w:szCs w:val="24"/>
              </w:rPr>
              <w:tab/>
              <w:t>art. 4–9, art. 12 oraz art. 14</w:t>
            </w:r>
            <w:r w:rsidR="00804F0D">
              <w:rPr>
                <w:rFonts w:ascii="Times New Roman" w:hAnsi="Times New Roman" w:cs="Times New Roman"/>
                <w:szCs w:val="24"/>
              </w:rPr>
              <w:t xml:space="preserve"> ust. 1</w:t>
            </w:r>
            <w:r w:rsidRPr="004A6CA6">
              <w:rPr>
                <w:rFonts w:ascii="Times New Roman" w:hAnsi="Times New Roman" w:cs="Times New Roman"/>
                <w:szCs w:val="24"/>
              </w:rPr>
              <w:t xml:space="preserve"> rozporządzenia 2024/1257,</w:t>
            </w:r>
          </w:p>
          <w:p w14:paraId="26B5D1B6"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13) </w:t>
            </w:r>
            <w:r w:rsidRPr="004A6CA6">
              <w:rPr>
                <w:rFonts w:ascii="Times New Roman" w:hAnsi="Times New Roman" w:cs="Times New Roman"/>
                <w:szCs w:val="24"/>
              </w:rPr>
              <w:tab/>
              <w:t>regulaminów ONZ</w:t>
            </w:r>
          </w:p>
          <w:p w14:paraId="283B0038"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 podlega administracyjnej karze pieniężnej do wysokości dwunastokrotności przeciętnego wynagrodzenia, o którym mowa w art. 68g ust. 4, ogłaszanego za czwarty kwartał roku poprzedzającego nałożenie kary, za każdy pojazd, przedmiot wyposażenia lub część, które wprowadził do obrotu. </w:t>
            </w:r>
          </w:p>
          <w:p w14:paraId="7A843AA8" w14:textId="77777777" w:rsidR="004A6CA6" w:rsidRPr="004A6CA6" w:rsidRDefault="004A6CA6" w:rsidP="00FD5CD5">
            <w:pPr>
              <w:pStyle w:val="ZUSTzmustartykuempunktem"/>
              <w:spacing w:line="240" w:lineRule="auto"/>
              <w:ind w:firstLine="0"/>
              <w:jc w:val="left"/>
              <w:rPr>
                <w:rFonts w:ascii="Times New Roman" w:hAnsi="Times New Roman" w:cs="Times New Roman"/>
                <w:szCs w:val="24"/>
              </w:rPr>
            </w:pPr>
            <w:r w:rsidRPr="004A6CA6">
              <w:rPr>
                <w:rFonts w:ascii="Times New Roman" w:hAnsi="Times New Roman" w:cs="Times New Roman"/>
                <w:szCs w:val="24"/>
              </w:rPr>
              <w:t xml:space="preserve">Art. 71d. Podmiot,  który naruszył obowiązek powiadomienia, o którym mowa w art. 28 ust. 1, art. 38 ust. 1, art. 51 ust. 1, art. 68zk ust. 5 lub 11, art. 70 ust. 2 i art. 71 ust. 2, podlega </w:t>
            </w:r>
            <w:r w:rsidRPr="004A6CA6">
              <w:rPr>
                <w:rFonts w:ascii="Times New Roman" w:hAnsi="Times New Roman" w:cs="Times New Roman"/>
                <w:szCs w:val="24"/>
              </w:rPr>
              <w:lastRenderedPageBreak/>
              <w:t>administracyjnej karze pieniężnej do wysokości dwukrotności przeciętnego wynagrodzenia, o którym mowa w art. 68g ust. 4, ogłaszanego za czwarty kwartał roku poprzedzającego nałożenie kary, za każdy przypadek braku powiadomienia.</w:t>
            </w:r>
          </w:p>
          <w:p w14:paraId="3DCB48D3" w14:textId="77777777" w:rsidR="004A6CA6" w:rsidRPr="004A6CA6" w:rsidRDefault="004A6CA6" w:rsidP="00FD5CD5">
            <w:pPr>
              <w:pStyle w:val="ZUSTzmustartykuempunktem"/>
              <w:spacing w:line="240" w:lineRule="auto"/>
              <w:ind w:firstLine="0"/>
              <w:jc w:val="left"/>
              <w:rPr>
                <w:rFonts w:ascii="Times New Roman" w:hAnsi="Times New Roman" w:cs="Times New Roman"/>
                <w:szCs w:val="24"/>
              </w:rPr>
            </w:pPr>
            <w:r w:rsidRPr="004A6CA6">
              <w:rPr>
                <w:rFonts w:ascii="Times New Roman" w:hAnsi="Times New Roman" w:cs="Times New Roman"/>
                <w:szCs w:val="24"/>
              </w:rPr>
              <w:t xml:space="preserve">Art. 71e. Producent, który naruszył obowiązek, o którym mowa w art. 49, podlega administracyjnej karze pieniężnej do wysokości półkrotności przeciętnego wynagrodzenia, o którym mowa w art. 68g ust. 4, ogłaszanego za czwarty kwartał roku poprzedzającego nałożenie kary, za każdy przypadek naruszenia obowiązku. </w:t>
            </w:r>
          </w:p>
          <w:p w14:paraId="3AB5A1FE" w14:textId="77777777" w:rsidR="004A6CA6" w:rsidRPr="004A6CA6" w:rsidRDefault="004A6CA6" w:rsidP="00FD5CD5">
            <w:pPr>
              <w:pStyle w:val="ZUSTzmustartykuempunktem"/>
              <w:spacing w:line="240" w:lineRule="auto"/>
              <w:ind w:firstLine="0"/>
              <w:jc w:val="left"/>
              <w:rPr>
                <w:rFonts w:ascii="Times New Roman" w:hAnsi="Times New Roman" w:cs="Times New Roman"/>
                <w:szCs w:val="24"/>
              </w:rPr>
            </w:pPr>
            <w:r w:rsidRPr="004A6CA6">
              <w:rPr>
                <w:rFonts w:ascii="Times New Roman" w:hAnsi="Times New Roman" w:cs="Times New Roman"/>
                <w:szCs w:val="24"/>
              </w:rPr>
              <w:t xml:space="preserve">Art. 71f. Podmiot gospodarczy, który naruszył obowiązki, o których mowa w art. 53a, podlega administracyjnej karze pieniężnej, w wysokości równoważnej cenie sprzedaży pojazdu, przedmiotu wyposażenia lub części, roweru, wózka rowerowego, hulajnogi elektrycznej lub urządzenia transportu osobistego, użytkownikowi końcowemu z faktury lub rachunku. </w:t>
            </w:r>
          </w:p>
          <w:p w14:paraId="651450DB" w14:textId="77777777" w:rsidR="004A6CA6" w:rsidRPr="004A6CA6" w:rsidRDefault="004A6CA6" w:rsidP="00FD5CD5">
            <w:pPr>
              <w:pStyle w:val="ZUSTzmustartykuempunktem"/>
              <w:spacing w:line="240" w:lineRule="auto"/>
              <w:ind w:firstLine="0"/>
              <w:jc w:val="left"/>
              <w:rPr>
                <w:rFonts w:ascii="Times New Roman" w:hAnsi="Times New Roman" w:cs="Times New Roman"/>
                <w:szCs w:val="24"/>
              </w:rPr>
            </w:pPr>
            <w:r w:rsidRPr="004A6CA6">
              <w:rPr>
                <w:rFonts w:ascii="Times New Roman" w:hAnsi="Times New Roman" w:cs="Times New Roman"/>
                <w:szCs w:val="24"/>
              </w:rPr>
              <w:t>Art. 71g. Producent, który naruszył obowiązki w zakresie:</w:t>
            </w:r>
          </w:p>
          <w:p w14:paraId="576EDB9E"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1)</w:t>
            </w:r>
            <w:r w:rsidRPr="004A6CA6">
              <w:rPr>
                <w:rFonts w:ascii="Times New Roman" w:hAnsi="Times New Roman" w:cs="Times New Roman"/>
                <w:szCs w:val="24"/>
              </w:rPr>
              <w:tab/>
              <w:t>wyznaczenia przedstawiciela mającego siedzibę w Unii Europejskiej do celu reprezentowania przed Dyrektorem TDT, gdy producent pojazdów, przedmiotów wyposażenia lub części ma siedzibę poza Unią Europejską,</w:t>
            </w:r>
          </w:p>
          <w:p w14:paraId="52EC121E"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lastRenderedPageBreak/>
              <w:t>2)</w:t>
            </w:r>
            <w:r w:rsidRPr="004A6CA6">
              <w:rPr>
                <w:rFonts w:ascii="Times New Roman" w:hAnsi="Times New Roman" w:cs="Times New Roman"/>
                <w:szCs w:val="24"/>
              </w:rPr>
              <w:tab/>
              <w:t>podania nazwy, zarejestrowanej nazwy handlowej lub zarejestrowanego znaku towarowego oraz adresu w Unii Europejskiej na pojazdach, przedmiotach wyposażenia lub częściach udostępnionych na rynku albo na opakowaniu lub w dokumencie dołączonym do danego przedmiotu wyposażenia lub części</w:t>
            </w:r>
          </w:p>
          <w:p w14:paraId="457FDAF2"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podlega administracyjnej karze pieniężnej do wysokości dwukrotności przeciętnego wynagrodzenia, o którym mowa w art. 68g ust. 4, ogłaszanego za czwarty kwartał roku poprzedzającego nałożenie kary, za każdy przypadek naruszenia obowiązku.</w:t>
            </w:r>
          </w:p>
          <w:p w14:paraId="54FF4BC8" w14:textId="77777777" w:rsidR="004A6CA6" w:rsidRPr="004A6CA6" w:rsidRDefault="004A6CA6" w:rsidP="00FD5CD5">
            <w:pPr>
              <w:pStyle w:val="ZUSTzmustartykuempunktem"/>
              <w:spacing w:line="240" w:lineRule="auto"/>
              <w:ind w:firstLine="0"/>
              <w:jc w:val="left"/>
              <w:rPr>
                <w:rFonts w:ascii="Times New Roman" w:hAnsi="Times New Roman" w:cs="Times New Roman"/>
                <w:szCs w:val="24"/>
              </w:rPr>
            </w:pPr>
            <w:r w:rsidRPr="004A6CA6">
              <w:rPr>
                <w:rFonts w:ascii="Times New Roman" w:hAnsi="Times New Roman" w:cs="Times New Roman"/>
                <w:szCs w:val="24"/>
              </w:rPr>
              <w:t xml:space="preserve">Art. 71h. Podmiot gospodarczy, który wbrew obowiązkowi lub na żądanie Dyrektora TDT nie udostępnia informacji i dokumentacji niezbędnych do wykonywania zadań realizowanych przez Dyrektora TDT w przypadkach, o których mowa w: </w:t>
            </w:r>
          </w:p>
          <w:p w14:paraId="610B17A3"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1) </w:t>
            </w:r>
            <w:r w:rsidRPr="004A6CA6">
              <w:rPr>
                <w:rFonts w:ascii="Times New Roman" w:hAnsi="Times New Roman" w:cs="Times New Roman"/>
                <w:szCs w:val="24"/>
              </w:rPr>
              <w:tab/>
              <w:t>art. 9 ust. 1, 2 i 4, art. 11 ust. 3, art. 12 ust. 2–4, art. 14 ust. 3 i 4, art. 29 ust. 1, art. 32 ust. 4 i 5 oraz art. 47 ust. 1–3 rozporządzenia 167/2013,</w:t>
            </w:r>
          </w:p>
          <w:p w14:paraId="0196BC35"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2) </w:t>
            </w:r>
            <w:r w:rsidRPr="004A6CA6">
              <w:rPr>
                <w:rFonts w:ascii="Times New Roman" w:hAnsi="Times New Roman" w:cs="Times New Roman"/>
                <w:szCs w:val="24"/>
              </w:rPr>
              <w:tab/>
              <w:t xml:space="preserve">art. 10 ust. 1, 2 i 4, art. 12 ust. 3, art. 13 ust. 2–4, art. 34 ust. 1, art. 37 ust. 4 i 5 </w:t>
            </w:r>
          </w:p>
          <w:p w14:paraId="0EBEF7A0"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oraz art. 52 ust. 2 rozporządzenia 168/2013,</w:t>
            </w:r>
          </w:p>
          <w:p w14:paraId="4F2E7BB5"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3) </w:t>
            </w:r>
            <w:r w:rsidRPr="004A6CA6">
              <w:rPr>
                <w:rFonts w:ascii="Times New Roman" w:hAnsi="Times New Roman" w:cs="Times New Roman"/>
                <w:szCs w:val="24"/>
              </w:rPr>
              <w:tab/>
              <w:t xml:space="preserve">art. 14 ust. 1, 2 i 4, art. 17 ust. 2 i 4, art. 19 ust. </w:t>
            </w:r>
            <w:r w:rsidR="00EE28E7">
              <w:rPr>
                <w:rFonts w:ascii="Times New Roman" w:hAnsi="Times New Roman" w:cs="Times New Roman"/>
                <w:szCs w:val="24"/>
              </w:rPr>
              <w:t>3</w:t>
            </w:r>
            <w:r w:rsidRPr="004A6CA6">
              <w:rPr>
                <w:rFonts w:ascii="Times New Roman" w:hAnsi="Times New Roman" w:cs="Times New Roman"/>
                <w:szCs w:val="24"/>
              </w:rPr>
              <w:t xml:space="preserve">, art. 33 ust. 1 oraz art. 35 </w:t>
            </w:r>
          </w:p>
          <w:p w14:paraId="454CB824"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ust. 4 i 5 rozporządzenia 2018/858,</w:t>
            </w:r>
          </w:p>
          <w:p w14:paraId="2B411618"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lastRenderedPageBreak/>
              <w:t xml:space="preserve">4) </w:t>
            </w:r>
            <w:r w:rsidRPr="004A6CA6">
              <w:rPr>
                <w:rFonts w:ascii="Times New Roman" w:hAnsi="Times New Roman" w:cs="Times New Roman"/>
                <w:szCs w:val="24"/>
              </w:rPr>
              <w:tab/>
              <w:t>art. 4 i art. 5 rozporządzenia 715/2007,</w:t>
            </w:r>
          </w:p>
          <w:p w14:paraId="7AF96876"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5) </w:t>
            </w:r>
            <w:r w:rsidRPr="004A6CA6">
              <w:rPr>
                <w:rFonts w:ascii="Times New Roman" w:hAnsi="Times New Roman" w:cs="Times New Roman"/>
                <w:szCs w:val="24"/>
              </w:rPr>
              <w:tab/>
              <w:t>art. 4–11 rozporządzenia 2019/2144,</w:t>
            </w:r>
          </w:p>
          <w:p w14:paraId="4D297D96"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6) </w:t>
            </w:r>
            <w:r w:rsidRPr="004A6CA6">
              <w:rPr>
                <w:rFonts w:ascii="Times New Roman" w:hAnsi="Times New Roman" w:cs="Times New Roman"/>
                <w:szCs w:val="24"/>
              </w:rPr>
              <w:tab/>
              <w:t>art. 4, art. 5, art. 5a i art. 7 rozporządzenia 595/2009,</w:t>
            </w:r>
          </w:p>
          <w:p w14:paraId="4BC3D41C"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7) </w:t>
            </w:r>
            <w:r w:rsidRPr="004A6CA6">
              <w:rPr>
                <w:rFonts w:ascii="Times New Roman" w:hAnsi="Times New Roman" w:cs="Times New Roman"/>
                <w:szCs w:val="24"/>
              </w:rPr>
              <w:tab/>
              <w:t>art. 5–8 rozporządzenia 540/2014,</w:t>
            </w:r>
          </w:p>
          <w:p w14:paraId="32AD103D"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8) </w:t>
            </w:r>
            <w:r w:rsidRPr="004A6CA6">
              <w:rPr>
                <w:rFonts w:ascii="Times New Roman" w:hAnsi="Times New Roman" w:cs="Times New Roman"/>
                <w:szCs w:val="24"/>
              </w:rPr>
              <w:tab/>
              <w:t xml:space="preserve">art. 4–9, art. 12 i art. 14 </w:t>
            </w:r>
            <w:r w:rsidR="00EE28E7">
              <w:rPr>
                <w:rFonts w:ascii="Times New Roman" w:hAnsi="Times New Roman" w:cs="Times New Roman"/>
                <w:szCs w:val="24"/>
              </w:rPr>
              <w:t xml:space="preserve">ust. 1 </w:t>
            </w:r>
            <w:r w:rsidRPr="004A6CA6">
              <w:rPr>
                <w:rFonts w:ascii="Times New Roman" w:hAnsi="Times New Roman" w:cs="Times New Roman"/>
                <w:szCs w:val="24"/>
              </w:rPr>
              <w:t>rozporządzenia 2024/1257</w:t>
            </w:r>
          </w:p>
          <w:p w14:paraId="3454B460"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9) </w:t>
            </w:r>
            <w:r w:rsidRPr="004A6CA6">
              <w:rPr>
                <w:rFonts w:ascii="Times New Roman" w:hAnsi="Times New Roman" w:cs="Times New Roman"/>
                <w:szCs w:val="24"/>
              </w:rPr>
              <w:tab/>
              <w:t>regulaminów ONZ</w:t>
            </w:r>
          </w:p>
          <w:p w14:paraId="309893E7"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podlega administracyjnej karze pieniężnej do wysokości dwukrotności przeciętnego wynagrodzenia, o którym mowa w art. 68g ust. 4, ogłaszanego za czwarty kwartał roku poprzedzającego nałożenie kary, za każdy przypadek nieudostępnienia informacji lub dokumentacji.</w:t>
            </w:r>
          </w:p>
          <w:p w14:paraId="686ED444" w14:textId="77777777" w:rsidR="004A6CA6" w:rsidRPr="004A6CA6" w:rsidRDefault="004A6CA6" w:rsidP="00FD5CD5">
            <w:pPr>
              <w:pStyle w:val="ZUSTzmustartykuempunktem"/>
              <w:spacing w:line="240" w:lineRule="auto"/>
              <w:ind w:firstLine="0"/>
              <w:jc w:val="left"/>
              <w:rPr>
                <w:rFonts w:ascii="Times New Roman" w:hAnsi="Times New Roman" w:cs="Times New Roman"/>
                <w:szCs w:val="24"/>
              </w:rPr>
            </w:pPr>
            <w:r w:rsidRPr="004A6CA6">
              <w:rPr>
                <w:rFonts w:ascii="Times New Roman" w:hAnsi="Times New Roman" w:cs="Times New Roman"/>
                <w:szCs w:val="24"/>
              </w:rPr>
              <w:t xml:space="preserve">Art. 71i. Operator platformy oraz dostawca usług społeczeństwa informacyjnego, który nie realizuje obowiązku, o którym mowa w art. 68w, albo nie realizuje obowiązku nałożonego w decyzji, o której mowa w art. 68zk ust. 6 i 8,  podlega administracyjnej karze pieniężnej do wysokości półkrotności przeciętnego wynagrodzenia, o którym mowa w art. 68g ust. 4, ogłaszanego za czwarty kwartał roku, za każdy przypadek naruszenia obowiązku. </w:t>
            </w:r>
          </w:p>
          <w:p w14:paraId="7ED21C40" w14:textId="77777777" w:rsidR="004A6CA6" w:rsidRPr="004A6CA6" w:rsidRDefault="004A6CA6" w:rsidP="00FD5CD5">
            <w:pPr>
              <w:pStyle w:val="ZUSTzmustartykuempunktem"/>
              <w:spacing w:line="240" w:lineRule="auto"/>
              <w:ind w:firstLine="0"/>
              <w:jc w:val="left"/>
              <w:rPr>
                <w:rFonts w:ascii="Times New Roman" w:hAnsi="Times New Roman" w:cs="Times New Roman"/>
                <w:szCs w:val="24"/>
              </w:rPr>
            </w:pPr>
            <w:r w:rsidRPr="004A6CA6">
              <w:rPr>
                <w:rFonts w:ascii="Times New Roman" w:hAnsi="Times New Roman" w:cs="Times New Roman"/>
                <w:szCs w:val="24"/>
              </w:rPr>
              <w:t xml:space="preserve">Art. 71j. Podmioty, które uniemożliwiają rozpoczęcie lub utrudniają Dyrektorowi TDT jako organowi nadzoru rynku prowadzenie czynności, o których mowa w art. 68z lub art. 68za, lub nie realizują obowiązków lub żądań, </w:t>
            </w:r>
            <w:r w:rsidRPr="004A6CA6">
              <w:rPr>
                <w:rFonts w:ascii="Times New Roman" w:hAnsi="Times New Roman" w:cs="Times New Roman"/>
                <w:szCs w:val="24"/>
              </w:rPr>
              <w:lastRenderedPageBreak/>
              <w:t>o których mowa w tych przepisach, podlegają administracyjnej karze pieniężnej do wysokości jednokrotności przeciętnego wynagrodzenia, o którym mowa w art. 68g ust. 4, ogłaszanego za czwarty kwartał roku poprzedzającego nałożenie kary.</w:t>
            </w:r>
          </w:p>
          <w:p w14:paraId="5D92C480" w14:textId="77777777" w:rsidR="004A6CA6" w:rsidRPr="004A6CA6" w:rsidRDefault="004A6CA6" w:rsidP="00FD5CD5">
            <w:pPr>
              <w:pStyle w:val="ZUSTzmustartykuempunktem"/>
              <w:spacing w:line="240" w:lineRule="auto"/>
              <w:ind w:firstLine="0"/>
              <w:jc w:val="left"/>
              <w:rPr>
                <w:rFonts w:ascii="Times New Roman" w:hAnsi="Times New Roman" w:cs="Times New Roman"/>
                <w:szCs w:val="24"/>
              </w:rPr>
            </w:pPr>
            <w:r w:rsidRPr="004A6CA6">
              <w:rPr>
                <w:rFonts w:ascii="Times New Roman" w:hAnsi="Times New Roman" w:cs="Times New Roman"/>
                <w:szCs w:val="24"/>
              </w:rPr>
              <w:t xml:space="preserve">Art. 71k. 1. Służba techniczna, która narusza obowiązki określone w: </w:t>
            </w:r>
          </w:p>
          <w:p w14:paraId="62894913"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1)</w:t>
            </w:r>
            <w:r w:rsidRPr="004A6CA6">
              <w:rPr>
                <w:rFonts w:ascii="Times New Roman" w:hAnsi="Times New Roman" w:cs="Times New Roman"/>
                <w:szCs w:val="24"/>
              </w:rPr>
              <w:tab/>
              <w:t xml:space="preserve"> art. 66 lub art. 67 rozporządzenia 167/2013,</w:t>
            </w:r>
          </w:p>
          <w:p w14:paraId="47C5514B"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2)</w:t>
            </w:r>
            <w:r w:rsidRPr="004A6CA6">
              <w:rPr>
                <w:rFonts w:ascii="Times New Roman" w:hAnsi="Times New Roman" w:cs="Times New Roman"/>
                <w:szCs w:val="24"/>
              </w:rPr>
              <w:tab/>
              <w:t xml:space="preserve"> art. 70 lub art. 71 rozporządzenia 168/2013,</w:t>
            </w:r>
          </w:p>
          <w:p w14:paraId="77CC7998"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3)</w:t>
            </w:r>
            <w:r w:rsidRPr="004A6CA6">
              <w:rPr>
                <w:rFonts w:ascii="Times New Roman" w:hAnsi="Times New Roman" w:cs="Times New Roman"/>
                <w:szCs w:val="24"/>
              </w:rPr>
              <w:tab/>
              <w:t xml:space="preserve"> art. 80 lub art. 81 rozporządzenia 2018/858</w:t>
            </w:r>
          </w:p>
          <w:p w14:paraId="7A61A3C4"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 podlega administracyjnej karze pieniężnej do wysokości dwukrotności przeciętnego wynagrodzenia, o którym mowa w art. 68g ust. 4, ogłaszanego za czwarty kwartał roku poprzedzającego nałożenie kary, za każde stwierdzone naruszenie. </w:t>
            </w:r>
          </w:p>
          <w:p w14:paraId="0ED4979C" w14:textId="77777777" w:rsidR="004A6CA6" w:rsidRPr="004A6CA6" w:rsidRDefault="004A6CA6" w:rsidP="00FD5CD5">
            <w:pPr>
              <w:pStyle w:val="ZUSTzmustartykuempunktem"/>
              <w:spacing w:line="240" w:lineRule="auto"/>
              <w:ind w:left="0" w:firstLine="0"/>
              <w:jc w:val="left"/>
              <w:rPr>
                <w:rFonts w:ascii="Times New Roman" w:hAnsi="Times New Roman" w:cs="Times New Roman"/>
                <w:szCs w:val="24"/>
              </w:rPr>
            </w:pPr>
            <w:r w:rsidRPr="004A6CA6">
              <w:rPr>
                <w:rFonts w:ascii="Times New Roman" w:hAnsi="Times New Roman" w:cs="Times New Roman"/>
                <w:szCs w:val="24"/>
              </w:rPr>
              <w:t>2. W przypadku gdy służba techniczna:</w:t>
            </w:r>
          </w:p>
          <w:p w14:paraId="0CC8E376"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1)</w:t>
            </w:r>
            <w:r w:rsidRPr="004A6CA6">
              <w:rPr>
                <w:rFonts w:ascii="Times New Roman" w:hAnsi="Times New Roman" w:cs="Times New Roman"/>
                <w:szCs w:val="24"/>
              </w:rPr>
              <w:tab/>
              <w:t>nie zawiadomi Dyrektora TDT o zaprzestaniu prowadzenia działalności w kategoriach działań, do których została wyznaczona w trybie określonym w art. 8,</w:t>
            </w:r>
          </w:p>
          <w:p w14:paraId="11CAEAA8"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2)</w:t>
            </w:r>
            <w:r w:rsidRPr="004A6CA6">
              <w:rPr>
                <w:rFonts w:ascii="Times New Roman" w:hAnsi="Times New Roman" w:cs="Times New Roman"/>
                <w:szCs w:val="24"/>
              </w:rPr>
              <w:tab/>
              <w:t>nie przekaże Dyrektorowi TDT dokumentów lub ich kopii dotyczących wykonywanych przez nią działań w trybie wynikającym z art. 9 ust. 1,</w:t>
            </w:r>
          </w:p>
          <w:p w14:paraId="3098D8C5"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3)</w:t>
            </w:r>
            <w:r w:rsidRPr="004A6CA6">
              <w:rPr>
                <w:rFonts w:ascii="Times New Roman" w:hAnsi="Times New Roman" w:cs="Times New Roman"/>
                <w:szCs w:val="24"/>
              </w:rPr>
              <w:tab/>
              <w:t xml:space="preserve">nie zawiadomi Dyrektora TDT o zaprzestaniu spełnienia jednego bądź kilku warunków określonych w art. 4 ust. 2 oraz w </w:t>
            </w:r>
            <w:r w:rsidRPr="004A6CA6">
              <w:rPr>
                <w:rFonts w:ascii="Times New Roman" w:hAnsi="Times New Roman" w:cs="Times New Roman"/>
                <w:szCs w:val="24"/>
              </w:rPr>
              <w:lastRenderedPageBreak/>
              <w:t>przepisach wydanych na podstawie art. 11 ust. 1,</w:t>
            </w:r>
          </w:p>
          <w:p w14:paraId="72C0B7B5"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4)</w:t>
            </w:r>
            <w:r w:rsidRPr="004A6CA6">
              <w:rPr>
                <w:rFonts w:ascii="Times New Roman" w:hAnsi="Times New Roman" w:cs="Times New Roman"/>
                <w:szCs w:val="24"/>
              </w:rPr>
              <w:tab/>
              <w:t xml:space="preserve">nie realizuje działań, do których została wyznaczona zgodnie z art. 10 oraz przepisami wydanymi na podstawie art. 11 ust. 1 </w:t>
            </w:r>
          </w:p>
          <w:p w14:paraId="66549928"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podlega administracyjnej karze pieniężnej do wysokości sześciokrotności przeciętnego wynagrodzenia, o którym mowa w art. 68g ust. 4, ogłaszanego za czwarty kwartał roku poprzedzającego nałożenie kary, za każde stwierdzone naruszenie.</w:t>
            </w:r>
          </w:p>
          <w:p w14:paraId="56847DDA" w14:textId="77777777" w:rsidR="004A6CA6" w:rsidRPr="004A6CA6" w:rsidRDefault="004A6CA6" w:rsidP="00FD5CD5">
            <w:pPr>
              <w:pStyle w:val="ZUSTzmustartykuempunktem"/>
              <w:spacing w:line="240" w:lineRule="auto"/>
              <w:ind w:firstLine="0"/>
              <w:jc w:val="left"/>
              <w:rPr>
                <w:rFonts w:ascii="Times New Roman" w:hAnsi="Times New Roman" w:cs="Times New Roman"/>
                <w:szCs w:val="24"/>
              </w:rPr>
            </w:pPr>
            <w:r w:rsidRPr="004A6CA6">
              <w:rPr>
                <w:rFonts w:ascii="Times New Roman" w:hAnsi="Times New Roman" w:cs="Times New Roman"/>
                <w:szCs w:val="24"/>
              </w:rPr>
              <w:t>Art. 71l. Producent tramwaju lub producent trolejbusu, który:</w:t>
            </w:r>
          </w:p>
          <w:p w14:paraId="33DD0ABC"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1)</w:t>
            </w:r>
            <w:r w:rsidRPr="004A6CA6">
              <w:rPr>
                <w:rFonts w:ascii="Times New Roman" w:hAnsi="Times New Roman" w:cs="Times New Roman"/>
                <w:szCs w:val="24"/>
              </w:rPr>
              <w:tab/>
              <w:t>wprowadza do obrotu tramwaj lub trolejbus bez wymaganego świadectwa zgodności, na podstawie świadectwa zgodności sfałszowanego lub podpisanego przez osobę nieuprawnioną,</w:t>
            </w:r>
          </w:p>
          <w:p w14:paraId="41F18F69"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2)</w:t>
            </w:r>
            <w:r w:rsidRPr="004A6CA6">
              <w:rPr>
                <w:rFonts w:ascii="Times New Roman" w:hAnsi="Times New Roman" w:cs="Times New Roman"/>
                <w:szCs w:val="24"/>
              </w:rPr>
              <w:tab/>
              <w:t xml:space="preserve">narusza wymogi wynikające z przepisów wydanych na podstawie art. 55 </w:t>
            </w:r>
          </w:p>
          <w:p w14:paraId="6B178310"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podlega administracyjnej karze pieniężnej do wysokości dwunastokrotności przeciętnego wynagrodzenia, o którym mowa w art. 68g ust. 4, ogłaszanego za czwarty kwartał roku poprzedzającego nałożenie kary, za każde wprowadzenie do obrotu tramwaju lub trolejbusu, w odniesieniu do których nie wypełnił obowiązku.</w:t>
            </w:r>
          </w:p>
          <w:p w14:paraId="000BE771" w14:textId="77777777" w:rsidR="004A6CA6" w:rsidRPr="004A6CA6" w:rsidRDefault="004A6CA6" w:rsidP="00FD5CD5">
            <w:pPr>
              <w:pStyle w:val="ZUSTzmustartykuempunktem"/>
              <w:spacing w:line="240" w:lineRule="auto"/>
              <w:ind w:firstLine="0"/>
              <w:jc w:val="left"/>
              <w:rPr>
                <w:rFonts w:ascii="Times New Roman" w:hAnsi="Times New Roman" w:cs="Times New Roman"/>
                <w:szCs w:val="24"/>
              </w:rPr>
            </w:pPr>
            <w:r w:rsidRPr="004A6CA6">
              <w:rPr>
                <w:rFonts w:ascii="Times New Roman" w:hAnsi="Times New Roman" w:cs="Times New Roman"/>
                <w:szCs w:val="24"/>
              </w:rPr>
              <w:t>Art. 71m. Podmiot dokonujący montażu dodatkowej instalacji zasilania gazem pojazdu, który:</w:t>
            </w:r>
          </w:p>
          <w:p w14:paraId="63BA7972"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lastRenderedPageBreak/>
              <w:t>1)</w:t>
            </w:r>
            <w:r w:rsidRPr="004A6CA6">
              <w:rPr>
                <w:rFonts w:ascii="Times New Roman" w:hAnsi="Times New Roman" w:cs="Times New Roman"/>
                <w:szCs w:val="24"/>
              </w:rPr>
              <w:tab/>
              <w:t xml:space="preserve">dokonuje montażu dodatkowej instalacji zasilania gazem pojazdu bez wymaganego wyciągu ze świadectwa homologacji montażu dodatkowej instalacji zasilania gazem pojazdu oraz instrukcji montażu, na podstawie wyciągu i instrukcji sfałszowanej lub podpisanej przez osobę nieuprawnioną, </w:t>
            </w:r>
          </w:p>
          <w:p w14:paraId="03D1E861"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2)</w:t>
            </w:r>
            <w:r w:rsidRPr="004A6CA6">
              <w:rPr>
                <w:rFonts w:ascii="Times New Roman" w:hAnsi="Times New Roman" w:cs="Times New Roman"/>
                <w:szCs w:val="24"/>
              </w:rPr>
              <w:tab/>
              <w:t>narusza obowiązki, o których mowa w art. 36, art. 38 ust. 4 i art. 43,</w:t>
            </w:r>
          </w:p>
          <w:p w14:paraId="26CC89D0"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3)</w:t>
            </w:r>
            <w:r w:rsidRPr="004A6CA6">
              <w:rPr>
                <w:rFonts w:ascii="Times New Roman" w:hAnsi="Times New Roman" w:cs="Times New Roman"/>
                <w:szCs w:val="24"/>
              </w:rPr>
              <w:tab/>
              <w:t xml:space="preserve">narusza wymagania techniczne obowiązujące w procedurze homologacji dodatkowej instalacji zasilania gazem pojazdu oraz wymagania w zakresie tabliczki informacyjnej, wynikające z przepisów wydanych na podstawie art. 58 </w:t>
            </w:r>
          </w:p>
          <w:p w14:paraId="0FCFA95D"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podlega administracyjnej karze pieniężnej do wysokości jednokrotności przeciętnego wynagrodzenia, o którym mowa w art. 68g ust. 4, ogłaszanego za czwarty kwartał roku poprzedzającego nałożenie kary, za każdy montaż dodatkowej instalacji zasilania gazem pojazdu, w odniesieniu do którego nie wypełnił obowiązku.</w:t>
            </w:r>
          </w:p>
          <w:p w14:paraId="2CA0FC20" w14:textId="77777777" w:rsidR="004A6CA6" w:rsidRPr="004A6CA6" w:rsidRDefault="004A6CA6" w:rsidP="00FD5CD5">
            <w:pPr>
              <w:pStyle w:val="ZUSTzmustartykuempunktem"/>
              <w:spacing w:line="240" w:lineRule="auto"/>
              <w:ind w:firstLine="0"/>
              <w:jc w:val="left"/>
              <w:rPr>
                <w:rFonts w:ascii="Times New Roman" w:hAnsi="Times New Roman" w:cs="Times New Roman"/>
                <w:szCs w:val="24"/>
              </w:rPr>
            </w:pPr>
            <w:r w:rsidRPr="004A6CA6">
              <w:rPr>
                <w:rFonts w:ascii="Times New Roman" w:hAnsi="Times New Roman" w:cs="Times New Roman"/>
                <w:szCs w:val="24"/>
              </w:rPr>
              <w:t xml:space="preserve">Art. 71n. Podmiot gospodarczy, który nie realizuje obowiązku udostępnienia użytkownikom końcowym informacji o konieczności sprawdzenia stanu technicznego pojazdu w warunkach serwisowych producenta, o którym mowa w art. 70 ust. 3 lub art. 71 ust. 3 pkt 3, podlega administracyjnej karze pieniężnej do </w:t>
            </w:r>
            <w:r w:rsidRPr="004A6CA6">
              <w:rPr>
                <w:rFonts w:ascii="Times New Roman" w:hAnsi="Times New Roman" w:cs="Times New Roman"/>
                <w:szCs w:val="24"/>
              </w:rPr>
              <w:lastRenderedPageBreak/>
              <w:t>wysokości jednokrotności przeciętnego wynagrodzenia, o którym mowa w art. 68g ust. 4, ogłaszanego za czwarty kwartał roku poprzedzającego nałożenie kary, za każdy przypadek nieudostępnienia informacji dotyczącej pojazdu objętego koniecznością sprawdzenia stanu technicznego w warunkach serwisowych producenta.</w:t>
            </w:r>
          </w:p>
          <w:p w14:paraId="36F518F7" w14:textId="77777777" w:rsidR="004A6CA6" w:rsidRPr="004A6CA6" w:rsidRDefault="004A6CA6" w:rsidP="00FD5CD5">
            <w:pPr>
              <w:pStyle w:val="ZUSTzmustartykuempunktem"/>
              <w:spacing w:line="240" w:lineRule="auto"/>
              <w:ind w:firstLine="0"/>
              <w:jc w:val="left"/>
              <w:rPr>
                <w:rFonts w:ascii="Times New Roman" w:hAnsi="Times New Roman" w:cs="Times New Roman"/>
                <w:szCs w:val="24"/>
              </w:rPr>
            </w:pPr>
            <w:r w:rsidRPr="004A6CA6">
              <w:rPr>
                <w:rFonts w:ascii="Times New Roman" w:hAnsi="Times New Roman" w:cs="Times New Roman"/>
                <w:szCs w:val="24"/>
              </w:rPr>
              <w:t>Art. 71o. Podmiot, o którym mowa odpowiednio w art. 68zu ust. 2 albo art. 68zv ust. 3, który:</w:t>
            </w:r>
          </w:p>
          <w:p w14:paraId="73CB7E30"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1) </w:t>
            </w:r>
            <w:r w:rsidRPr="004A6CA6">
              <w:rPr>
                <w:rFonts w:ascii="Times New Roman" w:hAnsi="Times New Roman" w:cs="Times New Roman"/>
                <w:szCs w:val="24"/>
              </w:rPr>
              <w:tab/>
              <w:t>nie realizuje obowiązku, o którym mowa w art. 68zv ust. 1, podlega administracyjnej karze pieniężnej do wysokości dziesięciokrotności przeciętnego wynagrodzenia, o którym mowa w art. 68g ust. 4, ogłaszanego za czwarty kwartał roku poprzedzającego nałożenie kary;</w:t>
            </w:r>
          </w:p>
          <w:p w14:paraId="60B4FC0F"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2) </w:t>
            </w:r>
            <w:r w:rsidRPr="004A6CA6">
              <w:rPr>
                <w:rFonts w:ascii="Times New Roman" w:hAnsi="Times New Roman" w:cs="Times New Roman"/>
                <w:szCs w:val="24"/>
              </w:rPr>
              <w:tab/>
              <w:t>nie przekazuje informacji o wysokości obliczonych i uiszczonych opłat za nadzór rynku motoryzacyjnego w terminie, o którym mowa w art. 68zv ust. 2, podlega administracyjnej karze pieniężnej do wysokości dziesięciokrotności przeciętnego wynagrodzenia, o którym mowa w art. 68g ust. 4, ogłaszanego za czwarty kwartał roku poprzedzającego nałożenie kary;</w:t>
            </w:r>
          </w:p>
          <w:p w14:paraId="1A36B8C6"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3) </w:t>
            </w:r>
            <w:r w:rsidRPr="004A6CA6">
              <w:rPr>
                <w:rFonts w:ascii="Times New Roman" w:hAnsi="Times New Roman" w:cs="Times New Roman"/>
                <w:szCs w:val="24"/>
              </w:rPr>
              <w:tab/>
              <w:t xml:space="preserve">nie przekazuje zbiorczej informacji o podmiotach wprowadzających do obrotu pojazdy w terminie, o którym mowa w art. 68zv ust. 3, podlega administracyjnej karze pieniężnej do wysokości dziesięciokrotności </w:t>
            </w:r>
            <w:r w:rsidRPr="004A6CA6">
              <w:rPr>
                <w:rFonts w:ascii="Times New Roman" w:hAnsi="Times New Roman" w:cs="Times New Roman"/>
                <w:szCs w:val="24"/>
              </w:rPr>
              <w:lastRenderedPageBreak/>
              <w:t xml:space="preserve">przeciętnego wynagrodzenia, o którym mowa w art. 68g ust. 4, ogłaszanego za czwarty kwartał roku poprzedzającego nałożenie kary; </w:t>
            </w:r>
          </w:p>
          <w:p w14:paraId="405B37EE"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4) </w:t>
            </w:r>
            <w:r w:rsidRPr="004A6CA6">
              <w:rPr>
                <w:rFonts w:ascii="Times New Roman" w:hAnsi="Times New Roman" w:cs="Times New Roman"/>
                <w:szCs w:val="24"/>
              </w:rPr>
              <w:tab/>
              <w:t>fałszuje lub zataja dane, na podstawie których wypełniona została informacja, o której mowa w art. 68zv ust. 2 lub 3, lub podaje nieprawdziwe dane w tej informacji podlega administracyjnej karze pieniężnej do wysokości dziesięciokrotności przeciętnego wynagrodzenia, o którym mowa w art. 68g ust. 4, ogłaszanego za czwarty kwartał roku poprzedzającego nałożenie kary;</w:t>
            </w:r>
          </w:p>
          <w:p w14:paraId="067D818D"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5) </w:t>
            </w:r>
            <w:r w:rsidRPr="004A6CA6">
              <w:rPr>
                <w:rFonts w:ascii="Times New Roman" w:hAnsi="Times New Roman" w:cs="Times New Roman"/>
                <w:szCs w:val="24"/>
              </w:rPr>
              <w:tab/>
              <w:t xml:space="preserve">nie przechowuje przekazywanych Dyrektorowi TDT jako organowi nadzoru rynku informacji przez okres, o którym mowa w art. 68zv ust. 4, podlega administracyjnej karze pieniężnej do wysokości trzykrotności przeciętnego wynagrodzenia, o którym mowa w art. 68g ust. 4, ogłaszanego za czwarty kwartał roku poprzedzającego nałożenie kary; </w:t>
            </w:r>
          </w:p>
          <w:p w14:paraId="17DFBAC4"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6) </w:t>
            </w:r>
            <w:r w:rsidRPr="004A6CA6">
              <w:rPr>
                <w:rFonts w:ascii="Times New Roman" w:hAnsi="Times New Roman" w:cs="Times New Roman"/>
                <w:szCs w:val="24"/>
              </w:rPr>
              <w:tab/>
              <w:t xml:space="preserve">nie okazuje informacji i  dokumentów w toku kontroli, o której mowa w art. 68zw ust. 1, podlega administracyjnej karze pieniężnej do wysokości trzykrotności przeciętnego wynagrodzenia, o którym mowa w art. 68g ust. 4, ogłaszanego za czwarty kwartał roku poprzedzającego nałożenie kary; </w:t>
            </w:r>
          </w:p>
          <w:p w14:paraId="7D0CC20C"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7) </w:t>
            </w:r>
            <w:r w:rsidRPr="004A6CA6">
              <w:rPr>
                <w:rFonts w:ascii="Times New Roman" w:hAnsi="Times New Roman" w:cs="Times New Roman"/>
                <w:szCs w:val="24"/>
              </w:rPr>
              <w:tab/>
              <w:t xml:space="preserve">przedkłada sfałszowany dokument stanowiący postawę ustalenia wysokości opłaty za nadzór rynku motoryzacyjnego, podlega administracyjnej karze pieniężnej do wysokości trzykrotności przeciętnego </w:t>
            </w:r>
            <w:r w:rsidRPr="004A6CA6">
              <w:rPr>
                <w:rFonts w:ascii="Times New Roman" w:hAnsi="Times New Roman" w:cs="Times New Roman"/>
                <w:szCs w:val="24"/>
              </w:rPr>
              <w:lastRenderedPageBreak/>
              <w:t xml:space="preserve">wynagrodzenia, o którym mowa w art. 68g ust. 4, ogłaszanego za czwarty kwartał roku poprzedzającego nałożenie kary. </w:t>
            </w:r>
          </w:p>
          <w:p w14:paraId="6D7D462F" w14:textId="77777777" w:rsidR="004A6CA6" w:rsidRPr="004A6CA6" w:rsidRDefault="004A6CA6" w:rsidP="00FD5CD5">
            <w:pPr>
              <w:pStyle w:val="ZUSTzmustartykuempunktem"/>
              <w:spacing w:line="240" w:lineRule="auto"/>
              <w:ind w:firstLine="0"/>
              <w:jc w:val="left"/>
              <w:rPr>
                <w:rFonts w:ascii="Times New Roman" w:hAnsi="Times New Roman" w:cs="Times New Roman"/>
                <w:szCs w:val="24"/>
              </w:rPr>
            </w:pPr>
            <w:r w:rsidRPr="004A6CA6">
              <w:rPr>
                <w:rFonts w:ascii="Times New Roman" w:hAnsi="Times New Roman" w:cs="Times New Roman"/>
                <w:szCs w:val="24"/>
              </w:rPr>
              <w:t xml:space="preserve">Art. 71p. 1. Administracyjne kary pieniężne, o których mowa w art. 71a–71o, nakłada Dyrektor TDT w drodze decyzji administracyjnej. </w:t>
            </w:r>
          </w:p>
          <w:p w14:paraId="79FA74C7" w14:textId="77777777" w:rsidR="004A6CA6" w:rsidRPr="004A6CA6" w:rsidRDefault="004A6CA6" w:rsidP="00FD5CD5">
            <w:pPr>
              <w:pStyle w:val="ZUSTzmustartykuempunktem"/>
              <w:spacing w:line="240" w:lineRule="auto"/>
              <w:ind w:firstLine="0"/>
              <w:jc w:val="left"/>
              <w:rPr>
                <w:rFonts w:ascii="Times New Roman" w:hAnsi="Times New Roman" w:cs="Times New Roman"/>
                <w:szCs w:val="24"/>
              </w:rPr>
            </w:pPr>
            <w:r w:rsidRPr="004A6CA6">
              <w:rPr>
                <w:rFonts w:ascii="Times New Roman" w:hAnsi="Times New Roman" w:cs="Times New Roman"/>
                <w:szCs w:val="24"/>
              </w:rPr>
              <w:t xml:space="preserve">2. Organem wyższego stopnia w rozumieniu przepisów ustawy z dnia 14 czerwca 1960 r. – Kodeks postępowania administracyjnego w sprawach, o których mowa w ust. 1, jest minister właściwy do spraw transportu. </w:t>
            </w:r>
          </w:p>
          <w:p w14:paraId="185EF24D" w14:textId="77777777" w:rsidR="004A6CA6" w:rsidRPr="004A6CA6" w:rsidRDefault="004A6CA6" w:rsidP="00FD5CD5">
            <w:pPr>
              <w:pStyle w:val="ZUSTzmustartykuempunktem"/>
              <w:spacing w:line="240" w:lineRule="auto"/>
              <w:ind w:firstLine="0"/>
              <w:jc w:val="left"/>
              <w:rPr>
                <w:rFonts w:ascii="Times New Roman" w:hAnsi="Times New Roman" w:cs="Times New Roman"/>
                <w:szCs w:val="24"/>
              </w:rPr>
            </w:pPr>
            <w:r w:rsidRPr="004A6CA6">
              <w:rPr>
                <w:rFonts w:ascii="Times New Roman" w:hAnsi="Times New Roman" w:cs="Times New Roman"/>
                <w:szCs w:val="24"/>
              </w:rPr>
              <w:t>3. Przy ustalaniu wysokości administracyjnych kar pieniężnych, o których mowa w art. 71a–71o, uwzględnia się:</w:t>
            </w:r>
          </w:p>
          <w:p w14:paraId="0D823F21"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1)</w:t>
            </w:r>
            <w:r w:rsidRPr="004A6CA6">
              <w:rPr>
                <w:rFonts w:ascii="Times New Roman" w:hAnsi="Times New Roman" w:cs="Times New Roman"/>
                <w:szCs w:val="24"/>
              </w:rPr>
              <w:tab/>
              <w:t>stopień, okoliczności i okres naruszenia obowiązków;</w:t>
            </w:r>
            <w:r w:rsidRPr="004A6CA6">
              <w:rPr>
                <w:rFonts w:ascii="Times New Roman" w:hAnsi="Times New Roman" w:cs="Times New Roman"/>
                <w:szCs w:val="24"/>
              </w:rPr>
              <w:tab/>
            </w:r>
            <w:r w:rsidRPr="004A6CA6">
              <w:rPr>
                <w:rFonts w:ascii="Times New Roman" w:hAnsi="Times New Roman" w:cs="Times New Roman"/>
                <w:szCs w:val="24"/>
              </w:rPr>
              <w:tab/>
            </w:r>
          </w:p>
          <w:p w14:paraId="58BC8F95"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2) </w:t>
            </w:r>
            <w:r w:rsidRPr="004A6CA6">
              <w:rPr>
                <w:rFonts w:ascii="Times New Roman" w:hAnsi="Times New Roman" w:cs="Times New Roman"/>
                <w:szCs w:val="24"/>
              </w:rPr>
              <w:tab/>
              <w:t>rodzaj i charakter stwierdzonych niezgodności z wymaganiami technicznymi, warunkami technicznymi, o których mowa w art. 66 ust. 1 ustawy z dnia 20 czerwca 1997 r. – Prawo o ruchu drogowym oraz określonymi w przepisach wydanych na podstawie art. 66 ust. 5 tej ustawy, lub rodzaj stwarzanego poważnego ryzyka przez pojazd, przedmiot wyposażenia lub część, rower, wózek rowerowy, hulajnogę elektryczną oraz urządzenie transportu osobistego;</w:t>
            </w:r>
          </w:p>
          <w:p w14:paraId="54DD229E"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3)</w:t>
            </w:r>
            <w:r w:rsidRPr="004A6CA6">
              <w:rPr>
                <w:rFonts w:ascii="Times New Roman" w:hAnsi="Times New Roman" w:cs="Times New Roman"/>
                <w:szCs w:val="24"/>
              </w:rPr>
              <w:tab/>
              <w:t xml:space="preserve">liczbę udostępnionych na rynku pojazdów, przedmiotów wyposażenia lub części niezgodnych z wymaganiami technicznymi albo rowerów, wózków </w:t>
            </w:r>
            <w:r w:rsidRPr="004A6CA6">
              <w:rPr>
                <w:rFonts w:ascii="Times New Roman" w:hAnsi="Times New Roman" w:cs="Times New Roman"/>
                <w:szCs w:val="24"/>
              </w:rPr>
              <w:lastRenderedPageBreak/>
              <w:t>rowerowych, hulajnóg elektrycznych oraz urządzeń transportu osobistego niezgodnych z warunkami technicznymi, o których mowa w art. 66 ust. 1 ustawy z dnia 20 czerwca 1997 r. – Prawo o ruchu drogowym oraz określonymi w przepisach wydanych na podstawie art. 66 ust. 5 tej ustawy, w których dokonano montażu dodatkowej instalacji zasilania gazem pojazdu niezgodnie z wymaganiami, o których mowa w art. 31 ust. 2, art. 36, art. 42 i 43, wymaganiami technicznymi obowiązującymi w procedurze homologacji dodatkowej instalacji zasilania gazem pojazdu oraz wymaganiami w zakresie tabliczki informacyjnej, wynikającymi z przepisów wydanych na podstawie art. 58;</w:t>
            </w:r>
          </w:p>
          <w:p w14:paraId="4285D8EC"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4)</w:t>
            </w:r>
            <w:r w:rsidRPr="004A6CA6">
              <w:rPr>
                <w:rFonts w:ascii="Times New Roman" w:hAnsi="Times New Roman" w:cs="Times New Roman"/>
                <w:szCs w:val="24"/>
              </w:rPr>
              <w:tab/>
              <w:t>uprzednie naruszenie obowiązków;</w:t>
            </w:r>
          </w:p>
          <w:p w14:paraId="23DFA130"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5)</w:t>
            </w:r>
            <w:r w:rsidRPr="004A6CA6">
              <w:rPr>
                <w:rFonts w:ascii="Times New Roman" w:hAnsi="Times New Roman" w:cs="Times New Roman"/>
                <w:szCs w:val="24"/>
              </w:rPr>
              <w:tab/>
              <w:t>współpracę z Dyrektorem TDT jako organem nadzoru rynku, w tym przyczynienie się do szybkiego i sprawnego przeprowadzenia czynności wyjaśniających, kontroli, badań lub postępowań administracyjnych;</w:t>
            </w:r>
          </w:p>
          <w:p w14:paraId="553784E7"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 xml:space="preserve">6) </w:t>
            </w:r>
            <w:r w:rsidRPr="004A6CA6">
              <w:rPr>
                <w:rFonts w:ascii="Times New Roman" w:hAnsi="Times New Roman" w:cs="Times New Roman"/>
                <w:szCs w:val="24"/>
              </w:rPr>
              <w:tab/>
              <w:t>zaprzestanie przez podmiot gospodarczy naruszenia obowiązków, o których mowa odpowiednio w art. 53a i art. 53b oraz potwierdzenie realizacji tych obowiązków;</w:t>
            </w:r>
          </w:p>
          <w:p w14:paraId="4DF28349" w14:textId="77777777" w:rsidR="004A6CA6" w:rsidRPr="004A6CA6" w:rsidRDefault="004A6CA6" w:rsidP="00FD5CD5">
            <w:pPr>
              <w:pStyle w:val="ZUSTzmustartykuempunktem"/>
              <w:spacing w:line="240" w:lineRule="auto"/>
              <w:jc w:val="left"/>
              <w:rPr>
                <w:rFonts w:ascii="Times New Roman" w:hAnsi="Times New Roman" w:cs="Times New Roman"/>
                <w:szCs w:val="24"/>
              </w:rPr>
            </w:pPr>
            <w:r w:rsidRPr="004A6CA6">
              <w:rPr>
                <w:rFonts w:ascii="Times New Roman" w:hAnsi="Times New Roman" w:cs="Times New Roman"/>
                <w:szCs w:val="24"/>
              </w:rPr>
              <w:t>7)</w:t>
            </w:r>
            <w:r w:rsidRPr="004A6CA6">
              <w:rPr>
                <w:rFonts w:ascii="Times New Roman" w:hAnsi="Times New Roman" w:cs="Times New Roman"/>
                <w:szCs w:val="24"/>
              </w:rPr>
              <w:tab/>
              <w:t xml:space="preserve">zlecenie przez podmiot, który zamontował w pojeździe dodatkową instalację zasilania gazem pojazdu bez świadectwa homologacji montażu dodatkowej </w:t>
            </w:r>
            <w:r w:rsidRPr="004A6CA6">
              <w:rPr>
                <w:rFonts w:ascii="Times New Roman" w:hAnsi="Times New Roman" w:cs="Times New Roman"/>
                <w:szCs w:val="24"/>
              </w:rPr>
              <w:lastRenderedPageBreak/>
              <w:t>instalacji zasilania gazem pojazdu, uprawnionemu podmiotowi wymianę tej instalacji w pojeździe, na swój koszt, na instalację zgodną z takim świadectwem.</w:t>
            </w:r>
          </w:p>
          <w:p w14:paraId="6BA35A8A" w14:textId="77777777" w:rsidR="004A6CA6" w:rsidRPr="004A6CA6" w:rsidRDefault="004A6CA6" w:rsidP="00FD5CD5">
            <w:pPr>
              <w:pStyle w:val="ZUSTzmustartykuempunktem"/>
              <w:spacing w:line="240" w:lineRule="auto"/>
              <w:ind w:firstLine="0"/>
              <w:jc w:val="left"/>
              <w:rPr>
                <w:rFonts w:ascii="Times New Roman" w:hAnsi="Times New Roman" w:cs="Times New Roman"/>
                <w:szCs w:val="24"/>
              </w:rPr>
            </w:pPr>
            <w:r w:rsidRPr="004A6CA6">
              <w:rPr>
                <w:rFonts w:ascii="Times New Roman" w:hAnsi="Times New Roman" w:cs="Times New Roman"/>
                <w:szCs w:val="24"/>
              </w:rPr>
              <w:t xml:space="preserve">4. Przy wydawaniu decyzji o nałożeniu administracyjnej kary pieniężnej, o której mowa w art. 71a–71o, przepisu art. 189f ustawy z dnia 14 czerwca 1960 r. – Kodeks postępowania administracyjnego nie stosuje się. </w:t>
            </w:r>
          </w:p>
          <w:p w14:paraId="74D543DC" w14:textId="77777777" w:rsidR="004A6CA6" w:rsidRPr="004A6CA6" w:rsidRDefault="004A6CA6" w:rsidP="00FD5CD5">
            <w:pPr>
              <w:pStyle w:val="ZUSTzmustartykuempunktem"/>
              <w:spacing w:line="240" w:lineRule="auto"/>
              <w:ind w:firstLine="0"/>
              <w:jc w:val="left"/>
              <w:rPr>
                <w:rFonts w:ascii="Times New Roman" w:hAnsi="Times New Roman" w:cs="Times New Roman"/>
                <w:szCs w:val="24"/>
              </w:rPr>
            </w:pPr>
            <w:r w:rsidRPr="004A6CA6">
              <w:rPr>
                <w:rFonts w:ascii="Times New Roman" w:hAnsi="Times New Roman" w:cs="Times New Roman"/>
                <w:szCs w:val="24"/>
              </w:rPr>
              <w:t xml:space="preserve">Art. 71r. 1. Administracyjne kary pieniężne, o których mowa w art. 71a–71o, uiszcza się na rachunek Transportowego Dozoru Technicznego w terminie 14 dni od dnia, w którym decyzja o nałożeniu administracyjnej kary pieniężnej stała się ostateczna. </w:t>
            </w:r>
          </w:p>
          <w:p w14:paraId="34994622" w14:textId="77777777" w:rsidR="004A6CA6" w:rsidRPr="004A6CA6" w:rsidRDefault="004A6CA6" w:rsidP="00FD5CD5">
            <w:pPr>
              <w:pStyle w:val="ZUSTzmustartykuempunktem"/>
              <w:spacing w:line="240" w:lineRule="auto"/>
              <w:ind w:firstLine="0"/>
              <w:jc w:val="left"/>
              <w:rPr>
                <w:rFonts w:ascii="Times New Roman" w:hAnsi="Times New Roman" w:cs="Times New Roman"/>
                <w:szCs w:val="24"/>
              </w:rPr>
            </w:pPr>
            <w:r w:rsidRPr="004A6CA6">
              <w:rPr>
                <w:rFonts w:ascii="Times New Roman" w:hAnsi="Times New Roman" w:cs="Times New Roman"/>
                <w:szCs w:val="24"/>
              </w:rPr>
              <w:t>2. Wpływy z administracyjnych kar pieniężnych wraz z odsetkami stanowią przychód Dyrektora TDT.</w:t>
            </w:r>
          </w:p>
          <w:p w14:paraId="77245FE3" w14:textId="77777777" w:rsidR="004A6CA6" w:rsidRPr="004A6CA6" w:rsidRDefault="004A6CA6" w:rsidP="00FD5CD5">
            <w:pPr>
              <w:pStyle w:val="ZUSTzmustartykuempunktem"/>
              <w:spacing w:line="240" w:lineRule="auto"/>
              <w:ind w:firstLine="0"/>
              <w:jc w:val="left"/>
              <w:rPr>
                <w:rFonts w:ascii="Times New Roman" w:hAnsi="Times New Roman" w:cs="Times New Roman"/>
                <w:szCs w:val="24"/>
              </w:rPr>
            </w:pPr>
            <w:r w:rsidRPr="004A6CA6">
              <w:rPr>
                <w:rFonts w:ascii="Times New Roman" w:hAnsi="Times New Roman" w:cs="Times New Roman"/>
                <w:szCs w:val="24"/>
              </w:rPr>
              <w:t>Art. 71s. 1. Kary pieniężne, o których mowa w art. 71a–71o, wraz z odsetkami ustawowymi za opóźnienie, podlegają przymusowemu ściągnięciu w trybie określonym w ustawie z dnia 17 czerwca 1966 r. o postępowaniu egzekucyjnym w administracji.</w:t>
            </w:r>
          </w:p>
          <w:p w14:paraId="497F89FD" w14:textId="77777777" w:rsidR="003F718E" w:rsidRDefault="004A6CA6" w:rsidP="00FD5CD5">
            <w:pPr>
              <w:pStyle w:val="ZUSTzmustartykuempunktem"/>
              <w:spacing w:line="240" w:lineRule="auto"/>
              <w:ind w:firstLine="0"/>
              <w:jc w:val="left"/>
              <w:rPr>
                <w:rFonts w:ascii="Times New Roman" w:hAnsi="Times New Roman" w:cs="Times New Roman"/>
                <w:szCs w:val="24"/>
              </w:rPr>
            </w:pPr>
            <w:r w:rsidRPr="004A6CA6">
              <w:rPr>
                <w:rFonts w:ascii="Times New Roman" w:hAnsi="Times New Roman" w:cs="Times New Roman"/>
                <w:szCs w:val="24"/>
              </w:rPr>
              <w:t>2.</w:t>
            </w:r>
            <w:r w:rsidRPr="004A6CA6">
              <w:rPr>
                <w:rFonts w:ascii="Times New Roman" w:hAnsi="Times New Roman" w:cs="Times New Roman"/>
                <w:szCs w:val="24"/>
              </w:rPr>
              <w:tab/>
              <w:t xml:space="preserve"> Obowiązek uiszczenia kar pieniężnych, o których mowa w ust. 1, przedawnia się z upływem 5 lat, licząc od ostatniego dnia roku kalendarzowego, w którym kary powinny zostać uiszczone.”.</w:t>
            </w:r>
          </w:p>
          <w:p w14:paraId="3CDD98EF" w14:textId="77777777" w:rsidR="004A6CA6" w:rsidRPr="00FB76A9" w:rsidRDefault="004A6CA6" w:rsidP="00565B65">
            <w:pPr>
              <w:pStyle w:val="ZUSTzmustartykuempunktem"/>
              <w:spacing w:line="240" w:lineRule="auto"/>
              <w:ind w:left="0" w:firstLine="0"/>
              <w:jc w:val="left"/>
              <w:rPr>
                <w:rFonts w:ascii="Times New Roman" w:hAnsi="Times New Roman" w:cs="Times New Roman"/>
                <w:szCs w:val="24"/>
              </w:rPr>
            </w:pPr>
          </w:p>
        </w:tc>
        <w:tc>
          <w:tcPr>
            <w:tcW w:w="1675" w:type="dxa"/>
          </w:tcPr>
          <w:p w14:paraId="1C40E37D" w14:textId="77777777" w:rsidR="005435E2" w:rsidRPr="00FB76A9" w:rsidRDefault="005435E2" w:rsidP="00FD5CD5">
            <w:pPr>
              <w:spacing w:after="0" w:line="240" w:lineRule="auto"/>
              <w:rPr>
                <w:rFonts w:ascii="Times New Roman" w:eastAsia="Times New Roman" w:hAnsi="Times New Roman" w:cs="Times New Roman"/>
                <w:sz w:val="24"/>
                <w:szCs w:val="24"/>
                <w:lang w:eastAsia="pl-PL"/>
              </w:rPr>
            </w:pPr>
          </w:p>
        </w:tc>
      </w:tr>
    </w:tbl>
    <w:p w14:paraId="17FA9327" w14:textId="77777777" w:rsidR="00433624" w:rsidRPr="00FB76A9" w:rsidRDefault="00433624" w:rsidP="00FD5CD5">
      <w:pPr>
        <w:rPr>
          <w:rFonts w:ascii="Times New Roman" w:hAnsi="Times New Roman" w:cs="Times New Roman"/>
          <w:sz w:val="24"/>
          <w:szCs w:val="24"/>
        </w:rPr>
      </w:pPr>
      <w:r w:rsidRPr="00FB76A9">
        <w:rPr>
          <w:rFonts w:ascii="Times New Roman" w:hAnsi="Times New Roman" w:cs="Times New Roman"/>
          <w:sz w:val="24"/>
          <w:szCs w:val="24"/>
        </w:rPr>
        <w:lastRenderedPageBreak/>
        <w:br w:type="page"/>
      </w:r>
    </w:p>
    <w:p w14:paraId="02EBEB28" w14:textId="77777777" w:rsidR="00F64C24" w:rsidRPr="00FB76A9" w:rsidRDefault="00F64C24" w:rsidP="00FD5CD5">
      <w:pPr>
        <w:spacing w:after="0" w:line="240" w:lineRule="auto"/>
        <w:rPr>
          <w:rFonts w:ascii="Times New Roman" w:hAnsi="Times New Roman" w:cs="Times New Roman"/>
          <w:sz w:val="24"/>
          <w:szCs w:val="24"/>
        </w:rPr>
      </w:pPr>
    </w:p>
    <w:tbl>
      <w:tblPr>
        <w:tblpPr w:leftFromText="141" w:rightFromText="141" w:vertAnchor="text" w:tblpY="1"/>
        <w:tblOverlap w:val="neve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13"/>
        <w:gridCol w:w="9482"/>
      </w:tblGrid>
      <w:tr w:rsidR="0063096F" w:rsidRPr="00FB76A9" w14:paraId="43C77411" w14:textId="77777777" w:rsidTr="000827FD">
        <w:trPr>
          <w:cantSplit/>
          <w:trHeight w:val="576"/>
        </w:trPr>
        <w:tc>
          <w:tcPr>
            <w:tcW w:w="5513" w:type="dxa"/>
            <w:tcBorders>
              <w:bottom w:val="single" w:sz="4" w:space="0" w:color="auto"/>
            </w:tcBorders>
            <w:shd w:val="clear" w:color="auto" w:fill="E0E0E0"/>
          </w:tcPr>
          <w:p w14:paraId="2FA910EA" w14:textId="77777777" w:rsidR="0063096F" w:rsidRPr="00FB76A9" w:rsidRDefault="0063096F" w:rsidP="00FD5CD5">
            <w:pPr>
              <w:keepNext/>
              <w:spacing w:after="0" w:line="240" w:lineRule="auto"/>
              <w:outlineLvl w:val="0"/>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TYTUŁ PROJEKTU:</w:t>
            </w:r>
          </w:p>
        </w:tc>
        <w:tc>
          <w:tcPr>
            <w:tcW w:w="9482" w:type="dxa"/>
            <w:tcBorders>
              <w:bottom w:val="single" w:sz="4" w:space="0" w:color="auto"/>
            </w:tcBorders>
          </w:tcPr>
          <w:p w14:paraId="03FAB391" w14:textId="77777777" w:rsidR="0063096F" w:rsidRPr="00FB76A9" w:rsidRDefault="00DA4B56"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Projekt ustawy o zmianie ustawy o systemach homologacji pojazdów oraz ich wyposażenia oraz niektórych innych ustaw (UC95)</w:t>
            </w:r>
          </w:p>
        </w:tc>
      </w:tr>
      <w:tr w:rsidR="0063096F" w:rsidRPr="00FB76A9" w14:paraId="246045A4" w14:textId="77777777" w:rsidTr="000827FD">
        <w:trPr>
          <w:cantSplit/>
          <w:trHeight w:val="576"/>
        </w:trPr>
        <w:tc>
          <w:tcPr>
            <w:tcW w:w="5513" w:type="dxa"/>
            <w:tcBorders>
              <w:bottom w:val="single" w:sz="4" w:space="0" w:color="auto"/>
            </w:tcBorders>
            <w:shd w:val="clear" w:color="auto" w:fill="E0E0E0"/>
          </w:tcPr>
          <w:p w14:paraId="55BC7CB7" w14:textId="77777777" w:rsidR="0063096F" w:rsidRPr="00FB76A9" w:rsidRDefault="0063096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TYTUŁ WDRAŻANEGO AKTU PRAWNEGO</w:t>
            </w:r>
          </w:p>
        </w:tc>
        <w:tc>
          <w:tcPr>
            <w:tcW w:w="9482" w:type="dxa"/>
            <w:tcBorders>
              <w:bottom w:val="single" w:sz="4" w:space="0" w:color="auto"/>
            </w:tcBorders>
          </w:tcPr>
          <w:p w14:paraId="3B09540B" w14:textId="77777777" w:rsidR="00DA4B56" w:rsidRPr="00FB76A9" w:rsidRDefault="00DA4B56" w:rsidP="00FD5CD5">
            <w:pPr>
              <w:pStyle w:val="ODNONIKtreodnonika"/>
              <w:ind w:left="0" w:firstLine="0"/>
              <w:jc w:val="left"/>
              <w:rPr>
                <w:rFonts w:cs="Times New Roman"/>
                <w:bCs/>
                <w:kern w:val="24"/>
                <w:sz w:val="24"/>
                <w:szCs w:val="24"/>
              </w:rPr>
            </w:pPr>
            <w:r w:rsidRPr="00FB76A9">
              <w:rPr>
                <w:rFonts w:cs="Times New Roman"/>
                <w:bCs/>
                <w:kern w:val="24"/>
                <w:sz w:val="24"/>
                <w:szCs w:val="24"/>
              </w:rPr>
              <w:t xml:space="preserve">Rozporządzenie Parlamentu Europejskiego i Rady (UE) nr </w:t>
            </w:r>
            <w:r w:rsidRPr="00FB76A9">
              <w:rPr>
                <w:rFonts w:cs="Times New Roman"/>
                <w:b/>
                <w:bCs/>
                <w:kern w:val="24"/>
                <w:sz w:val="24"/>
                <w:szCs w:val="24"/>
              </w:rPr>
              <w:t>167/2013</w:t>
            </w:r>
            <w:r w:rsidRPr="00FB76A9">
              <w:rPr>
                <w:rFonts w:cs="Times New Roman"/>
                <w:bCs/>
                <w:kern w:val="24"/>
                <w:sz w:val="24"/>
                <w:szCs w:val="24"/>
              </w:rPr>
              <w:t xml:space="preserve"> z dnia 5 lutego 2013 r. w</w:t>
            </w:r>
          </w:p>
          <w:p w14:paraId="6FEA027C" w14:textId="77777777" w:rsidR="00DA4B56" w:rsidRPr="00FB76A9" w:rsidRDefault="00DA4B56" w:rsidP="00FD5CD5">
            <w:pPr>
              <w:pStyle w:val="ODNONIKtreodnonika"/>
              <w:jc w:val="left"/>
              <w:rPr>
                <w:rFonts w:cs="Times New Roman"/>
                <w:bCs/>
                <w:kern w:val="24"/>
                <w:sz w:val="24"/>
                <w:szCs w:val="24"/>
              </w:rPr>
            </w:pPr>
            <w:r w:rsidRPr="00FB76A9">
              <w:rPr>
                <w:rFonts w:cs="Times New Roman"/>
                <w:bCs/>
                <w:kern w:val="24"/>
                <w:sz w:val="24"/>
                <w:szCs w:val="24"/>
              </w:rPr>
              <w:t>sprawie homologacji i nadzoru rynku pojazdów rolniczych i leśnych (Dz.  Urz. UE L 60 z</w:t>
            </w:r>
          </w:p>
          <w:p w14:paraId="7F6E3CBD" w14:textId="77777777" w:rsidR="00DA4B56" w:rsidRPr="00FB76A9" w:rsidRDefault="00DA4B56" w:rsidP="00FD5CD5">
            <w:pPr>
              <w:pStyle w:val="ODNONIKtreodnonika"/>
              <w:jc w:val="left"/>
              <w:rPr>
                <w:rFonts w:cs="Times New Roman"/>
                <w:bCs/>
                <w:kern w:val="24"/>
                <w:sz w:val="24"/>
                <w:szCs w:val="24"/>
              </w:rPr>
            </w:pPr>
            <w:r w:rsidRPr="00FB76A9">
              <w:rPr>
                <w:rFonts w:cs="Times New Roman"/>
                <w:bCs/>
                <w:kern w:val="24"/>
                <w:sz w:val="24"/>
                <w:szCs w:val="24"/>
              </w:rPr>
              <w:t>02.03.2013, str. 1, Dz. Urz. UE L 364 z 18.12.2014, str. 1, Dz. Urz. UE L 252 z 16.09.2016, str.</w:t>
            </w:r>
          </w:p>
          <w:p w14:paraId="431D1BDE" w14:textId="77777777" w:rsidR="00DA4B56" w:rsidRPr="00FB76A9" w:rsidRDefault="00DA4B56" w:rsidP="00FD5CD5">
            <w:pPr>
              <w:pStyle w:val="ODNONIKtreodnonika"/>
              <w:jc w:val="left"/>
              <w:rPr>
                <w:rFonts w:cs="Times New Roman"/>
                <w:bCs/>
                <w:kern w:val="24"/>
                <w:sz w:val="24"/>
                <w:szCs w:val="24"/>
              </w:rPr>
            </w:pPr>
            <w:r w:rsidRPr="00FB76A9">
              <w:rPr>
                <w:rFonts w:cs="Times New Roman"/>
                <w:bCs/>
                <w:kern w:val="24"/>
                <w:sz w:val="24"/>
                <w:szCs w:val="24"/>
              </w:rPr>
              <w:t>53, Dz. Urz. UE L 277 z 13.10.2016, str. 1, Dz. Urz. UE L 140 z 06.06.2018, str. 15, Dz. Urz. UE</w:t>
            </w:r>
          </w:p>
          <w:p w14:paraId="4EC2DB34" w14:textId="77777777" w:rsidR="0063096F" w:rsidRPr="00FB76A9" w:rsidRDefault="00DA4B56" w:rsidP="00FD5CD5">
            <w:pPr>
              <w:pStyle w:val="ODNONIKtreodnonika"/>
              <w:jc w:val="left"/>
              <w:rPr>
                <w:rFonts w:cs="Times New Roman"/>
                <w:bCs/>
                <w:kern w:val="24"/>
                <w:sz w:val="24"/>
                <w:szCs w:val="24"/>
              </w:rPr>
            </w:pPr>
            <w:r w:rsidRPr="00FB76A9">
              <w:rPr>
                <w:rFonts w:cs="Times New Roman"/>
                <w:bCs/>
                <w:kern w:val="24"/>
                <w:sz w:val="24"/>
                <w:szCs w:val="24"/>
              </w:rPr>
              <w:t xml:space="preserve">L 91 z 29.03.2019, str. 42 oraz Dz. Urz. UE L 2024/2838 z 07.11.2024). </w:t>
            </w:r>
          </w:p>
        </w:tc>
      </w:tr>
      <w:tr w:rsidR="00B61540" w:rsidRPr="00FB76A9" w14:paraId="2FD836B7" w14:textId="77777777" w:rsidTr="000827FD">
        <w:trPr>
          <w:cantSplit/>
          <w:trHeight w:val="576"/>
        </w:trPr>
        <w:tc>
          <w:tcPr>
            <w:tcW w:w="5513" w:type="dxa"/>
            <w:tcBorders>
              <w:bottom w:val="single" w:sz="4" w:space="0" w:color="auto"/>
            </w:tcBorders>
            <w:shd w:val="clear" w:color="auto" w:fill="E0E0E0"/>
          </w:tcPr>
          <w:p w14:paraId="1C5C5FB3" w14:textId="77777777" w:rsidR="00B61540" w:rsidRPr="00FB76A9" w:rsidRDefault="00B61540"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hAnsi="Times New Roman" w:cs="Times New Roman"/>
                <w:b/>
                <w:bCs/>
                <w:sz w:val="24"/>
                <w:szCs w:val="24"/>
              </w:rPr>
              <w:t>WYJAŚNIENIE TERMINU WEJŚCIA W ŻYCIE PROJEKTU / PROJEKTÓW</w:t>
            </w:r>
          </w:p>
        </w:tc>
        <w:tc>
          <w:tcPr>
            <w:tcW w:w="9482" w:type="dxa"/>
            <w:tcBorders>
              <w:bottom w:val="single" w:sz="4" w:space="0" w:color="auto"/>
            </w:tcBorders>
          </w:tcPr>
          <w:p w14:paraId="1ED01592" w14:textId="77777777" w:rsidR="00B61540" w:rsidRPr="00FB76A9" w:rsidRDefault="00B61540" w:rsidP="00FD5CD5">
            <w:pPr>
              <w:pStyle w:val="ODNONIKtreodnonika"/>
              <w:ind w:left="0" w:firstLine="0"/>
              <w:jc w:val="left"/>
              <w:rPr>
                <w:rFonts w:cs="Times New Roman"/>
                <w:bCs/>
                <w:kern w:val="24"/>
                <w:sz w:val="24"/>
                <w:szCs w:val="24"/>
              </w:rPr>
            </w:pPr>
            <w:r w:rsidRPr="00FB76A9">
              <w:rPr>
                <w:rFonts w:eastAsia="Times New Roman" w:cs="Times New Roman"/>
                <w:sz w:val="24"/>
                <w:szCs w:val="24"/>
              </w:rPr>
              <w:t>Co do zasady przewiduje się, iż zgodnie z art. 1</w:t>
            </w:r>
            <w:r w:rsidR="008D2BE4">
              <w:rPr>
                <w:rFonts w:eastAsia="Times New Roman" w:cs="Times New Roman"/>
                <w:sz w:val="24"/>
                <w:szCs w:val="24"/>
              </w:rPr>
              <w:t>9</w:t>
            </w:r>
            <w:r w:rsidRPr="00FB76A9">
              <w:rPr>
                <w:rFonts w:eastAsia="Times New Roman" w:cs="Times New Roman"/>
                <w:sz w:val="24"/>
                <w:szCs w:val="24"/>
              </w:rPr>
              <w:t xml:space="preserve"> projektu, </w:t>
            </w:r>
            <w:r w:rsidRPr="00FB76A9">
              <w:rPr>
                <w:rFonts w:cs="Times New Roman"/>
                <w:sz w:val="24"/>
                <w:szCs w:val="24"/>
              </w:rPr>
              <w:t>u</w:t>
            </w:r>
            <w:r w:rsidRPr="00FB76A9">
              <w:rPr>
                <w:rFonts w:eastAsia="Times New Roman" w:cs="Times New Roman"/>
                <w:sz w:val="24"/>
                <w:szCs w:val="24"/>
              </w:rPr>
              <w:t xml:space="preserve">stawa wejdzie w życie po upływie 14 dni od dnia ogłoszenia, z wyjątkami wskazanymi w </w:t>
            </w:r>
            <w:r w:rsidR="008D2BE4">
              <w:rPr>
                <w:rFonts w:eastAsia="Times New Roman" w:cs="Times New Roman"/>
                <w:sz w:val="24"/>
                <w:szCs w:val="24"/>
              </w:rPr>
              <w:t xml:space="preserve">art. 18 </w:t>
            </w:r>
            <w:r w:rsidRPr="00FB76A9">
              <w:rPr>
                <w:rFonts w:eastAsia="Times New Roman" w:cs="Times New Roman"/>
                <w:sz w:val="24"/>
                <w:szCs w:val="24"/>
              </w:rPr>
              <w:t>pkt 1-6.</w:t>
            </w:r>
          </w:p>
        </w:tc>
      </w:tr>
    </w:tbl>
    <w:tbl>
      <w:tblP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5528"/>
        <w:gridCol w:w="736"/>
        <w:gridCol w:w="48"/>
        <w:gridCol w:w="633"/>
        <w:gridCol w:w="5562"/>
        <w:gridCol w:w="1500"/>
      </w:tblGrid>
      <w:tr w:rsidR="005A17CB" w:rsidRPr="00FB76A9" w14:paraId="4CB31A13" w14:textId="77777777" w:rsidTr="00F72A95">
        <w:trPr>
          <w:trHeight w:val="151"/>
        </w:trPr>
        <w:tc>
          <w:tcPr>
            <w:tcW w:w="988" w:type="dxa"/>
            <w:shd w:val="clear" w:color="auto" w:fill="D9D9D9"/>
          </w:tcPr>
          <w:p w14:paraId="14B7D88F" w14:textId="77777777" w:rsidR="005A17CB" w:rsidRPr="00FB76A9" w:rsidRDefault="005A17CB" w:rsidP="00FD5CD5">
            <w:pPr>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Jedn. red. </w:t>
            </w:r>
          </w:p>
        </w:tc>
        <w:tc>
          <w:tcPr>
            <w:tcW w:w="5528" w:type="dxa"/>
            <w:shd w:val="clear" w:color="auto" w:fill="D9D9D9"/>
          </w:tcPr>
          <w:p w14:paraId="6BFBA3C3" w14:textId="77777777" w:rsidR="005A17CB" w:rsidRPr="00FB76A9" w:rsidRDefault="005A17CB"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Treść przepisu UE </w:t>
            </w:r>
          </w:p>
        </w:tc>
        <w:tc>
          <w:tcPr>
            <w:tcW w:w="736" w:type="dxa"/>
            <w:shd w:val="clear" w:color="auto" w:fill="D9D9D9"/>
          </w:tcPr>
          <w:p w14:paraId="2FC66A6D" w14:textId="77777777" w:rsidR="005A17CB" w:rsidRPr="00FB76A9" w:rsidRDefault="005A17CB"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Konieczność</w:t>
            </w:r>
          </w:p>
          <w:p w14:paraId="69ED915D" w14:textId="77777777" w:rsidR="005A17CB" w:rsidRPr="00FB76A9" w:rsidRDefault="005A17CB"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wdrożenia</w:t>
            </w:r>
          </w:p>
          <w:p w14:paraId="59EE9EB6" w14:textId="77777777" w:rsidR="005A17CB" w:rsidRPr="00FB76A9" w:rsidRDefault="005A17CB" w:rsidP="00FD5CD5">
            <w:pPr>
              <w:spacing w:after="0" w:line="240" w:lineRule="auto"/>
              <w:rPr>
                <w:rFonts w:ascii="Times New Roman" w:eastAsia="Times New Roman" w:hAnsi="Times New Roman" w:cs="Times New Roman"/>
                <w:sz w:val="24"/>
                <w:szCs w:val="24"/>
                <w:lang w:eastAsia="pl-PL"/>
              </w:rPr>
            </w:pPr>
          </w:p>
          <w:p w14:paraId="324B849C" w14:textId="77777777" w:rsidR="005A17CB" w:rsidRPr="00FB76A9" w:rsidRDefault="005A17CB"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sz w:val="24"/>
                <w:szCs w:val="24"/>
                <w:lang w:eastAsia="pl-PL"/>
              </w:rPr>
              <w:t xml:space="preserve"> T / N</w:t>
            </w:r>
          </w:p>
        </w:tc>
        <w:tc>
          <w:tcPr>
            <w:tcW w:w="681" w:type="dxa"/>
            <w:gridSpan w:val="2"/>
            <w:shd w:val="clear" w:color="auto" w:fill="D9D9D9"/>
          </w:tcPr>
          <w:p w14:paraId="162B1C02" w14:textId="77777777" w:rsidR="005A17CB" w:rsidRPr="00FB76A9" w:rsidRDefault="005A17CB"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Jedn. red. (*) </w:t>
            </w:r>
          </w:p>
        </w:tc>
        <w:tc>
          <w:tcPr>
            <w:tcW w:w="5562" w:type="dxa"/>
            <w:tcBorders>
              <w:bottom w:val="single" w:sz="4" w:space="0" w:color="auto"/>
            </w:tcBorders>
            <w:shd w:val="clear" w:color="auto" w:fill="D9D9D9"/>
          </w:tcPr>
          <w:p w14:paraId="0EDE2935" w14:textId="77777777" w:rsidR="005A17CB" w:rsidRPr="00FB76A9" w:rsidRDefault="005A17CB"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Treść przepisu/ów projektu (*)</w:t>
            </w:r>
          </w:p>
        </w:tc>
        <w:tc>
          <w:tcPr>
            <w:tcW w:w="1500" w:type="dxa"/>
            <w:shd w:val="clear" w:color="auto" w:fill="D9D9D9"/>
          </w:tcPr>
          <w:p w14:paraId="7BDF9DBB" w14:textId="77777777" w:rsidR="005A17CB" w:rsidRPr="00FB76A9" w:rsidRDefault="005A17CB"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Uzasadnienie uwzględnienia w projekcie przepisów wykraczających poza minimalne wymogi  prawa UE (**)</w:t>
            </w:r>
          </w:p>
        </w:tc>
      </w:tr>
      <w:tr w:rsidR="00344C09" w:rsidRPr="00FB76A9" w14:paraId="03CDDEFA" w14:textId="77777777" w:rsidTr="00F72A95">
        <w:trPr>
          <w:trHeight w:val="3869"/>
        </w:trPr>
        <w:tc>
          <w:tcPr>
            <w:tcW w:w="988" w:type="dxa"/>
            <w:tcBorders>
              <w:top w:val="single" w:sz="4" w:space="0" w:color="auto"/>
              <w:left w:val="single" w:sz="4" w:space="0" w:color="auto"/>
              <w:bottom w:val="single" w:sz="4" w:space="0" w:color="auto"/>
              <w:right w:val="single" w:sz="4" w:space="0" w:color="auto"/>
            </w:tcBorders>
          </w:tcPr>
          <w:p w14:paraId="0DFC3095" w14:textId="77777777" w:rsidR="00344C09" w:rsidRPr="00FB76A9" w:rsidRDefault="00344C09" w:rsidP="00FD5CD5">
            <w:pPr>
              <w:spacing w:after="0" w:line="240" w:lineRule="auto"/>
              <w:rPr>
                <w:rFonts w:ascii="Times New Roman" w:hAnsi="Times New Roman" w:cs="Times New Roman"/>
                <w:b/>
                <w:sz w:val="24"/>
                <w:szCs w:val="24"/>
              </w:rPr>
            </w:pPr>
            <w:r w:rsidRPr="00FB76A9">
              <w:rPr>
                <w:rFonts w:ascii="Times New Roman" w:hAnsi="Times New Roman" w:cs="Times New Roman"/>
                <w:b/>
                <w:sz w:val="24"/>
                <w:szCs w:val="24"/>
              </w:rPr>
              <w:lastRenderedPageBreak/>
              <w:t xml:space="preserve">Art. 1 </w:t>
            </w:r>
            <w:r w:rsidR="00A17227">
              <w:rPr>
                <w:rFonts w:ascii="Times New Roman" w:hAnsi="Times New Roman" w:cs="Times New Roman"/>
                <w:b/>
                <w:sz w:val="24"/>
                <w:szCs w:val="24"/>
              </w:rPr>
              <w:t>ust. 1</w:t>
            </w:r>
          </w:p>
        </w:tc>
        <w:tc>
          <w:tcPr>
            <w:tcW w:w="5528" w:type="dxa"/>
            <w:tcBorders>
              <w:top w:val="single" w:sz="4" w:space="0" w:color="auto"/>
              <w:left w:val="single" w:sz="4" w:space="0" w:color="auto"/>
              <w:bottom w:val="single" w:sz="4" w:space="0" w:color="auto"/>
              <w:right w:val="single" w:sz="4" w:space="0" w:color="auto"/>
            </w:tcBorders>
          </w:tcPr>
          <w:p w14:paraId="1EE08A44" w14:textId="77777777" w:rsidR="00A17227" w:rsidRDefault="00344C09" w:rsidP="00A17227">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w:t>
            </w:r>
            <w:r w:rsidR="00A17227" w:rsidRPr="00A17227">
              <w:rPr>
                <w:rFonts w:ascii="Times New Roman" w:eastAsia="Times New Roman" w:hAnsi="Times New Roman" w:cs="Times New Roman"/>
                <w:sz w:val="24"/>
                <w:szCs w:val="24"/>
                <w:lang w:eastAsia="pl-PL"/>
              </w:rPr>
              <w:t>Niniejsze rozporządzenie ustanawia wymogi administracyjne i wymagania techniczne w zakresie homologacji typu wszystkich nowych pojazdów, układów, komponentów i oddzielnych zespołów technicznych, o których mowa w art. 2 ust. 1.</w:t>
            </w:r>
          </w:p>
          <w:p w14:paraId="272506C8" w14:textId="77777777" w:rsidR="00A17227" w:rsidRDefault="00A17227" w:rsidP="00FD5CD5">
            <w:pPr>
              <w:spacing w:after="0" w:line="240" w:lineRule="auto"/>
              <w:rPr>
                <w:rFonts w:ascii="Times New Roman" w:eastAsia="Times New Roman" w:hAnsi="Times New Roman" w:cs="Times New Roman"/>
                <w:sz w:val="24"/>
                <w:szCs w:val="24"/>
                <w:lang w:eastAsia="pl-PL"/>
              </w:rPr>
            </w:pPr>
          </w:p>
          <w:p w14:paraId="5281E359"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Niniejsze rozporządzenie nie ma zastosowania do homologacji pojedynczych pojazdów. Jednakże państwa członkowskie udzielające takich indywidualnych homologacji uznają wszelkie homologacje typu pojazdów, układów, komponentów i oddzielnych zespołów technicznych udzielone na mocy niniejszego rozporządzenia zamiast homologacji udzielonych na mocy odpowiednich przepisów krajowych.”</w:t>
            </w:r>
          </w:p>
        </w:tc>
        <w:tc>
          <w:tcPr>
            <w:tcW w:w="784" w:type="dxa"/>
            <w:gridSpan w:val="2"/>
            <w:tcBorders>
              <w:top w:val="single" w:sz="4" w:space="0" w:color="auto"/>
              <w:left w:val="single" w:sz="4" w:space="0" w:color="auto"/>
              <w:bottom w:val="single" w:sz="4" w:space="0" w:color="auto"/>
              <w:right w:val="single" w:sz="4" w:space="0" w:color="auto"/>
            </w:tcBorders>
          </w:tcPr>
          <w:p w14:paraId="5BFBAC1D"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633" w:type="dxa"/>
            <w:tcBorders>
              <w:top w:val="single" w:sz="4" w:space="0" w:color="auto"/>
              <w:left w:val="single" w:sz="4" w:space="0" w:color="auto"/>
              <w:bottom w:val="single" w:sz="4" w:space="0" w:color="auto"/>
              <w:right w:val="single" w:sz="4" w:space="0" w:color="auto"/>
            </w:tcBorders>
          </w:tcPr>
          <w:p w14:paraId="6106CC1E" w14:textId="77777777" w:rsidR="002E0A41" w:rsidRPr="00FB76A9" w:rsidRDefault="002E0A41"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 xml:space="preserve">Art. 1 pkt 3 lit. </w:t>
            </w:r>
            <w:r w:rsidR="0075075F" w:rsidRPr="00FB76A9">
              <w:rPr>
                <w:rFonts w:ascii="Times New Roman" w:eastAsia="Times New Roman" w:hAnsi="Times New Roman" w:cs="Times New Roman"/>
                <w:sz w:val="24"/>
                <w:szCs w:val="24"/>
                <w:lang w:val="en-GB" w:eastAsia="pl-PL"/>
              </w:rPr>
              <w:t>c</w:t>
            </w:r>
          </w:p>
          <w:p w14:paraId="5CD19734" w14:textId="77777777" w:rsidR="002E0A41" w:rsidRPr="00FB76A9" w:rsidRDefault="002E0A41" w:rsidP="00FD5CD5">
            <w:pPr>
              <w:spacing w:after="0" w:line="240" w:lineRule="auto"/>
              <w:rPr>
                <w:rFonts w:ascii="Times New Roman" w:eastAsia="Times New Roman" w:hAnsi="Times New Roman" w:cs="Times New Roman"/>
                <w:sz w:val="24"/>
                <w:szCs w:val="24"/>
                <w:lang w:val="en-GB" w:eastAsia="pl-PL"/>
              </w:rPr>
            </w:pPr>
          </w:p>
          <w:p w14:paraId="6FA28CD7" w14:textId="77777777" w:rsidR="002E0A41" w:rsidRPr="00FB76A9" w:rsidRDefault="002E0A41" w:rsidP="00FD5CD5">
            <w:pPr>
              <w:spacing w:after="0" w:line="240" w:lineRule="auto"/>
              <w:rPr>
                <w:rFonts w:ascii="Times New Roman" w:eastAsia="Times New Roman" w:hAnsi="Times New Roman" w:cs="Times New Roman"/>
                <w:sz w:val="24"/>
                <w:szCs w:val="24"/>
                <w:lang w:val="en-GB" w:eastAsia="pl-PL"/>
              </w:rPr>
            </w:pPr>
          </w:p>
          <w:p w14:paraId="4A0203F9" w14:textId="77777777" w:rsidR="002E0A41" w:rsidRPr="00FB76A9" w:rsidRDefault="002E0A41" w:rsidP="00FD5CD5">
            <w:pPr>
              <w:spacing w:after="0" w:line="240" w:lineRule="auto"/>
              <w:rPr>
                <w:rFonts w:ascii="Times New Roman" w:eastAsia="Times New Roman" w:hAnsi="Times New Roman" w:cs="Times New Roman"/>
                <w:sz w:val="24"/>
                <w:szCs w:val="24"/>
                <w:lang w:val="en-GB" w:eastAsia="pl-PL"/>
              </w:rPr>
            </w:pPr>
          </w:p>
          <w:p w14:paraId="4A5F48A4" w14:textId="77777777" w:rsidR="002E0A41" w:rsidRPr="00FB76A9" w:rsidRDefault="002E0A41" w:rsidP="00FD5CD5">
            <w:pPr>
              <w:spacing w:after="0" w:line="240" w:lineRule="auto"/>
              <w:rPr>
                <w:rFonts w:ascii="Times New Roman" w:eastAsia="Times New Roman" w:hAnsi="Times New Roman" w:cs="Times New Roman"/>
                <w:sz w:val="24"/>
                <w:szCs w:val="24"/>
                <w:lang w:val="en-GB" w:eastAsia="pl-PL"/>
              </w:rPr>
            </w:pPr>
          </w:p>
          <w:p w14:paraId="4472859B" w14:textId="77777777" w:rsidR="002E0A41" w:rsidRPr="00FB76A9" w:rsidRDefault="002E0A41" w:rsidP="00FD5CD5">
            <w:pPr>
              <w:spacing w:after="0" w:line="240" w:lineRule="auto"/>
              <w:rPr>
                <w:rFonts w:ascii="Times New Roman" w:eastAsia="Times New Roman" w:hAnsi="Times New Roman" w:cs="Times New Roman"/>
                <w:sz w:val="24"/>
                <w:szCs w:val="24"/>
                <w:lang w:val="en-GB" w:eastAsia="pl-PL"/>
              </w:rPr>
            </w:pPr>
          </w:p>
          <w:p w14:paraId="787C76D4" w14:textId="77777777" w:rsidR="002E0A41" w:rsidRPr="00FB76A9" w:rsidRDefault="002E0A41" w:rsidP="00FD5CD5">
            <w:pPr>
              <w:spacing w:after="0" w:line="240" w:lineRule="auto"/>
              <w:rPr>
                <w:rFonts w:ascii="Times New Roman" w:eastAsia="Times New Roman" w:hAnsi="Times New Roman" w:cs="Times New Roman"/>
                <w:sz w:val="24"/>
                <w:szCs w:val="24"/>
                <w:lang w:val="en-GB" w:eastAsia="pl-PL"/>
              </w:rPr>
            </w:pPr>
          </w:p>
          <w:p w14:paraId="59E795F4" w14:textId="77777777" w:rsidR="002E0A41" w:rsidRPr="00FB76A9" w:rsidRDefault="002E0A41" w:rsidP="00FD5CD5">
            <w:pPr>
              <w:spacing w:after="0" w:line="240" w:lineRule="auto"/>
              <w:rPr>
                <w:rFonts w:ascii="Times New Roman" w:eastAsia="Times New Roman" w:hAnsi="Times New Roman" w:cs="Times New Roman"/>
                <w:sz w:val="24"/>
                <w:szCs w:val="24"/>
                <w:lang w:val="en-GB" w:eastAsia="pl-PL"/>
              </w:rPr>
            </w:pPr>
          </w:p>
          <w:p w14:paraId="2470A40F" w14:textId="77777777" w:rsidR="006C2FDC" w:rsidRPr="00FB76A9" w:rsidRDefault="006C2FDC"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 xml:space="preserve">Art. 1 pkt 3 lit. </w:t>
            </w:r>
            <w:r w:rsidR="0075075F" w:rsidRPr="00FB76A9">
              <w:rPr>
                <w:rFonts w:ascii="Times New Roman" w:eastAsia="Times New Roman" w:hAnsi="Times New Roman" w:cs="Times New Roman"/>
                <w:sz w:val="24"/>
                <w:szCs w:val="24"/>
                <w:lang w:val="en-GB" w:eastAsia="pl-PL"/>
              </w:rPr>
              <w:t>d</w:t>
            </w:r>
          </w:p>
          <w:p w14:paraId="105294F1" w14:textId="77777777" w:rsidR="006C2FDC" w:rsidRPr="00FB76A9" w:rsidRDefault="006C2FDC" w:rsidP="00FD5CD5">
            <w:pPr>
              <w:spacing w:after="0" w:line="240" w:lineRule="auto"/>
              <w:rPr>
                <w:rFonts w:ascii="Times New Roman" w:eastAsia="Times New Roman" w:hAnsi="Times New Roman" w:cs="Times New Roman"/>
                <w:sz w:val="24"/>
                <w:szCs w:val="24"/>
                <w:lang w:val="en-GB" w:eastAsia="pl-PL"/>
              </w:rPr>
            </w:pPr>
          </w:p>
          <w:p w14:paraId="4B288B96" w14:textId="77777777" w:rsidR="006C2FDC" w:rsidRPr="00FB76A9" w:rsidRDefault="006C2FDC" w:rsidP="00FD5CD5">
            <w:pPr>
              <w:spacing w:after="0" w:line="240" w:lineRule="auto"/>
              <w:rPr>
                <w:rFonts w:ascii="Times New Roman" w:eastAsia="Times New Roman" w:hAnsi="Times New Roman" w:cs="Times New Roman"/>
                <w:sz w:val="24"/>
                <w:szCs w:val="24"/>
                <w:lang w:val="en-GB" w:eastAsia="pl-PL"/>
              </w:rPr>
            </w:pPr>
          </w:p>
          <w:p w14:paraId="6D7FCF82" w14:textId="77777777" w:rsidR="006C2FDC" w:rsidRPr="00FB76A9" w:rsidRDefault="006C2FDC" w:rsidP="00FD5CD5">
            <w:pPr>
              <w:spacing w:after="0" w:line="240" w:lineRule="auto"/>
              <w:rPr>
                <w:rFonts w:ascii="Times New Roman" w:eastAsia="Times New Roman" w:hAnsi="Times New Roman" w:cs="Times New Roman"/>
                <w:sz w:val="24"/>
                <w:szCs w:val="24"/>
                <w:lang w:val="en-GB" w:eastAsia="pl-PL"/>
              </w:rPr>
            </w:pPr>
          </w:p>
          <w:p w14:paraId="5B489C25"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r w:rsidRPr="00792F7D">
              <w:rPr>
                <w:rFonts w:ascii="Times New Roman" w:eastAsia="Times New Roman" w:hAnsi="Times New Roman" w:cs="Times New Roman"/>
                <w:sz w:val="24"/>
                <w:szCs w:val="24"/>
                <w:lang w:val="en-GB" w:eastAsia="pl-PL"/>
              </w:rPr>
              <w:t xml:space="preserve">Art. 1 pkt </w:t>
            </w:r>
            <w:r w:rsidR="0075075F" w:rsidRPr="00792F7D">
              <w:rPr>
                <w:rFonts w:ascii="Times New Roman" w:eastAsia="Times New Roman" w:hAnsi="Times New Roman" w:cs="Times New Roman"/>
                <w:sz w:val="24"/>
                <w:szCs w:val="24"/>
                <w:lang w:val="en-GB" w:eastAsia="pl-PL"/>
              </w:rPr>
              <w:t>6</w:t>
            </w:r>
            <w:r w:rsidR="00A70066" w:rsidRPr="00792F7D">
              <w:rPr>
                <w:rFonts w:ascii="Times New Roman" w:eastAsia="Times New Roman" w:hAnsi="Times New Roman" w:cs="Times New Roman"/>
                <w:sz w:val="24"/>
                <w:szCs w:val="24"/>
                <w:lang w:val="en-GB" w:eastAsia="pl-PL"/>
              </w:rPr>
              <w:t xml:space="preserve"> lit. a</w:t>
            </w:r>
          </w:p>
          <w:p w14:paraId="0B9B2344"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p>
          <w:p w14:paraId="59A4A9CA"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p>
          <w:p w14:paraId="1D128C2B"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p>
          <w:p w14:paraId="6B9802AB"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p>
          <w:p w14:paraId="41AB4B0A"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p>
          <w:p w14:paraId="636A8E48"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p>
          <w:p w14:paraId="09E13D39"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p>
          <w:p w14:paraId="20F657C0"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p>
          <w:p w14:paraId="25912264"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p>
          <w:p w14:paraId="4BE10E4D"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p>
          <w:p w14:paraId="13EE6DC0"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p>
          <w:p w14:paraId="3CF5270E"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p>
          <w:p w14:paraId="23E828CB"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p>
          <w:p w14:paraId="1C71AC05"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p>
          <w:p w14:paraId="4FE0FF1A"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p>
          <w:p w14:paraId="05A766A2"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p>
          <w:p w14:paraId="021914B2"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p>
          <w:p w14:paraId="173B9ADA"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p>
          <w:p w14:paraId="64B05AC9"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p>
          <w:p w14:paraId="5C97CDB3"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p>
          <w:p w14:paraId="46BB2F75"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p>
          <w:p w14:paraId="161876C5" w14:textId="77777777" w:rsidR="00EF292D" w:rsidRPr="00792F7D" w:rsidRDefault="00EF292D" w:rsidP="00FD5CD5">
            <w:pPr>
              <w:spacing w:after="0" w:line="240" w:lineRule="auto"/>
              <w:rPr>
                <w:rFonts w:ascii="Times New Roman" w:eastAsia="Times New Roman" w:hAnsi="Times New Roman" w:cs="Times New Roman"/>
                <w:sz w:val="24"/>
                <w:szCs w:val="24"/>
                <w:lang w:val="en-GB" w:eastAsia="pl-PL"/>
              </w:rPr>
            </w:pPr>
          </w:p>
          <w:p w14:paraId="4391202F" w14:textId="77777777" w:rsidR="00344C09" w:rsidRPr="00792F7D" w:rsidRDefault="00344C09" w:rsidP="00FD5CD5">
            <w:pPr>
              <w:spacing w:after="0" w:line="240" w:lineRule="auto"/>
              <w:rPr>
                <w:rFonts w:ascii="Times New Roman" w:eastAsia="Times New Roman" w:hAnsi="Times New Roman" w:cs="Times New Roman"/>
                <w:sz w:val="24"/>
                <w:szCs w:val="24"/>
                <w:lang w:val="en-GB" w:eastAsia="pl-PL"/>
              </w:rPr>
            </w:pPr>
            <w:r w:rsidRPr="00792F7D">
              <w:rPr>
                <w:rFonts w:ascii="Times New Roman" w:eastAsia="Times New Roman" w:hAnsi="Times New Roman" w:cs="Times New Roman"/>
                <w:sz w:val="24"/>
                <w:szCs w:val="24"/>
                <w:lang w:val="en-GB" w:eastAsia="pl-PL"/>
              </w:rPr>
              <w:t xml:space="preserve">Art. 1 pkt </w:t>
            </w:r>
            <w:r w:rsidR="00EF292D" w:rsidRPr="00792F7D">
              <w:rPr>
                <w:rFonts w:ascii="Times New Roman" w:eastAsia="Times New Roman" w:hAnsi="Times New Roman" w:cs="Times New Roman"/>
                <w:sz w:val="24"/>
                <w:szCs w:val="24"/>
                <w:lang w:val="en-GB" w:eastAsia="pl-PL"/>
              </w:rPr>
              <w:t>21</w:t>
            </w:r>
            <w:r w:rsidRPr="00792F7D">
              <w:rPr>
                <w:rFonts w:ascii="Times New Roman" w:eastAsia="Times New Roman" w:hAnsi="Times New Roman" w:cs="Times New Roman"/>
                <w:sz w:val="24"/>
                <w:szCs w:val="24"/>
                <w:lang w:val="en-GB" w:eastAsia="pl-PL"/>
              </w:rPr>
              <w:t xml:space="preserve"> </w:t>
            </w:r>
          </w:p>
        </w:tc>
        <w:tc>
          <w:tcPr>
            <w:tcW w:w="5562" w:type="dxa"/>
            <w:tcBorders>
              <w:top w:val="single" w:sz="4" w:space="0" w:color="auto"/>
              <w:left w:val="single" w:sz="4" w:space="0" w:color="auto"/>
              <w:bottom w:val="single" w:sz="4" w:space="0" w:color="auto"/>
              <w:right w:val="single" w:sz="4" w:space="0" w:color="auto"/>
            </w:tcBorders>
          </w:tcPr>
          <w:p w14:paraId="318C82E4" w14:textId="77777777" w:rsidR="002E0A41" w:rsidRPr="00FB76A9" w:rsidRDefault="002E0A41" w:rsidP="00FD5CD5">
            <w:pPr>
              <w:pStyle w:val="ZLITPKTzmpktliter"/>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lastRenderedPageBreak/>
              <w:t>„pkt 23 otrzymuje brzmienie:</w:t>
            </w:r>
          </w:p>
          <w:p w14:paraId="76863A2B" w14:textId="77777777" w:rsidR="002E0A41" w:rsidRPr="00FB76A9" w:rsidRDefault="002E0A41" w:rsidP="00FD5CD5">
            <w:pPr>
              <w:pStyle w:val="ZLITPKTzmpktliter"/>
              <w:spacing w:line="240" w:lineRule="auto"/>
              <w:ind w:left="208" w:firstLine="0"/>
              <w:jc w:val="left"/>
              <w:rPr>
                <w:rFonts w:ascii="Times New Roman" w:hAnsi="Times New Roman" w:cs="Times New Roman"/>
                <w:szCs w:val="24"/>
              </w:rPr>
            </w:pPr>
            <w:r w:rsidRPr="00FB76A9">
              <w:rPr>
                <w:rFonts w:ascii="Times New Roman" w:hAnsi="Times New Roman" w:cs="Times New Roman"/>
                <w:szCs w:val="24"/>
              </w:rPr>
              <w:t xml:space="preserve">23) </w:t>
            </w:r>
            <w:r w:rsidR="0075075F" w:rsidRPr="00FB76A9">
              <w:rPr>
                <w:rFonts w:ascii="Times New Roman" w:hAnsi="Times New Roman" w:cs="Times New Roman"/>
                <w:szCs w:val="24"/>
              </w:rPr>
              <w:t>procedurze krajowego indywidualnego dopuszczenia pojazdu – rozumie się przez to procedurę potwierdzenia spełnienia przez dany pojazd odpowiednich warunków lub wymagań technicznych, o których mowa odpowiednio w art. 1 ust. 1 rozporządzenia 167/2013, art. 1 ust. 1 rozporządzenia 168/2013, art. 45 ust. 1 rozporządzenia 2018/858 oraz przepisach wydanych na podstawie art. 68r ust. 1</w:t>
            </w:r>
            <w:r w:rsidRPr="00FB76A9">
              <w:rPr>
                <w:rFonts w:ascii="Times New Roman" w:hAnsi="Times New Roman" w:cs="Times New Roman"/>
                <w:szCs w:val="24"/>
              </w:rPr>
              <w:t>;”</w:t>
            </w:r>
          </w:p>
          <w:p w14:paraId="16727F8E" w14:textId="77777777" w:rsidR="006C2FDC" w:rsidRPr="00FB76A9" w:rsidRDefault="006C2FDC" w:rsidP="00FD5CD5">
            <w:pPr>
              <w:pStyle w:val="LITlitera"/>
              <w:keepNext/>
              <w:spacing w:line="240" w:lineRule="auto"/>
              <w:ind w:left="0" w:firstLine="0"/>
              <w:jc w:val="left"/>
              <w:rPr>
                <w:rFonts w:ascii="Times New Roman" w:hAnsi="Times New Roman" w:cs="Times New Roman"/>
                <w:szCs w:val="24"/>
              </w:rPr>
            </w:pPr>
          </w:p>
          <w:p w14:paraId="41942ED9" w14:textId="77777777" w:rsidR="006C2FDC" w:rsidRPr="00FB76A9" w:rsidRDefault="006C2FDC" w:rsidP="00FD5CD5">
            <w:pPr>
              <w:pStyle w:val="LITlitera"/>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pkt 33 otrzymuje brzmienie: </w:t>
            </w:r>
          </w:p>
          <w:p w14:paraId="6CD60083" w14:textId="77777777" w:rsidR="006C2FDC" w:rsidRPr="00FB76A9" w:rsidRDefault="006C2FDC" w:rsidP="00FD5CD5">
            <w:pPr>
              <w:pStyle w:val="ZLITLITwPKTzmlitwpktliter"/>
              <w:spacing w:line="240" w:lineRule="auto"/>
              <w:ind w:left="635" w:hanging="283"/>
              <w:jc w:val="left"/>
              <w:rPr>
                <w:rFonts w:ascii="Times New Roman" w:hAnsi="Times New Roman" w:cs="Times New Roman"/>
                <w:szCs w:val="24"/>
              </w:rPr>
            </w:pPr>
            <w:r w:rsidRPr="00FB76A9">
              <w:rPr>
                <w:rFonts w:ascii="Times New Roman" w:hAnsi="Times New Roman" w:cs="Times New Roman"/>
                <w:szCs w:val="24"/>
              </w:rPr>
              <w:t xml:space="preserve">„33)  </w:t>
            </w:r>
            <w:r w:rsidR="0075075F" w:rsidRPr="00FB76A9">
              <w:rPr>
                <w:rFonts w:ascii="Times New Roman" w:eastAsia="Times New Roman" w:hAnsi="Times New Roman" w:cs="Times New Roman"/>
                <w:szCs w:val="24"/>
              </w:rPr>
              <w:t>świadectwie krajowego indywidualnego dopuszczenia nowego pojazdu – rozumie się przez to dokument stwierdzający spełnienie wymagań procedury określonej w przepisach wydanych na podstawie art. 68r ust. 1</w:t>
            </w:r>
            <w:r w:rsidRPr="00FB76A9">
              <w:rPr>
                <w:rFonts w:ascii="Times New Roman" w:hAnsi="Times New Roman" w:cs="Times New Roman"/>
                <w:szCs w:val="24"/>
              </w:rPr>
              <w:t>;”</w:t>
            </w:r>
          </w:p>
          <w:p w14:paraId="68DE9EF1" w14:textId="77777777" w:rsidR="002E0A41" w:rsidRPr="00FB76A9" w:rsidRDefault="002E0A41" w:rsidP="00FD5CD5">
            <w:pPr>
              <w:pStyle w:val="PKTpunkt"/>
              <w:keepNext/>
              <w:spacing w:line="240" w:lineRule="auto"/>
              <w:ind w:left="0" w:firstLine="0"/>
              <w:jc w:val="left"/>
              <w:rPr>
                <w:rFonts w:ascii="Times New Roman" w:hAnsi="Times New Roman" w:cs="Times New Roman"/>
                <w:szCs w:val="24"/>
              </w:rPr>
            </w:pPr>
          </w:p>
          <w:p w14:paraId="3F847F68" w14:textId="77777777" w:rsidR="00A70066" w:rsidRDefault="0075075F" w:rsidP="00FD5CD5">
            <w:pPr>
              <w:pStyle w:val="PKTpunkt"/>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6</w:t>
            </w:r>
            <w:r w:rsidR="00344C09" w:rsidRPr="00FB76A9">
              <w:rPr>
                <w:rFonts w:ascii="Times New Roman" w:hAnsi="Times New Roman" w:cs="Times New Roman"/>
                <w:szCs w:val="24"/>
              </w:rPr>
              <w:t>)</w:t>
            </w:r>
            <w:r w:rsidRPr="00FB76A9">
              <w:rPr>
                <w:rFonts w:ascii="Times New Roman" w:hAnsi="Times New Roman" w:cs="Times New Roman"/>
                <w:szCs w:val="24"/>
              </w:rPr>
              <w:t xml:space="preserve"> w </w:t>
            </w:r>
            <w:r w:rsidRPr="00C472E8">
              <w:rPr>
                <w:rFonts w:ascii="Times New Roman" w:hAnsi="Times New Roman" w:cs="Times New Roman"/>
                <w:szCs w:val="24"/>
              </w:rPr>
              <w:t>art. 13</w:t>
            </w:r>
            <w:r w:rsidR="00A70066">
              <w:rPr>
                <w:rFonts w:ascii="Times New Roman" w:hAnsi="Times New Roman" w:cs="Times New Roman"/>
                <w:szCs w:val="24"/>
              </w:rPr>
              <w:t>:</w:t>
            </w:r>
          </w:p>
          <w:p w14:paraId="59189C49" w14:textId="77777777" w:rsidR="00344C09" w:rsidRPr="00C472E8" w:rsidRDefault="00A70066" w:rsidP="00FD5CD5">
            <w:pPr>
              <w:pStyle w:val="PKTpunkt"/>
              <w:keepNext/>
              <w:spacing w:line="240" w:lineRule="auto"/>
              <w:ind w:left="0" w:firstLine="0"/>
              <w:jc w:val="left"/>
              <w:rPr>
                <w:rFonts w:ascii="Times New Roman" w:hAnsi="Times New Roman" w:cs="Times New Roman"/>
                <w:szCs w:val="24"/>
              </w:rPr>
            </w:pPr>
            <w:r>
              <w:rPr>
                <w:rFonts w:ascii="Times New Roman" w:hAnsi="Times New Roman" w:cs="Times New Roman"/>
                <w:szCs w:val="24"/>
              </w:rPr>
              <w:t>a)</w:t>
            </w:r>
            <w:r w:rsidR="0075075F" w:rsidRPr="00C472E8">
              <w:rPr>
                <w:rFonts w:ascii="Times New Roman" w:hAnsi="Times New Roman" w:cs="Times New Roman"/>
                <w:szCs w:val="24"/>
              </w:rPr>
              <w:t xml:space="preserve"> ust. 3 otrzymuje brzmienie</w:t>
            </w:r>
            <w:r w:rsidR="00344C09" w:rsidRPr="00C472E8">
              <w:rPr>
                <w:rFonts w:ascii="Times New Roman" w:hAnsi="Times New Roman" w:cs="Times New Roman"/>
                <w:szCs w:val="24"/>
              </w:rPr>
              <w:t>:</w:t>
            </w:r>
          </w:p>
          <w:p w14:paraId="20307EC1" w14:textId="77777777" w:rsidR="00EF292D" w:rsidRPr="00FB76A9" w:rsidRDefault="00CF37BF" w:rsidP="00FD5CD5">
            <w:pPr>
              <w:pStyle w:val="ZLITUSTzmustliter"/>
              <w:keepNext/>
              <w:spacing w:line="240" w:lineRule="auto"/>
              <w:ind w:left="0" w:firstLine="0"/>
              <w:jc w:val="left"/>
              <w:rPr>
                <w:rFonts w:ascii="Times New Roman" w:hAnsi="Times New Roman" w:cs="Times New Roman"/>
                <w:szCs w:val="24"/>
              </w:rPr>
            </w:pPr>
            <w:r w:rsidRPr="00C472E8">
              <w:t>„3. Producent, przedstawiciel producenta, importer albo właściciel pojazdu, z wyjątkiem tramwaju i trolejbusu, na którego typ producent nie uzyskał dokumentu, o którym mowa w ust. 1 pkt 1, jest obowiązany uzyskać, zgodnie z odpowiednio rozporządzeniem</w:t>
            </w:r>
            <w:r w:rsidRPr="001F1A7B">
              <w:t xml:space="preserve"> </w:t>
            </w:r>
            <w:r w:rsidRPr="001F1A7B">
              <w:lastRenderedPageBreak/>
              <w:t>167/2013, rozporządzeniem 168/2013, rozporządzeniem 2018/858 albo przepisami ustawy:</w:t>
            </w:r>
          </w:p>
          <w:p w14:paraId="7F7B6A9B" w14:textId="77777777" w:rsidR="00EF292D" w:rsidRPr="00FB76A9" w:rsidRDefault="00EF292D" w:rsidP="00FD5CD5">
            <w:pPr>
              <w:pStyle w:val="ZLITUSTzmustliter"/>
              <w:keepNext/>
              <w:spacing w:line="240" w:lineRule="auto"/>
              <w:ind w:left="73"/>
              <w:jc w:val="left"/>
              <w:rPr>
                <w:rFonts w:ascii="Times New Roman" w:hAnsi="Times New Roman" w:cs="Times New Roman"/>
                <w:szCs w:val="24"/>
              </w:rPr>
            </w:pPr>
            <w:r w:rsidRPr="00FB76A9">
              <w:rPr>
                <w:rFonts w:ascii="Times New Roman" w:hAnsi="Times New Roman" w:cs="Times New Roman"/>
                <w:szCs w:val="24"/>
              </w:rPr>
              <w:t>1)świadectwo krajowego indywidualnego dopuszczenia nowego pojazdu;</w:t>
            </w:r>
          </w:p>
          <w:p w14:paraId="3CB5BADD" w14:textId="77777777" w:rsidR="00EF292D" w:rsidRPr="00FB76A9" w:rsidRDefault="00EF292D" w:rsidP="00FD5CD5">
            <w:pPr>
              <w:pStyle w:val="ZLITUSTzmustliter"/>
              <w:keepNext/>
              <w:spacing w:line="240" w:lineRule="auto"/>
              <w:ind w:left="73"/>
              <w:jc w:val="left"/>
              <w:rPr>
                <w:rFonts w:ascii="Times New Roman" w:hAnsi="Times New Roman" w:cs="Times New Roman"/>
                <w:szCs w:val="24"/>
              </w:rPr>
            </w:pPr>
            <w:r w:rsidRPr="00FB76A9">
              <w:rPr>
                <w:rFonts w:ascii="Times New Roman" w:hAnsi="Times New Roman" w:cs="Times New Roman"/>
                <w:szCs w:val="24"/>
              </w:rPr>
              <w:t>2)świadectwo krajowego indywidualnego dopuszczenia pojazdu niebędącego nowym pojazdem;</w:t>
            </w:r>
          </w:p>
          <w:p w14:paraId="22CE822F" w14:textId="77777777" w:rsidR="00EF292D" w:rsidRPr="00FB76A9" w:rsidRDefault="00EF292D" w:rsidP="00FD5CD5">
            <w:pPr>
              <w:pStyle w:val="ZLITUSTzmustliter"/>
              <w:keepNext/>
              <w:spacing w:line="240" w:lineRule="auto"/>
              <w:ind w:left="73"/>
              <w:jc w:val="left"/>
              <w:rPr>
                <w:rFonts w:ascii="Times New Roman" w:hAnsi="Times New Roman" w:cs="Times New Roman"/>
                <w:szCs w:val="24"/>
              </w:rPr>
            </w:pPr>
            <w:r w:rsidRPr="00FB76A9">
              <w:rPr>
                <w:rFonts w:ascii="Times New Roman" w:hAnsi="Times New Roman" w:cs="Times New Roman"/>
                <w:szCs w:val="24"/>
              </w:rPr>
              <w:t>(…)</w:t>
            </w:r>
          </w:p>
          <w:p w14:paraId="67650D01" w14:textId="77777777" w:rsidR="00344C09" w:rsidRPr="00FB76A9" w:rsidRDefault="00EF292D" w:rsidP="00FD5CD5">
            <w:pPr>
              <w:pStyle w:val="ZLITCZWSPPKTzmczciwsppktliter"/>
              <w:spacing w:line="240" w:lineRule="auto"/>
              <w:ind w:left="73"/>
              <w:jc w:val="left"/>
              <w:rPr>
                <w:rFonts w:ascii="Times New Roman" w:hAnsi="Times New Roman" w:cs="Times New Roman"/>
              </w:rPr>
            </w:pPr>
            <w:r w:rsidRPr="00FB76A9">
              <w:rPr>
                <w:rFonts w:ascii="Times New Roman" w:hAnsi="Times New Roman" w:cs="Times New Roman"/>
              </w:rPr>
              <w:t>– które potwierdza spełnienie odpowiednich warunków lub wymagań technicznych określonych dla tego pojazdu.”</w:t>
            </w:r>
          </w:p>
          <w:p w14:paraId="2AB0C797" w14:textId="77777777" w:rsidR="00344C09" w:rsidRPr="00FB76A9" w:rsidRDefault="00344C09" w:rsidP="00FD5CD5">
            <w:pPr>
              <w:pStyle w:val="ZROZDZODDZOZNzmoznrozdzoddzartykuempunktem"/>
              <w:spacing w:line="240" w:lineRule="auto"/>
              <w:ind w:left="0"/>
              <w:jc w:val="left"/>
              <w:rPr>
                <w:rFonts w:ascii="Times New Roman" w:hAnsi="Times New Roman" w:cs="Times New Roman"/>
              </w:rPr>
            </w:pPr>
          </w:p>
          <w:p w14:paraId="5AE5B8BB" w14:textId="77777777" w:rsidR="00344C09" w:rsidRPr="00FB76A9" w:rsidRDefault="00344C09"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„Rozdział 4a</w:t>
            </w:r>
          </w:p>
          <w:p w14:paraId="39ECC5B6" w14:textId="77777777" w:rsidR="00344C09" w:rsidRPr="00FB76A9" w:rsidRDefault="00344C09" w:rsidP="00FD5CD5">
            <w:pPr>
              <w:pStyle w:val="ZROZDZODDZPRZEDMzmprzedmrozdzoddzartykuempunktem"/>
              <w:spacing w:before="0" w:after="0" w:line="240" w:lineRule="auto"/>
              <w:ind w:left="0"/>
              <w:jc w:val="left"/>
              <w:rPr>
                <w:rFonts w:ascii="Times New Roman" w:hAnsi="Times New Roman"/>
              </w:rPr>
            </w:pPr>
            <w:r w:rsidRPr="00FB76A9">
              <w:rPr>
                <w:rFonts w:ascii="Times New Roman" w:hAnsi="Times New Roman"/>
              </w:rPr>
              <w:t>Indywidualne dopuszczenie pojazdu</w:t>
            </w:r>
          </w:p>
          <w:p w14:paraId="4B69A08C" w14:textId="77777777" w:rsidR="00EF292D" w:rsidRPr="00FB76A9" w:rsidRDefault="00EF292D"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Art. 68a. 1. Spełnienie odpowiednich warunków lub wymagań technicznych przez dany pojazd potwierdza się w procedurze indywidualnego dopuszczenia pojazdu. </w:t>
            </w:r>
          </w:p>
          <w:p w14:paraId="2E40F500" w14:textId="77777777" w:rsidR="00EF292D" w:rsidRPr="00FB76A9" w:rsidRDefault="00EF292D" w:rsidP="00FD5CD5">
            <w:pPr>
              <w:pStyle w:val="ZPKTzmpk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2. Indywidualne dopuszczenie pojazdu może nastąpić w formie:</w:t>
            </w:r>
            <w:r w:rsidR="00C85885" w:rsidRPr="00FB76A9">
              <w:rPr>
                <w:rFonts w:ascii="Times New Roman" w:hAnsi="Times New Roman" w:cs="Times New Roman"/>
                <w:szCs w:val="24"/>
              </w:rPr>
              <w:t xml:space="preserve">         </w:t>
            </w:r>
          </w:p>
          <w:p w14:paraId="0D03C82F" w14:textId="77777777" w:rsidR="00344C09" w:rsidRPr="00FB76A9" w:rsidRDefault="00C85885" w:rsidP="00FD5CD5">
            <w:pPr>
              <w:pStyle w:val="ZPKTzmpk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w:t>
            </w:r>
          </w:p>
          <w:p w14:paraId="65237BFA" w14:textId="77777777" w:rsidR="00344C09" w:rsidRPr="00FB76A9" w:rsidRDefault="00344C09" w:rsidP="00FD5CD5">
            <w:pPr>
              <w:pStyle w:val="ZPKTzmpk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2) krajowego indywidualnego dopuszczenia:</w:t>
            </w:r>
          </w:p>
          <w:p w14:paraId="1D581BE9" w14:textId="77777777" w:rsidR="00C85885" w:rsidRPr="00FB76A9" w:rsidRDefault="00344C09" w:rsidP="00FD5CD5">
            <w:pPr>
              <w:pStyle w:val="ZLITwPKTzmlitwpk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 nowego pojazdu,</w:t>
            </w:r>
          </w:p>
          <w:p w14:paraId="5833774F" w14:textId="77777777" w:rsidR="00344C09" w:rsidRPr="00FB76A9" w:rsidRDefault="00C85885"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 (…)</w:t>
            </w:r>
          </w:p>
          <w:p w14:paraId="4974FE58" w14:textId="77777777" w:rsidR="00EF292D" w:rsidRPr="00FB76A9" w:rsidRDefault="00EF292D" w:rsidP="00FD5CD5">
            <w:pPr>
              <w:pStyle w:val="ZUSTzmustartykuempunktem"/>
              <w:keepNext/>
              <w:spacing w:line="240" w:lineRule="auto"/>
              <w:ind w:left="73" w:firstLine="0"/>
              <w:jc w:val="left"/>
              <w:rPr>
                <w:rFonts w:ascii="Times New Roman" w:hAnsi="Times New Roman" w:cs="Times New Roman"/>
                <w:szCs w:val="24"/>
              </w:rPr>
            </w:pPr>
            <w:r w:rsidRPr="00FB76A9">
              <w:rPr>
                <w:rFonts w:ascii="Times New Roman" w:hAnsi="Times New Roman" w:cs="Times New Roman"/>
                <w:szCs w:val="24"/>
              </w:rPr>
              <w:t>4. Krajowemu indywidualnemu dopuszczeniu nowego pojazdu podlega nowy pojazd, o którym mowa w art. 4 rozporządzenia 167/2013, art. 4 rozporządzenia 168/2013 oraz art. 4 ust. 1 rozporządzenia 2018/858, z wyjątkiem pojazdu, o którym mowa w art. 2 ust. 3 i 4 tego rozporządzenia:</w:t>
            </w:r>
          </w:p>
          <w:p w14:paraId="284E5E58" w14:textId="77777777" w:rsidR="00EF292D" w:rsidRPr="00FB76A9" w:rsidRDefault="00EF292D" w:rsidP="00FD5CD5">
            <w:pPr>
              <w:pStyle w:val="ZUSTzmustartykuempunktem"/>
              <w:keepNext/>
              <w:spacing w:line="240" w:lineRule="auto"/>
              <w:ind w:left="73"/>
              <w:jc w:val="left"/>
              <w:rPr>
                <w:rFonts w:ascii="Times New Roman" w:hAnsi="Times New Roman" w:cs="Times New Roman"/>
                <w:szCs w:val="24"/>
              </w:rPr>
            </w:pPr>
            <w:r w:rsidRPr="00FB76A9">
              <w:rPr>
                <w:rFonts w:ascii="Times New Roman" w:hAnsi="Times New Roman" w:cs="Times New Roman"/>
                <w:szCs w:val="24"/>
              </w:rPr>
              <w:t xml:space="preserve">1) przed wprowadzeniem do obrotu na terytorium Rzeczypospolitej Polskiej, na którego typ producent nie uzyskał świadectwa homologacji typu UE pojazdu, </w:t>
            </w:r>
            <w:r w:rsidRPr="00FB76A9">
              <w:rPr>
                <w:rFonts w:ascii="Times New Roman" w:hAnsi="Times New Roman" w:cs="Times New Roman"/>
                <w:szCs w:val="24"/>
              </w:rPr>
              <w:lastRenderedPageBreak/>
              <w:t>świadectwa homologacji typu ONZ, świadectwa krajowej homologacji typu pojazdu albo świadectwa krajowej homologacji typu pojazdów produkowanych w małych seriach;</w:t>
            </w:r>
          </w:p>
          <w:p w14:paraId="618630C8" w14:textId="77777777" w:rsidR="00EF292D" w:rsidRPr="00FB76A9" w:rsidRDefault="00EF292D" w:rsidP="00FD5CD5">
            <w:pPr>
              <w:pStyle w:val="ZUSTzmustartykuempunktem"/>
              <w:keepNext/>
              <w:spacing w:line="240" w:lineRule="auto"/>
              <w:ind w:left="73"/>
              <w:jc w:val="left"/>
              <w:rPr>
                <w:rFonts w:ascii="Times New Roman" w:hAnsi="Times New Roman" w:cs="Times New Roman"/>
                <w:szCs w:val="24"/>
              </w:rPr>
            </w:pPr>
            <w:r w:rsidRPr="00FB76A9">
              <w:rPr>
                <w:rFonts w:ascii="Times New Roman" w:hAnsi="Times New Roman" w:cs="Times New Roman"/>
                <w:szCs w:val="24"/>
              </w:rPr>
              <w:t>2) na którego typ zostało wydane świadectwo homologacji typu UE pojazdu, świadectwo homologacji typu ONZ, świadectwo krajowej homologacji typu pojazdu albo świadectwo krajowej homologacji typu pojazdów produkowanych w małych seriach i w którym to pojeździe, w jego przedmiocie wyposażenia lub części przed rejestracją zostały wprowadzone zmiany wpływające na zmianę warunków stanowiących podstawę do wydania świadectwa homologacji typu tego pojazdu.</w:t>
            </w:r>
          </w:p>
          <w:p w14:paraId="740A4830" w14:textId="77777777" w:rsidR="00EF292D" w:rsidRPr="00FB76A9" w:rsidRDefault="00EF292D" w:rsidP="00FD5CD5">
            <w:pPr>
              <w:pStyle w:val="ZUSTzmus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5. Krajowemu indywidualnemu dopuszczeniu nowego pojazdu podlega także:</w:t>
            </w:r>
          </w:p>
          <w:p w14:paraId="498049FB" w14:textId="77777777" w:rsidR="00344C09" w:rsidRPr="00FB76A9" w:rsidRDefault="00EF292D" w:rsidP="00FD5CD5">
            <w:pPr>
              <w:pStyle w:val="ZUSTzmus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1) pojazd, w odniesieniu do którego od chwili jego pierwszej rejestracji w państwie pochodzenia niebędącym państwem członkowskim Unii Europejskiej do chwili złożenia wniosku o uzyskanie krajowego indywidualnego dopuszczenia nowego pojazdu nie upłynęło więcej niż 12 miesięcy albo pojazd, który posiada przebieg nie większy niż 10 000 km, jeśli istnieje możliwość odczytania przebiegu w pojeździe, nawet w przypadku upływu tych 12 miesięcy;</w:t>
            </w:r>
          </w:p>
          <w:p w14:paraId="59A2F56D" w14:textId="77777777" w:rsidR="00344C09" w:rsidRPr="00FB76A9" w:rsidRDefault="00344C09" w:rsidP="00FD5CD5">
            <w:pPr>
              <w:pStyle w:val="ZLITwPKTzmlitwpk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w:t>
            </w:r>
          </w:p>
          <w:p w14:paraId="5BAE4F3B" w14:textId="77777777" w:rsidR="00EF292D" w:rsidRPr="00FB76A9" w:rsidRDefault="00EF292D"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Art. 68c. 1. Dyrektor TDT, w drodze decyzji administracyjnej, za opłatą, na wniosek producenta, przedstawiciela producenta, importera albo właściciela pojazdu, złożony w formie pisemnej, w postaci papierowej lub elektronicznej, wydaje: </w:t>
            </w:r>
          </w:p>
          <w:p w14:paraId="49227535" w14:textId="77777777" w:rsidR="00EF292D" w:rsidRPr="00FB76A9" w:rsidRDefault="00EF292D"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 </w:t>
            </w:r>
          </w:p>
          <w:p w14:paraId="49F745E0" w14:textId="77777777" w:rsidR="00EF292D" w:rsidRPr="00FB76A9" w:rsidRDefault="00EF292D"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lastRenderedPageBreak/>
              <w:t xml:space="preserve">2) świadectwo krajowego indywidualnego dopuszczenia nowego pojazdu </w:t>
            </w:r>
          </w:p>
          <w:p w14:paraId="2E407120" w14:textId="77777777" w:rsidR="00EF292D" w:rsidRPr="00FB76A9" w:rsidRDefault="00EF292D" w:rsidP="00FD5CD5">
            <w:pPr>
              <w:pStyle w:val="ZUSTzmus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albo odmawia jego wydania</w:t>
            </w:r>
          </w:p>
          <w:p w14:paraId="7940AECA" w14:textId="77777777" w:rsidR="00EF292D" w:rsidRPr="00FB76A9" w:rsidRDefault="00EF292D" w:rsidP="00FD5CD5">
            <w:pPr>
              <w:pStyle w:val="ZUSTzmustartykuempunktem"/>
              <w:keepNext/>
              <w:spacing w:line="240" w:lineRule="auto"/>
              <w:ind w:left="73" w:firstLine="0"/>
              <w:jc w:val="left"/>
              <w:rPr>
                <w:rFonts w:ascii="Times New Roman" w:hAnsi="Times New Roman" w:cs="Times New Roman"/>
                <w:szCs w:val="24"/>
              </w:rPr>
            </w:pPr>
            <w:r w:rsidRPr="00FB76A9">
              <w:rPr>
                <w:rFonts w:ascii="Times New Roman" w:hAnsi="Times New Roman" w:cs="Times New Roman"/>
                <w:szCs w:val="24"/>
              </w:rPr>
              <w:t xml:space="preserve">2. Do wniosku, o którym mowa w ust. 1, dołącza się: </w:t>
            </w:r>
          </w:p>
          <w:p w14:paraId="417E773D" w14:textId="77777777" w:rsidR="00EF292D" w:rsidRPr="00FB76A9" w:rsidRDefault="00EF292D" w:rsidP="00FD5CD5">
            <w:pPr>
              <w:pStyle w:val="ZUSTzmustartykuempunktem"/>
              <w:keepNext/>
              <w:spacing w:line="240" w:lineRule="auto"/>
              <w:ind w:left="73"/>
              <w:jc w:val="left"/>
              <w:rPr>
                <w:rFonts w:ascii="Times New Roman" w:hAnsi="Times New Roman" w:cs="Times New Roman"/>
                <w:szCs w:val="24"/>
              </w:rPr>
            </w:pPr>
            <w:r w:rsidRPr="00FB76A9">
              <w:rPr>
                <w:rFonts w:ascii="Times New Roman" w:hAnsi="Times New Roman" w:cs="Times New Roman"/>
                <w:szCs w:val="24"/>
              </w:rPr>
              <w:t xml:space="preserve">1) sprawozdanie z badań potwierdzające spełnienie odpowiednich warunków lub wymagań technicznych w procedurze indywidualnego dopuszczenia pojazdu; </w:t>
            </w:r>
          </w:p>
          <w:p w14:paraId="2BB142BE" w14:textId="77777777" w:rsidR="00EF292D" w:rsidRPr="00FB76A9" w:rsidRDefault="00EF292D" w:rsidP="00FD5CD5">
            <w:pPr>
              <w:pStyle w:val="ZUSTzmustartykuempunktem"/>
              <w:keepNext/>
              <w:spacing w:line="240" w:lineRule="auto"/>
              <w:ind w:left="73"/>
              <w:jc w:val="left"/>
              <w:rPr>
                <w:rFonts w:ascii="Times New Roman" w:hAnsi="Times New Roman" w:cs="Times New Roman"/>
                <w:szCs w:val="24"/>
              </w:rPr>
            </w:pPr>
            <w:r w:rsidRPr="00FB76A9">
              <w:rPr>
                <w:rFonts w:ascii="Times New Roman" w:hAnsi="Times New Roman" w:cs="Times New Roman"/>
                <w:szCs w:val="24"/>
              </w:rPr>
              <w:t xml:space="preserve">2) świadectwo zgodności wydane na każdym etapie kompletacji pojazdu – o ile było wydane; </w:t>
            </w:r>
          </w:p>
          <w:p w14:paraId="4A5A35DC" w14:textId="77777777" w:rsidR="00EF292D" w:rsidRPr="00FB76A9" w:rsidRDefault="00EF292D" w:rsidP="00FD5CD5">
            <w:pPr>
              <w:pStyle w:val="ZUSTzmustartykuempunktem"/>
              <w:keepNext/>
              <w:spacing w:line="240" w:lineRule="auto"/>
              <w:ind w:left="73"/>
              <w:jc w:val="left"/>
              <w:rPr>
                <w:rFonts w:ascii="Times New Roman" w:hAnsi="Times New Roman" w:cs="Times New Roman"/>
                <w:szCs w:val="24"/>
              </w:rPr>
            </w:pPr>
            <w:r w:rsidRPr="00FB76A9">
              <w:rPr>
                <w:rFonts w:ascii="Times New Roman" w:hAnsi="Times New Roman" w:cs="Times New Roman"/>
                <w:szCs w:val="24"/>
              </w:rPr>
              <w:t xml:space="preserve">3) oświadczenie następującej treści: </w:t>
            </w:r>
          </w:p>
          <w:p w14:paraId="01D113AA" w14:textId="77777777" w:rsidR="00EF292D" w:rsidRPr="00FB76A9" w:rsidRDefault="00EF292D" w:rsidP="00FD5CD5">
            <w:pPr>
              <w:pStyle w:val="ZUSTzmustartykuempunktem"/>
              <w:keepNext/>
              <w:spacing w:line="240" w:lineRule="auto"/>
              <w:ind w:left="73" w:firstLine="0"/>
              <w:jc w:val="left"/>
              <w:rPr>
                <w:rFonts w:ascii="Times New Roman" w:hAnsi="Times New Roman" w:cs="Times New Roman"/>
                <w:szCs w:val="24"/>
              </w:rPr>
            </w:pPr>
            <w:r w:rsidRPr="00FB76A9">
              <w:rPr>
                <w:rFonts w:ascii="Times New Roman" w:hAnsi="Times New Roman" w:cs="Times New Roman"/>
                <w:szCs w:val="24"/>
              </w:rPr>
              <w:t xml:space="preserve">„Oświadczam, że złożyłem/złożyłam* tylko jeden wniosek i tylko w jednym państwie członkowskim Unii Europejskiej. </w:t>
            </w:r>
          </w:p>
          <w:p w14:paraId="4CEC12F6" w14:textId="77777777" w:rsidR="00EF292D" w:rsidRPr="00FB76A9" w:rsidRDefault="00EF292D" w:rsidP="00FD5CD5">
            <w:pPr>
              <w:pStyle w:val="ZUSTzmustartykuempunktem"/>
              <w:keepNext/>
              <w:spacing w:line="240" w:lineRule="auto"/>
              <w:ind w:left="73"/>
              <w:jc w:val="left"/>
              <w:rPr>
                <w:rFonts w:ascii="Times New Roman" w:hAnsi="Times New Roman" w:cs="Times New Roman"/>
                <w:szCs w:val="24"/>
              </w:rPr>
            </w:pPr>
            <w:r w:rsidRPr="00FB76A9">
              <w:rPr>
                <w:rFonts w:ascii="Times New Roman" w:hAnsi="Times New Roman" w:cs="Times New Roman"/>
                <w:szCs w:val="24"/>
              </w:rPr>
              <w:t>* Niepotrzebne skreślić.”.;</w:t>
            </w:r>
          </w:p>
          <w:p w14:paraId="17A035AC" w14:textId="77777777" w:rsidR="00EF292D" w:rsidRPr="00FB76A9" w:rsidRDefault="00EF292D" w:rsidP="00FD5CD5">
            <w:pPr>
              <w:pStyle w:val="ZUSTzmustartykuempunktem"/>
              <w:keepNext/>
              <w:spacing w:line="240" w:lineRule="auto"/>
              <w:ind w:left="73"/>
              <w:jc w:val="left"/>
              <w:rPr>
                <w:rFonts w:ascii="Times New Roman" w:hAnsi="Times New Roman" w:cs="Times New Roman"/>
                <w:szCs w:val="24"/>
              </w:rPr>
            </w:pPr>
            <w:r w:rsidRPr="00FB76A9">
              <w:rPr>
                <w:rFonts w:ascii="Times New Roman" w:hAnsi="Times New Roman" w:cs="Times New Roman"/>
                <w:szCs w:val="24"/>
              </w:rPr>
              <w:t xml:space="preserve">4)kopię dowodu uiszczenia opłaty, o której mowa w ust. 1. </w:t>
            </w:r>
          </w:p>
          <w:p w14:paraId="7837CAD8" w14:textId="77777777" w:rsidR="00EF292D" w:rsidRPr="00FB76A9" w:rsidRDefault="00EF292D" w:rsidP="00FD5CD5">
            <w:pPr>
              <w:pStyle w:val="ZUSTzmustartykuempunktem"/>
              <w:keepNext/>
              <w:spacing w:line="240" w:lineRule="auto"/>
              <w:ind w:left="73"/>
              <w:jc w:val="left"/>
              <w:rPr>
                <w:rFonts w:ascii="Times New Roman" w:hAnsi="Times New Roman" w:cs="Times New Roman"/>
                <w:szCs w:val="24"/>
              </w:rPr>
            </w:pPr>
            <w:r w:rsidRPr="00FB76A9">
              <w:rPr>
                <w:rFonts w:ascii="Times New Roman" w:hAnsi="Times New Roman" w:cs="Times New Roman"/>
                <w:szCs w:val="24"/>
              </w:rPr>
              <w:t xml:space="preserve">3. Oświadczenie, o którym mowa w ust. 2 pkt 3, składa się pod rygorem odpowiedzialności karnej za składanie fałszywych oświadczeń. Składający oświadczenie jest obowiązany do zawarcia w nim klauzuli następującej treści: </w:t>
            </w:r>
          </w:p>
          <w:p w14:paraId="0F6DA5A0" w14:textId="77777777" w:rsidR="00EF292D" w:rsidRPr="00FB76A9" w:rsidRDefault="00EF292D" w:rsidP="00FD5CD5">
            <w:pPr>
              <w:pStyle w:val="ZUSTzmustartykuempunktem"/>
              <w:keepNext/>
              <w:spacing w:line="240" w:lineRule="auto"/>
              <w:ind w:left="73"/>
              <w:jc w:val="left"/>
              <w:rPr>
                <w:rFonts w:ascii="Times New Roman" w:hAnsi="Times New Roman" w:cs="Times New Roman"/>
                <w:szCs w:val="24"/>
              </w:rPr>
            </w:pPr>
            <w:r w:rsidRPr="00FB76A9">
              <w:rPr>
                <w:rFonts w:ascii="Times New Roman" w:hAnsi="Times New Roman" w:cs="Times New Roman"/>
                <w:szCs w:val="24"/>
              </w:rPr>
              <w:t xml:space="preserve">„Jestem świadomy/świadoma* odpowiedzialności karnej za złożenie fałszywego oświadczenia wynikającej z art. 233 § 6 ustawy z dnia 6 czerwca 1997 r. – Kodeks karny. </w:t>
            </w:r>
          </w:p>
          <w:p w14:paraId="7C77A6FD" w14:textId="77777777" w:rsidR="00EF292D" w:rsidRPr="00FB76A9" w:rsidRDefault="00EF292D" w:rsidP="00FD5CD5">
            <w:pPr>
              <w:pStyle w:val="ZUSTzmus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 Niepotrzebne skreślić.”. </w:t>
            </w:r>
          </w:p>
          <w:p w14:paraId="154E3D23" w14:textId="77777777" w:rsidR="00EF292D" w:rsidRPr="00FB76A9" w:rsidRDefault="00EF292D"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Klauzula ta zastępuje pouczenie organu o odpowiedzialności karnej za składanie fałszywych oświadczeń. </w:t>
            </w:r>
          </w:p>
          <w:p w14:paraId="758C19B0" w14:textId="77777777" w:rsidR="00EF292D" w:rsidRPr="00FB76A9" w:rsidRDefault="00EF292D"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Art. 68d. 1. Badanie potwierdzające spełnienie odpowiednich warunków lub wymagań technicznych </w:t>
            </w:r>
            <w:r w:rsidRPr="00FB76A9">
              <w:rPr>
                <w:rFonts w:ascii="Times New Roman" w:hAnsi="Times New Roman" w:cs="Times New Roman"/>
                <w:szCs w:val="24"/>
              </w:rPr>
              <w:lastRenderedPageBreak/>
              <w:t xml:space="preserve">lub zastosowanych wymogów alternatywnych dla danego pojazdu w celu wydania świadectwa unijnego indywidualnego dopuszczenia pojazdu albo świadectwa krajowego indywidualnego dopuszczenia nowego pojazdu przeprowadza służba techniczna, na wniosek producenta, przedstawiciela producenta, importera lub właściciela pojazdu. </w:t>
            </w:r>
          </w:p>
          <w:p w14:paraId="1AC27B10" w14:textId="77777777" w:rsidR="00EF292D" w:rsidRPr="00FB76A9" w:rsidRDefault="00EF292D"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2. Do wniosku, o którym mowa w ust. 1, dołącza się: </w:t>
            </w:r>
          </w:p>
          <w:p w14:paraId="31F7CDAF" w14:textId="77777777" w:rsidR="00EF292D" w:rsidRPr="00FB76A9" w:rsidRDefault="00EF292D" w:rsidP="00FD5CD5">
            <w:pPr>
              <w:pStyle w:val="ZARTzmartartykuempunktem"/>
              <w:spacing w:line="240" w:lineRule="auto"/>
              <w:ind w:left="0"/>
              <w:jc w:val="left"/>
              <w:rPr>
                <w:rFonts w:ascii="Times New Roman" w:hAnsi="Times New Roman" w:cs="Times New Roman"/>
                <w:szCs w:val="24"/>
              </w:rPr>
            </w:pPr>
            <w:r w:rsidRPr="00FB76A9">
              <w:rPr>
                <w:rFonts w:ascii="Times New Roman" w:hAnsi="Times New Roman" w:cs="Times New Roman"/>
                <w:szCs w:val="24"/>
              </w:rPr>
              <w:t xml:space="preserve">1) dokument informacyjny; </w:t>
            </w:r>
          </w:p>
          <w:p w14:paraId="0A9A873F" w14:textId="77777777" w:rsidR="00EF292D" w:rsidRPr="00FB76A9" w:rsidRDefault="00EF292D" w:rsidP="00FD5CD5">
            <w:pPr>
              <w:pStyle w:val="ZARTzmartartykuempunktem"/>
              <w:spacing w:line="240" w:lineRule="auto"/>
              <w:ind w:left="0"/>
              <w:jc w:val="left"/>
              <w:rPr>
                <w:rFonts w:ascii="Times New Roman" w:hAnsi="Times New Roman" w:cs="Times New Roman"/>
                <w:szCs w:val="24"/>
              </w:rPr>
            </w:pPr>
            <w:r w:rsidRPr="00FB76A9">
              <w:rPr>
                <w:rFonts w:ascii="Times New Roman" w:hAnsi="Times New Roman" w:cs="Times New Roman"/>
                <w:szCs w:val="24"/>
              </w:rPr>
              <w:t xml:space="preserve">2) świadectwo zgodności wydane na każdym etapie kompletacji pojazdu – o ile było wydane; </w:t>
            </w:r>
          </w:p>
          <w:p w14:paraId="6543391A" w14:textId="77777777" w:rsidR="00EF292D" w:rsidRPr="00FB76A9" w:rsidRDefault="00EF292D" w:rsidP="00FD5CD5">
            <w:pPr>
              <w:pStyle w:val="ZARTzmartartykuempunktem"/>
              <w:spacing w:line="240" w:lineRule="auto"/>
              <w:ind w:left="0"/>
              <w:jc w:val="left"/>
              <w:rPr>
                <w:rFonts w:ascii="Times New Roman" w:hAnsi="Times New Roman" w:cs="Times New Roman"/>
                <w:szCs w:val="24"/>
              </w:rPr>
            </w:pPr>
            <w:r w:rsidRPr="00FB76A9">
              <w:rPr>
                <w:rFonts w:ascii="Times New Roman" w:hAnsi="Times New Roman" w:cs="Times New Roman"/>
                <w:szCs w:val="24"/>
              </w:rPr>
              <w:t xml:space="preserve">3) oświadczenie zawierające dane i informacje o pojeździe niezbędne do rejestracji i ewidencji pojazdu, zgodnie ze wzorem określonym w przepisach wydanych na podstawie art. 68r ust. 1 – o ile było wydane. </w:t>
            </w:r>
          </w:p>
          <w:p w14:paraId="5EF283A5" w14:textId="77777777" w:rsidR="00EF292D" w:rsidRPr="00FB76A9" w:rsidRDefault="00EF292D"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3. Oświadczenie, o którym mowa w ust. 2 pkt 3, może być podpisane podpisem odbitym sposobem mechanicznym. </w:t>
            </w:r>
          </w:p>
          <w:p w14:paraId="18B12BAF" w14:textId="77777777" w:rsidR="00EF292D" w:rsidRPr="00FB76A9" w:rsidRDefault="00EF292D"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4. Z przeprowadzonego badania służba techniczna sporządza sprawozdanie z badań potwierdzające spełnienie odpowiednich warunków lub wymagań technicznych. </w:t>
            </w:r>
          </w:p>
          <w:p w14:paraId="5FE58AC6" w14:textId="77777777" w:rsidR="00344C09" w:rsidRPr="00FB76A9" w:rsidRDefault="00EF292D"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5. Koszty badań potwierdzających spełnienie odpowiednich warunków lub wymagań technicznych w celu wydania świadectwa unijnego indywidualnego dopuszczenia pojazdu albo krajowego indywidualnego dopuszczenia nowego pojazdu pokrywa wnioskodawca. </w:t>
            </w:r>
            <w:r w:rsidR="00344C09" w:rsidRPr="00FB76A9">
              <w:rPr>
                <w:rFonts w:ascii="Times New Roman" w:hAnsi="Times New Roman" w:cs="Times New Roman"/>
                <w:szCs w:val="24"/>
              </w:rPr>
              <w:t xml:space="preserve"> </w:t>
            </w:r>
          </w:p>
          <w:p w14:paraId="0409C299" w14:textId="77777777" w:rsidR="005810CF" w:rsidRPr="00FB76A9" w:rsidRDefault="005810CF" w:rsidP="00FD5CD5">
            <w:pPr>
              <w:pStyle w:val="ZARTzmartartykuempunktem"/>
              <w:keepNext/>
              <w:spacing w:line="240" w:lineRule="auto"/>
              <w:ind w:left="0" w:firstLine="0"/>
              <w:jc w:val="left"/>
              <w:rPr>
                <w:rFonts w:ascii="Times New Roman" w:hAnsi="Times New Roman" w:cs="Times New Roman"/>
                <w:strike/>
                <w:szCs w:val="24"/>
              </w:rPr>
            </w:pPr>
          </w:p>
          <w:p w14:paraId="057B13F2" w14:textId="77777777" w:rsidR="00EF292D" w:rsidRPr="00FB76A9" w:rsidRDefault="00EF292D" w:rsidP="00FD5CD5">
            <w:pPr>
              <w:pStyle w:val="ZARTzmartartykuempunktem"/>
              <w:keepNext/>
              <w:spacing w:line="240" w:lineRule="auto"/>
              <w:ind w:left="73" w:firstLine="0"/>
              <w:jc w:val="left"/>
              <w:rPr>
                <w:rFonts w:ascii="Times New Roman" w:hAnsi="Times New Roman" w:cs="Times New Roman"/>
                <w:szCs w:val="24"/>
              </w:rPr>
            </w:pPr>
            <w:r w:rsidRPr="00FB76A9">
              <w:rPr>
                <w:rFonts w:ascii="Times New Roman" w:hAnsi="Times New Roman" w:cs="Times New Roman"/>
                <w:szCs w:val="24"/>
              </w:rPr>
              <w:t xml:space="preserve">Art. 68f. 1. Dyrektor TDT wydaje świadectwo krajowego indywidualnego dopuszczenia nowego pojazdu, w przypadku gdy pojazd spełnia warunki lub </w:t>
            </w:r>
            <w:r w:rsidRPr="00FB76A9">
              <w:rPr>
                <w:rFonts w:ascii="Times New Roman" w:hAnsi="Times New Roman" w:cs="Times New Roman"/>
                <w:szCs w:val="24"/>
              </w:rPr>
              <w:lastRenderedPageBreak/>
              <w:t xml:space="preserve">wymagania techniczne określone w przepisach wydanych na podstawie art. 68r ust. 1. </w:t>
            </w:r>
          </w:p>
          <w:p w14:paraId="5DB8CC68" w14:textId="77777777" w:rsidR="00EF292D" w:rsidRPr="00FB76A9" w:rsidRDefault="00EF292D" w:rsidP="00FD5CD5">
            <w:pPr>
              <w:pStyle w:val="ZARTzmartartykuempunktem"/>
              <w:keepNext/>
              <w:spacing w:line="240" w:lineRule="auto"/>
              <w:ind w:left="73" w:firstLine="0"/>
              <w:jc w:val="left"/>
              <w:rPr>
                <w:rFonts w:ascii="Times New Roman" w:hAnsi="Times New Roman" w:cs="Times New Roman"/>
                <w:szCs w:val="24"/>
              </w:rPr>
            </w:pPr>
            <w:r w:rsidRPr="00FB76A9">
              <w:rPr>
                <w:rFonts w:ascii="Times New Roman" w:hAnsi="Times New Roman" w:cs="Times New Roman"/>
                <w:szCs w:val="24"/>
              </w:rPr>
              <w:t>2. Dyrektor TDT odmawia wydania świadectwa krajowego indywidualnego dopuszczenia nowego pojazdu, w przypadku gdy nie zostały spełnione warunki lub wymagania techniczne, o których mowa w ust. 1.</w:t>
            </w:r>
          </w:p>
          <w:p w14:paraId="1586930B" w14:textId="77777777" w:rsidR="00EF292D" w:rsidRPr="00FB76A9" w:rsidRDefault="00EF292D" w:rsidP="00FD5CD5">
            <w:pPr>
              <w:pStyle w:val="ZARTzmartartykuempunktem"/>
              <w:keepNext/>
              <w:spacing w:line="240" w:lineRule="auto"/>
              <w:ind w:left="73" w:firstLine="0"/>
              <w:jc w:val="left"/>
              <w:rPr>
                <w:rFonts w:ascii="Times New Roman" w:hAnsi="Times New Roman" w:cs="Times New Roman"/>
                <w:szCs w:val="24"/>
              </w:rPr>
            </w:pPr>
            <w:r w:rsidRPr="00FB76A9">
              <w:rPr>
                <w:rFonts w:ascii="Times New Roman" w:hAnsi="Times New Roman" w:cs="Times New Roman"/>
                <w:szCs w:val="24"/>
              </w:rPr>
              <w:t xml:space="preserve">3. Dyrektor TDT, w drodze decyzji administracyjnej, cofa świadectwo krajowego indywidualnego dopuszczenia nowego pojazdu, jeżeli: </w:t>
            </w:r>
          </w:p>
          <w:p w14:paraId="66C3B7A1" w14:textId="77777777" w:rsidR="00EF292D" w:rsidRPr="00FB76A9" w:rsidRDefault="00EF292D" w:rsidP="00FD5CD5">
            <w:pPr>
              <w:pStyle w:val="ZARTzmartartykuempunktem"/>
              <w:keepNext/>
              <w:spacing w:line="240" w:lineRule="auto"/>
              <w:ind w:left="73" w:firstLine="0"/>
              <w:jc w:val="left"/>
              <w:rPr>
                <w:rFonts w:ascii="Times New Roman" w:hAnsi="Times New Roman" w:cs="Times New Roman"/>
                <w:szCs w:val="24"/>
              </w:rPr>
            </w:pPr>
            <w:r w:rsidRPr="00FB76A9">
              <w:rPr>
                <w:rFonts w:ascii="Times New Roman" w:hAnsi="Times New Roman" w:cs="Times New Roman"/>
                <w:szCs w:val="24"/>
              </w:rPr>
              <w:t xml:space="preserve">1) pojazd przestał spełniać warunki lub wymagania techniczne, o których mowa w ust. 1, albo </w:t>
            </w:r>
          </w:p>
          <w:p w14:paraId="7D6882E3" w14:textId="77777777" w:rsidR="0017241D" w:rsidRPr="00FB76A9" w:rsidRDefault="00EF292D"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2) został złożony wniosek o cofnięcie świadectwa. </w:t>
            </w:r>
          </w:p>
          <w:p w14:paraId="2D7231C8" w14:textId="77777777" w:rsidR="00344C09" w:rsidRPr="00FB76A9" w:rsidRDefault="00344C09"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 </w:t>
            </w:r>
          </w:p>
          <w:p w14:paraId="10EC8E1D" w14:textId="77777777" w:rsidR="00344C09" w:rsidRPr="00FB76A9" w:rsidRDefault="00344C09" w:rsidP="00FD5CD5">
            <w:pPr>
              <w:pStyle w:val="ZUSTzmustartykuempunktem"/>
              <w:spacing w:line="240" w:lineRule="auto"/>
              <w:ind w:left="0" w:firstLine="0"/>
              <w:jc w:val="left"/>
              <w:rPr>
                <w:rFonts w:ascii="Times New Roman" w:hAnsi="Times New Roman" w:cs="Times New Roman"/>
                <w:szCs w:val="24"/>
              </w:rPr>
            </w:pPr>
          </w:p>
          <w:p w14:paraId="5E14BAD0" w14:textId="77777777" w:rsidR="0017241D" w:rsidRPr="00FB76A9" w:rsidRDefault="00344C09"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Art. 68</w:t>
            </w:r>
            <w:r w:rsidR="0017241D" w:rsidRPr="00FB76A9">
              <w:rPr>
                <w:rFonts w:ascii="Times New Roman" w:hAnsi="Times New Roman" w:cs="Times New Roman"/>
                <w:szCs w:val="24"/>
              </w:rPr>
              <w:t>o</w:t>
            </w:r>
            <w:r w:rsidRPr="00FB76A9">
              <w:rPr>
                <w:rFonts w:ascii="Times New Roman" w:hAnsi="Times New Roman" w:cs="Times New Roman"/>
                <w:szCs w:val="24"/>
              </w:rPr>
              <w:t xml:space="preserve">. 1. </w:t>
            </w:r>
            <w:r w:rsidR="0017241D" w:rsidRPr="00FB76A9">
              <w:rPr>
                <w:rFonts w:ascii="Times New Roman" w:hAnsi="Times New Roman" w:cs="Times New Roman"/>
                <w:szCs w:val="24"/>
              </w:rPr>
              <w:t xml:space="preserve">Świadectwo krajowego indywidualnego dopuszczenia pojazdu wydane dla nowego pojazdu zgodnie z art. 1 ust. 1 rozporządzenia 167/2013, art. 1 ust. 1 rozporządzenia 168/2013 albo art. 45 ust. 1 rozporządzenia 2018/858 przez właściwy organ innego niż Rzeczpospolita Polska państwa członkowskiego Unii Europejskiej uznaje Dyrektor TDT, w drodze decyzji administracyjnej, za opłatą, jeżeli pojazd ten spełnia odpowiednie warunki lub wymagania techniczne, które są równoważne warunkom lub wymaganiom obowiązującym na terytorium Rzeczypospolitej Polskiej, o których mowa w art. 68f ust. 1. </w:t>
            </w:r>
          </w:p>
          <w:p w14:paraId="5C4F93F4" w14:textId="77777777" w:rsidR="0017241D" w:rsidRPr="00FB76A9" w:rsidRDefault="0017241D"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2. Wydanie decyzji, o której mowa w ust. 1, następuje na wniosek producenta, importera, przedstawiciela producenta lub właściciela pojazdu. </w:t>
            </w:r>
          </w:p>
          <w:p w14:paraId="73EBE209" w14:textId="77777777" w:rsidR="0017241D" w:rsidRPr="00FB76A9" w:rsidRDefault="0017241D"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3. Do wniosku, o którym mowa w ust. 2, dołącza się: </w:t>
            </w:r>
          </w:p>
          <w:p w14:paraId="3B4B70C6" w14:textId="77777777" w:rsidR="0017241D" w:rsidRPr="00FB76A9" w:rsidRDefault="0017241D"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lastRenderedPageBreak/>
              <w:t xml:space="preserve">1) świadectwo krajowego indywidualnego dopuszczenia pojazdu wydane dla nowego pojazdu zgodnie z art. 1 ust. 1 rozporządzenia 167/2013, art. 1 ust. 1 rozporządzenia 168/2013 albo art. 45 ust. 1 rozporządzenia 2018/858 przez właściwy organ innego niż Rzeczpospolita Polska państwa członkowskiego Unii Europejskiej; </w:t>
            </w:r>
          </w:p>
          <w:p w14:paraId="58323F5C" w14:textId="77777777" w:rsidR="0017241D" w:rsidRPr="00FB76A9" w:rsidRDefault="0017241D"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2) dokument wydany przez właściwy organ innego niż Rzeczpospolita Polska państwa członkowskiego Unii Europejskiej wskazujący przepisy techniczne, na podstawie których wydano świadectwo, o którym mowa w pkt 1;</w:t>
            </w:r>
          </w:p>
          <w:p w14:paraId="1AB587B0" w14:textId="77777777" w:rsidR="0017241D" w:rsidRPr="00FB76A9" w:rsidRDefault="0017241D" w:rsidP="00FD5CD5">
            <w:pPr>
              <w:pStyle w:val="ZUSTzmustartykuempunktem"/>
              <w:spacing w:line="240" w:lineRule="auto"/>
              <w:ind w:left="0"/>
              <w:jc w:val="left"/>
              <w:rPr>
                <w:rFonts w:ascii="Times New Roman" w:hAnsi="Times New Roman" w:cs="Times New Roman"/>
                <w:szCs w:val="24"/>
              </w:rPr>
            </w:pPr>
            <w:r w:rsidRPr="00FB76A9">
              <w:rPr>
                <w:rFonts w:ascii="Times New Roman" w:hAnsi="Times New Roman" w:cs="Times New Roman"/>
                <w:szCs w:val="24"/>
              </w:rPr>
              <w:t xml:space="preserve">3) kopię dowodu uiszczenia opłaty, o której mowa w ust. 1. </w:t>
            </w:r>
          </w:p>
          <w:p w14:paraId="4123278E" w14:textId="77777777" w:rsidR="0017241D" w:rsidRPr="00FB76A9" w:rsidRDefault="0017241D"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4. Dyrektor TDT może zwrócić się do właściwego organu innego niż Rzeczpospolita Polska państwa członkowskiego Unii Europejskiej o udostępnienie dodatkowych informacji o wydanym zgodnie z art. 1 ust. 1 rozporządzenia 167/2013, art. 1 ust. 1 rozporządzenia 168/2013 albo art. 45 ust. 1 rozporządzenia 2018/858 świadectwie krajowego indywidualnego dopuszczenia pojazdu. </w:t>
            </w:r>
          </w:p>
          <w:p w14:paraId="7CB14A66" w14:textId="77777777" w:rsidR="0017241D" w:rsidRPr="00FB76A9" w:rsidRDefault="0017241D"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5. Dyrektor TDT, na wniosek właściwego organu innego niż Rzeczpospolita Polska państwa członkowskiego Unii Europejskiej, udostępnia temu organowi informacje o wydanym przez siebie świadectwie krajowego indywidualnego dopuszczenia nowego pojazdu. </w:t>
            </w:r>
          </w:p>
          <w:p w14:paraId="388026C3" w14:textId="77777777" w:rsidR="0017241D" w:rsidRPr="00FB76A9" w:rsidRDefault="0017241D"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6. W przypadku gdy wydano świadectwo krajowego indywidualnego dopuszczenia nowego pojazdu, który ma być sprzedany, zarejestrowany lub dopuszczony do ruchu na terytorium innego niż Rzeczpospolita Polska </w:t>
            </w:r>
            <w:r w:rsidRPr="00FB76A9">
              <w:rPr>
                <w:rFonts w:ascii="Times New Roman" w:hAnsi="Times New Roman" w:cs="Times New Roman"/>
                <w:szCs w:val="24"/>
              </w:rPr>
              <w:lastRenderedPageBreak/>
              <w:t xml:space="preserve">państwa członkowskiego Unii Europejskiej, Dyrektor TDT, na wniosek producenta, przedstawiciela producenta, importera lub właściciela pojazdu, wydaje dokument wskazujący przepisy techniczne, na podstawie których wydał świadectwo krajowego indywidualnego dopuszczenia nowego pojazdu. </w:t>
            </w:r>
          </w:p>
          <w:p w14:paraId="275BDC7C" w14:textId="77777777" w:rsidR="0017241D" w:rsidRPr="00FB76A9" w:rsidRDefault="0017241D"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7. W przypadku zarejestrowanego na terytorium państwa członkowskiego Unii Europejskiej pojazdu objętego świadectwem krajowego indywidualnego dopuszczenia pojazdu wydanym na ten pojazd przez właściwy organ innego niż Rzeczpospolita Polska państwa członkowskiego Unii Europejskiej, który ma zostać zarejestrowany na terytorium Rzeczypospolitej Polskiej, świadectwo to uznaje Dyrektor TDT, w drodze decyzji administracyjnej, za opłatą, jeżeli pojazd ten:</w:t>
            </w:r>
          </w:p>
          <w:p w14:paraId="0A264C21" w14:textId="77777777" w:rsidR="0017241D" w:rsidRPr="00FB76A9" w:rsidRDefault="0017241D"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1) spełnia odpowiednie warunki lub wymagania techniczne, które są równoważne warunkom lub wymaganiom obowiązującym na terytorium Rzeczypospolitej Polskiej, o których mowa w art. 68f ust. 1;</w:t>
            </w:r>
          </w:p>
          <w:p w14:paraId="7A43419C" w14:textId="77777777" w:rsidR="0017241D" w:rsidRPr="00FB76A9" w:rsidRDefault="0017241D"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2) był zarejestrowany nie dłużej niż 2 lata przed złożeniem wniosku o jego pierwszą rejestrację na terenie Rzeczypospolitej Polskiej, oraz</w:t>
            </w:r>
          </w:p>
          <w:p w14:paraId="013903A6" w14:textId="77777777" w:rsidR="0017241D" w:rsidRPr="00FB76A9" w:rsidRDefault="0017241D"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3) jest objęty świadectwem krajowego indywidualnego dopuszczenia pojazdu wydanym zgodnie z art. 1 ust. 1 rozporządzenia 167/2013, art. 1 ust. 1 rozporządzenia 168/2013 albo art. 45 ust. 1 rozporządzenia 2018/858.</w:t>
            </w:r>
          </w:p>
          <w:p w14:paraId="034DA218" w14:textId="77777777" w:rsidR="0017241D" w:rsidRPr="00FB76A9" w:rsidRDefault="0017241D"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8. Wydanie decyzji, o której mowa w ust. 7, następuje na wniosek producenta, przedstawiciela producenta, importera, właściciela pojazdu. </w:t>
            </w:r>
          </w:p>
          <w:p w14:paraId="54501B55" w14:textId="77777777" w:rsidR="0017241D" w:rsidRPr="00FB76A9" w:rsidRDefault="0017241D"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9. Do wniosku, o którym mowa w ust. 8, dołącza się: </w:t>
            </w:r>
          </w:p>
          <w:p w14:paraId="20355C17" w14:textId="77777777" w:rsidR="0017241D" w:rsidRPr="00FB76A9" w:rsidRDefault="0017241D" w:rsidP="00FD5CD5">
            <w:pPr>
              <w:pStyle w:val="ZUSTzmustartykuempunktem"/>
              <w:spacing w:line="240" w:lineRule="auto"/>
              <w:ind w:left="0"/>
              <w:jc w:val="left"/>
              <w:rPr>
                <w:rFonts w:ascii="Times New Roman" w:hAnsi="Times New Roman" w:cs="Times New Roman"/>
                <w:szCs w:val="24"/>
              </w:rPr>
            </w:pPr>
            <w:r w:rsidRPr="00FB76A9">
              <w:rPr>
                <w:rFonts w:ascii="Times New Roman" w:hAnsi="Times New Roman" w:cs="Times New Roman"/>
                <w:szCs w:val="24"/>
              </w:rPr>
              <w:lastRenderedPageBreak/>
              <w:t xml:space="preserve">1) świadectwo krajowego indywidualnego dopuszczenia pojazdu wydane przez właściwy organ innego niż Rzeczpospolita Polska państwa członkowskiego Unii Europejskiej zgodnie z art. 1 ust. 1 rozporządzenia 167/2013, art. 1 ust. 1 rozporządzenia 168/2013 albo art. 45 ust. 1 rozporządzenia 2018/858; </w:t>
            </w:r>
          </w:p>
          <w:p w14:paraId="3A1A9F2B" w14:textId="77777777" w:rsidR="0017241D" w:rsidRPr="00FB76A9" w:rsidRDefault="0017241D" w:rsidP="00FD5CD5">
            <w:pPr>
              <w:pStyle w:val="ZUSTzmustartykuempunktem"/>
              <w:spacing w:line="240" w:lineRule="auto"/>
              <w:ind w:left="0"/>
              <w:jc w:val="left"/>
              <w:rPr>
                <w:rFonts w:ascii="Times New Roman" w:hAnsi="Times New Roman" w:cs="Times New Roman"/>
                <w:szCs w:val="24"/>
              </w:rPr>
            </w:pPr>
            <w:r w:rsidRPr="00FB76A9">
              <w:rPr>
                <w:rFonts w:ascii="Times New Roman" w:hAnsi="Times New Roman" w:cs="Times New Roman"/>
                <w:szCs w:val="24"/>
              </w:rPr>
              <w:t>2) dokument wydany przez właściwy organ innego niż Rzeczpospolita Polska państwa członkowskiego Unii Europejskiej wskazujący przepisy techniczne, na podstawie których wydano świadectwo, o którym mowa w pkt 1;</w:t>
            </w:r>
          </w:p>
          <w:p w14:paraId="2A591308" w14:textId="77777777" w:rsidR="0017241D" w:rsidRPr="00FB76A9" w:rsidRDefault="0017241D" w:rsidP="00FD5CD5">
            <w:pPr>
              <w:pStyle w:val="ZUSTzmustartykuempunktem"/>
              <w:spacing w:line="240" w:lineRule="auto"/>
              <w:ind w:left="0"/>
              <w:jc w:val="left"/>
              <w:rPr>
                <w:rFonts w:ascii="Times New Roman" w:hAnsi="Times New Roman" w:cs="Times New Roman"/>
                <w:szCs w:val="24"/>
              </w:rPr>
            </w:pPr>
            <w:r w:rsidRPr="00FB76A9">
              <w:rPr>
                <w:rFonts w:ascii="Times New Roman" w:hAnsi="Times New Roman" w:cs="Times New Roman"/>
                <w:szCs w:val="24"/>
              </w:rPr>
              <w:t>3) dowód rejestracyjny albo dopuszczenie pojazdu do ruchu drogowego w państwie pochodzenia wydany przez właściwy organ;</w:t>
            </w:r>
          </w:p>
          <w:p w14:paraId="363BEEA7" w14:textId="77777777" w:rsidR="0017241D" w:rsidRPr="00FB76A9" w:rsidRDefault="0017241D" w:rsidP="00FD5CD5">
            <w:pPr>
              <w:pStyle w:val="ZUSTzmustartykuempunktem"/>
              <w:spacing w:line="240" w:lineRule="auto"/>
              <w:ind w:left="0"/>
              <w:jc w:val="left"/>
              <w:rPr>
                <w:rFonts w:ascii="Times New Roman" w:hAnsi="Times New Roman" w:cs="Times New Roman"/>
                <w:szCs w:val="24"/>
              </w:rPr>
            </w:pPr>
            <w:r w:rsidRPr="00FB76A9">
              <w:rPr>
                <w:rFonts w:ascii="Times New Roman" w:hAnsi="Times New Roman" w:cs="Times New Roman"/>
                <w:szCs w:val="24"/>
              </w:rPr>
              <w:t>4)</w:t>
            </w:r>
            <w:r w:rsidR="00C472E8">
              <w:rPr>
                <w:rFonts w:ascii="Times New Roman" w:hAnsi="Times New Roman" w:cs="Times New Roman"/>
                <w:szCs w:val="24"/>
              </w:rPr>
              <w:t xml:space="preserve"> </w:t>
            </w:r>
            <w:r w:rsidRPr="00FB76A9">
              <w:rPr>
                <w:rFonts w:ascii="Times New Roman" w:hAnsi="Times New Roman" w:cs="Times New Roman"/>
                <w:szCs w:val="24"/>
              </w:rPr>
              <w:t xml:space="preserve">kopię dowodu uiszczenia opłaty, o której mowa w ust. 7. </w:t>
            </w:r>
          </w:p>
          <w:p w14:paraId="343F40DB" w14:textId="77777777" w:rsidR="0017241D" w:rsidRPr="00FB76A9" w:rsidRDefault="0017241D"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10. Dyrektor TDT, w drodze decyzji administracyjnej, za opłatą, odmawia uznania świadectwa, o którym mowa w ust. 1 albo ust. 7, wydanego na dany pojazd przez właściwy organ innego niż Rzeczpospolita Polska państwa członkowskiego Unii Europejskiej, jeżeli pojazd ten nie spełnia odpowiednich warunków lub wymagań technicznych, które są równoważne warunkom lub wymaganiom obowiązującym na terytorium Rzeczypospolitej Polskiej, o których mowa w art. 68f ust. 1.</w:t>
            </w:r>
          </w:p>
          <w:p w14:paraId="79A7D045" w14:textId="77777777" w:rsidR="00A33094" w:rsidRPr="00FB76A9" w:rsidRDefault="00344C09"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 </w:t>
            </w:r>
            <w:r w:rsidR="00A33094" w:rsidRPr="00FB76A9">
              <w:rPr>
                <w:rFonts w:ascii="Times New Roman" w:hAnsi="Times New Roman" w:cs="Times New Roman"/>
                <w:szCs w:val="24"/>
              </w:rPr>
              <w:t xml:space="preserve">Art. 68p. Dyrektor TDT wydaje duplikaty dokumentów, o których mowa w art. 68c ust. 1, art. 68o ust. 1 lub 7. Do wydania duplikatu stosuje się przepis art. 41 ust. 2. </w:t>
            </w:r>
          </w:p>
          <w:p w14:paraId="35EDE88B" w14:textId="77777777" w:rsidR="00A33094" w:rsidRPr="00FB76A9" w:rsidRDefault="00A33094" w:rsidP="00FD5CD5">
            <w:pPr>
              <w:pStyle w:val="ZUSTzmustartykuempunktem"/>
              <w:spacing w:line="240" w:lineRule="auto"/>
              <w:ind w:left="73" w:firstLine="0"/>
              <w:jc w:val="left"/>
              <w:rPr>
                <w:rFonts w:ascii="Times New Roman" w:hAnsi="Times New Roman" w:cs="Times New Roman"/>
                <w:szCs w:val="24"/>
              </w:rPr>
            </w:pPr>
            <w:r w:rsidRPr="00FB76A9">
              <w:rPr>
                <w:rFonts w:ascii="Times New Roman" w:hAnsi="Times New Roman" w:cs="Times New Roman"/>
                <w:szCs w:val="24"/>
              </w:rPr>
              <w:t xml:space="preserve">Art. 68q. 1. Producent, przedstawiciel producenta, importer pojazdu, dla którego zostało wydane </w:t>
            </w:r>
            <w:r w:rsidRPr="00FB76A9">
              <w:rPr>
                <w:rFonts w:ascii="Times New Roman" w:hAnsi="Times New Roman" w:cs="Times New Roman"/>
                <w:szCs w:val="24"/>
              </w:rPr>
              <w:lastRenderedPageBreak/>
              <w:t>świadectwo unijnego indywidualnego dopuszczenia pojazdu, świadectwo krajowego indywidualnego dopuszczenia nowego pojazdu albo uznanie świadectwa krajowego indywidualnego dopuszczenia pojazdu, jest obowiązany wystawić oświadczenie zawierające dane i informacje o pojeździe niezbędne do rejestracji i ewidencji pojazdu, zgodnie ze wzorem określonym w przepisach wydanych na podstawie art. 68r ust. 1. Oświadczenie może być podpisane podpisem odbitym sposobem mechanicznym.</w:t>
            </w:r>
          </w:p>
          <w:p w14:paraId="02FEF18B" w14:textId="77777777" w:rsidR="00A33094" w:rsidRPr="00FB76A9" w:rsidRDefault="00A33094"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2. W przypadku pojazdu, dla którego właściciela zostało wydane świadectwo unijnego indywidualnego dopuszczenia pojazdu albo świadectwo krajowego indywidualnego dopuszczenia nowego pojazdu, oświadczenie, o którym mowa w ust. 1, może zostać wystawione przez służbę techniczną przeprowadzającą na wniosek właściciela tego pojazdu badania, o których mowa w art. 68d ust. 1. </w:t>
            </w:r>
          </w:p>
          <w:p w14:paraId="09851B32" w14:textId="77777777" w:rsidR="00A33094" w:rsidRPr="00FB76A9" w:rsidRDefault="00A33094" w:rsidP="00FD5CD5">
            <w:pPr>
              <w:pStyle w:val="ZARTzmartartykuempunktem"/>
              <w:keepNext/>
              <w:spacing w:line="240" w:lineRule="auto"/>
              <w:ind w:left="73" w:firstLine="0"/>
              <w:jc w:val="left"/>
              <w:rPr>
                <w:rFonts w:ascii="Times New Roman" w:hAnsi="Times New Roman" w:cs="Times New Roman"/>
                <w:szCs w:val="24"/>
              </w:rPr>
            </w:pPr>
            <w:r w:rsidRPr="00FB76A9">
              <w:rPr>
                <w:rFonts w:ascii="Times New Roman" w:hAnsi="Times New Roman" w:cs="Times New Roman"/>
                <w:szCs w:val="24"/>
              </w:rPr>
              <w:t xml:space="preserve">Art. 68r. 1. Minister właściwy do spraw transportu określi, w drodze rozporządzenia: </w:t>
            </w:r>
          </w:p>
          <w:p w14:paraId="5270FB65" w14:textId="77777777" w:rsidR="00A33094" w:rsidRPr="00FB76A9" w:rsidRDefault="00A33094" w:rsidP="00FD5CD5">
            <w:pPr>
              <w:pStyle w:val="ZARTzmartartykuempunktem"/>
              <w:keepNext/>
              <w:spacing w:line="240" w:lineRule="auto"/>
              <w:ind w:left="73"/>
              <w:jc w:val="left"/>
              <w:rPr>
                <w:rFonts w:ascii="Times New Roman" w:hAnsi="Times New Roman" w:cs="Times New Roman"/>
                <w:szCs w:val="24"/>
              </w:rPr>
            </w:pPr>
            <w:r w:rsidRPr="00FB76A9">
              <w:rPr>
                <w:rFonts w:ascii="Times New Roman" w:hAnsi="Times New Roman" w:cs="Times New Roman"/>
                <w:szCs w:val="24"/>
              </w:rPr>
              <w:t xml:space="preserve">1) zakres warunków lub wymagań technicznych obowiązujących w procedurze krajowego indywidualnego dopuszczenia pojazdu, z uwzględnieniem równoważnych wymogów alternatywnych, zakres i sposób przeprowadzania badań potwierdzających spełnienie odpowiednich warunków lub wymagań technicznych w celu </w:t>
            </w:r>
            <w:r w:rsidRPr="00FB76A9">
              <w:rPr>
                <w:rFonts w:ascii="Times New Roman" w:hAnsi="Times New Roman" w:cs="Times New Roman"/>
                <w:szCs w:val="24"/>
              </w:rPr>
              <w:lastRenderedPageBreak/>
              <w:t xml:space="preserve">uzyskania krajowego indywidualnego dopuszczenia pojazdu; </w:t>
            </w:r>
          </w:p>
          <w:p w14:paraId="5369454C" w14:textId="77777777" w:rsidR="00A33094" w:rsidRPr="00FB76A9" w:rsidRDefault="00A33094" w:rsidP="00FD5CD5">
            <w:pPr>
              <w:pStyle w:val="ZARTzmartartykuempunktem"/>
              <w:keepNext/>
              <w:spacing w:line="240" w:lineRule="auto"/>
              <w:ind w:left="73"/>
              <w:jc w:val="left"/>
              <w:rPr>
                <w:rFonts w:ascii="Times New Roman" w:hAnsi="Times New Roman" w:cs="Times New Roman"/>
                <w:szCs w:val="24"/>
              </w:rPr>
            </w:pPr>
            <w:r w:rsidRPr="00FB76A9">
              <w:rPr>
                <w:rFonts w:ascii="Times New Roman" w:hAnsi="Times New Roman" w:cs="Times New Roman"/>
                <w:szCs w:val="24"/>
              </w:rPr>
              <w:t xml:space="preserve">2) wzory dokumentów związanych z procedurą unijnego i krajowego indywidualnego dopuszczenia pojazdu; </w:t>
            </w:r>
          </w:p>
          <w:p w14:paraId="08944995" w14:textId="77777777" w:rsidR="00A33094" w:rsidRPr="00FB76A9" w:rsidRDefault="00A33094" w:rsidP="00FD5CD5">
            <w:pPr>
              <w:pStyle w:val="ZARTzmartartykuempunktem"/>
              <w:keepNext/>
              <w:spacing w:line="240" w:lineRule="auto"/>
              <w:ind w:left="73"/>
              <w:jc w:val="left"/>
              <w:rPr>
                <w:rFonts w:ascii="Times New Roman" w:hAnsi="Times New Roman" w:cs="Times New Roman"/>
                <w:szCs w:val="24"/>
              </w:rPr>
            </w:pPr>
            <w:r w:rsidRPr="00FB76A9">
              <w:rPr>
                <w:rFonts w:ascii="Times New Roman" w:hAnsi="Times New Roman" w:cs="Times New Roman"/>
                <w:szCs w:val="24"/>
              </w:rPr>
              <w:t xml:space="preserve">3) wzór oświadczenia zawierającego dane i informacje o pojeździe niezbędne do rejestracji i ewidencji pojazdu; </w:t>
            </w:r>
          </w:p>
          <w:p w14:paraId="3BD78BDB" w14:textId="77777777" w:rsidR="00A33094" w:rsidRPr="00FB76A9" w:rsidRDefault="00A33094" w:rsidP="00FD5CD5">
            <w:pPr>
              <w:pStyle w:val="ZARTzmartartykuempunktem"/>
              <w:keepNext/>
              <w:spacing w:line="240" w:lineRule="auto"/>
              <w:ind w:left="73"/>
              <w:jc w:val="left"/>
              <w:rPr>
                <w:rFonts w:ascii="Times New Roman" w:hAnsi="Times New Roman" w:cs="Times New Roman"/>
                <w:szCs w:val="24"/>
              </w:rPr>
            </w:pPr>
            <w:r w:rsidRPr="00FB76A9">
              <w:rPr>
                <w:rFonts w:ascii="Times New Roman" w:hAnsi="Times New Roman" w:cs="Times New Roman"/>
                <w:szCs w:val="24"/>
              </w:rPr>
              <w:t>4) szczegółowe czynności Dyrektora TDT, służby technicznej i uprawnionego diagnosty w procedurze indywidualnego dopuszczenia pojazdu;</w:t>
            </w:r>
          </w:p>
          <w:p w14:paraId="571D2946" w14:textId="77777777" w:rsidR="00A33094" w:rsidRPr="00FB76A9" w:rsidRDefault="00A33094" w:rsidP="00FD5CD5">
            <w:pPr>
              <w:pStyle w:val="ZUSTzmus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5) </w:t>
            </w:r>
            <w:r w:rsidRPr="00FB76A9">
              <w:rPr>
                <w:rFonts w:ascii="Times New Roman" w:hAnsi="Times New Roman" w:cs="Times New Roman"/>
                <w:szCs w:val="24"/>
              </w:rPr>
              <w:tab/>
              <w:t>program szkolenia diagnostów, sposób przeprowadzania egzaminu kwalifikacyjnego oraz wzory dokumentów związanych z uzyskaniem zaświadczenia kwalifikacyjnego i uprawnienia dla przedsiębiorcy prowadzącego stację kontroli pojazdów.</w:t>
            </w:r>
          </w:p>
          <w:p w14:paraId="14C53EAB" w14:textId="77777777" w:rsidR="00A33094" w:rsidRPr="00FB76A9" w:rsidRDefault="00A33094" w:rsidP="00FD5CD5">
            <w:pPr>
              <w:pStyle w:val="ZUSTzmustartykuempunktem"/>
              <w:keepNext/>
              <w:spacing w:line="240" w:lineRule="auto"/>
              <w:ind w:left="73" w:firstLine="0"/>
              <w:jc w:val="left"/>
              <w:rPr>
                <w:rFonts w:ascii="Times New Roman" w:hAnsi="Times New Roman" w:cs="Times New Roman"/>
                <w:szCs w:val="24"/>
              </w:rPr>
            </w:pPr>
            <w:r w:rsidRPr="00FB76A9">
              <w:rPr>
                <w:rFonts w:ascii="Times New Roman" w:hAnsi="Times New Roman" w:cs="Times New Roman"/>
                <w:szCs w:val="24"/>
              </w:rPr>
              <w:t xml:space="preserve">2. Wydając rozporządzenie, o którym mowa w ust. 1, minister uwzględnia: </w:t>
            </w:r>
          </w:p>
          <w:p w14:paraId="6E01F099" w14:textId="77777777" w:rsidR="00A33094" w:rsidRPr="00FB76A9" w:rsidRDefault="00A33094" w:rsidP="00FD5CD5">
            <w:pPr>
              <w:pStyle w:val="ZUSTzmustartykuempunktem"/>
              <w:keepNext/>
              <w:spacing w:line="240" w:lineRule="auto"/>
              <w:ind w:left="73" w:firstLine="0"/>
              <w:jc w:val="left"/>
              <w:rPr>
                <w:rFonts w:ascii="Times New Roman" w:hAnsi="Times New Roman" w:cs="Times New Roman"/>
                <w:szCs w:val="24"/>
              </w:rPr>
            </w:pPr>
            <w:r w:rsidRPr="00FB76A9">
              <w:rPr>
                <w:rFonts w:ascii="Times New Roman" w:hAnsi="Times New Roman" w:cs="Times New Roman"/>
                <w:szCs w:val="24"/>
              </w:rPr>
              <w:t xml:space="preserve">1) konieczność zapewnienia właściwego poziomu bezpieczeństwa, ochrony zdrowia </w:t>
            </w:r>
          </w:p>
          <w:p w14:paraId="5B780C8D" w14:textId="77777777" w:rsidR="00A33094" w:rsidRPr="00FB76A9" w:rsidRDefault="00A33094" w:rsidP="00FD5CD5">
            <w:pPr>
              <w:pStyle w:val="ZUSTzmustartykuempunktem"/>
              <w:keepNext/>
              <w:spacing w:line="240" w:lineRule="auto"/>
              <w:ind w:left="73" w:firstLine="284"/>
              <w:jc w:val="left"/>
              <w:rPr>
                <w:rFonts w:ascii="Times New Roman" w:hAnsi="Times New Roman" w:cs="Times New Roman"/>
                <w:szCs w:val="24"/>
              </w:rPr>
            </w:pPr>
            <w:r w:rsidRPr="00FB76A9">
              <w:rPr>
                <w:rFonts w:ascii="Times New Roman" w:hAnsi="Times New Roman" w:cs="Times New Roman"/>
                <w:szCs w:val="24"/>
              </w:rPr>
              <w:t xml:space="preserve">i środowiska; </w:t>
            </w:r>
          </w:p>
          <w:p w14:paraId="27865783" w14:textId="77777777" w:rsidR="00A33094" w:rsidRPr="00FB76A9" w:rsidRDefault="00A33094" w:rsidP="00FD5CD5">
            <w:pPr>
              <w:pStyle w:val="ZUSTzmustartykuempunktem"/>
              <w:keepNext/>
              <w:spacing w:line="240" w:lineRule="auto"/>
              <w:ind w:left="73" w:firstLine="0"/>
              <w:jc w:val="left"/>
              <w:rPr>
                <w:rFonts w:ascii="Times New Roman" w:hAnsi="Times New Roman" w:cs="Times New Roman"/>
                <w:szCs w:val="24"/>
              </w:rPr>
            </w:pPr>
            <w:r w:rsidRPr="00FB76A9">
              <w:rPr>
                <w:rFonts w:ascii="Times New Roman" w:hAnsi="Times New Roman" w:cs="Times New Roman"/>
                <w:szCs w:val="24"/>
              </w:rPr>
              <w:t>2) potrzebę zapewnienia zabezpieczenia dokumentów przed podrobieniem lub przerobieniem;</w:t>
            </w:r>
          </w:p>
          <w:p w14:paraId="67D811B5" w14:textId="77777777" w:rsidR="00A33094" w:rsidRPr="00FB76A9" w:rsidRDefault="00A33094" w:rsidP="00FD5CD5">
            <w:pPr>
              <w:pStyle w:val="ZUSTzmustartykuempunktem"/>
              <w:keepNext/>
              <w:spacing w:line="240" w:lineRule="auto"/>
              <w:ind w:left="73" w:firstLine="0"/>
              <w:jc w:val="left"/>
              <w:rPr>
                <w:rFonts w:ascii="Times New Roman" w:hAnsi="Times New Roman" w:cs="Times New Roman"/>
                <w:szCs w:val="24"/>
              </w:rPr>
            </w:pPr>
            <w:r w:rsidRPr="00FB76A9">
              <w:rPr>
                <w:rFonts w:ascii="Times New Roman" w:hAnsi="Times New Roman" w:cs="Times New Roman"/>
                <w:szCs w:val="24"/>
              </w:rPr>
              <w:t xml:space="preserve">3) konieczność ujednolicenia wzorów dokumentów związanych z procedurą unijnego i krajowego indywidualnego dopuszczenia pojazdu oraz oświadczeń składanych w ramach rejestracji i ewidencji pojazdu, a także potrzebę zapewnienia ich funkcjonalności; </w:t>
            </w:r>
          </w:p>
          <w:p w14:paraId="672C33C7" w14:textId="77777777" w:rsidR="00344C09" w:rsidRPr="00FB76A9" w:rsidRDefault="00A33094" w:rsidP="00FD5CD5">
            <w:pPr>
              <w:pStyle w:val="ZPKTzmpktartykuempunktem"/>
              <w:spacing w:line="240" w:lineRule="auto"/>
              <w:ind w:left="73"/>
              <w:jc w:val="left"/>
              <w:rPr>
                <w:rFonts w:ascii="Times New Roman" w:hAnsi="Times New Roman" w:cs="Times New Roman"/>
                <w:szCs w:val="24"/>
              </w:rPr>
            </w:pPr>
            <w:r w:rsidRPr="00FB76A9">
              <w:rPr>
                <w:rFonts w:ascii="Times New Roman" w:hAnsi="Times New Roman" w:cs="Times New Roman"/>
                <w:szCs w:val="24"/>
              </w:rPr>
              <w:t xml:space="preserve">4) </w:t>
            </w:r>
            <w:r w:rsidRPr="00FB76A9">
              <w:rPr>
                <w:rFonts w:ascii="Times New Roman" w:hAnsi="Times New Roman" w:cs="Times New Roman"/>
                <w:szCs w:val="24"/>
              </w:rPr>
              <w:tab/>
            </w:r>
            <w:r w:rsidR="005547F0" w:rsidRPr="00FB76A9">
              <w:rPr>
                <w:rFonts w:ascii="Times New Roman" w:hAnsi="Times New Roman" w:cs="Times New Roman"/>
                <w:szCs w:val="24"/>
              </w:rPr>
              <w:t xml:space="preserve">4) </w:t>
            </w:r>
            <w:r w:rsidRPr="00FB76A9">
              <w:rPr>
                <w:rFonts w:ascii="Times New Roman" w:hAnsi="Times New Roman" w:cs="Times New Roman"/>
                <w:szCs w:val="24"/>
              </w:rPr>
              <w:t>konieczność zapewnienia sprawnego i skutecznego wykonywania zadań w zakresie indywidualnego dopuszczenia pojazdu.</w:t>
            </w:r>
            <w:r w:rsidR="00344C09" w:rsidRPr="00FB76A9">
              <w:rPr>
                <w:rFonts w:ascii="Times New Roman" w:hAnsi="Times New Roman" w:cs="Times New Roman"/>
                <w:szCs w:val="24"/>
              </w:rPr>
              <w:t>”</w:t>
            </w:r>
          </w:p>
        </w:tc>
        <w:tc>
          <w:tcPr>
            <w:tcW w:w="1500" w:type="dxa"/>
            <w:tcBorders>
              <w:top w:val="single" w:sz="4" w:space="0" w:color="auto"/>
              <w:left w:val="single" w:sz="4" w:space="0" w:color="auto"/>
              <w:bottom w:val="single" w:sz="4" w:space="0" w:color="auto"/>
              <w:right w:val="single" w:sz="4" w:space="0" w:color="auto"/>
            </w:tcBorders>
          </w:tcPr>
          <w:p w14:paraId="25CB5022"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tc>
      </w:tr>
      <w:tr w:rsidR="00344C09" w:rsidRPr="00FB76A9" w14:paraId="07FD7489" w14:textId="77777777" w:rsidTr="00F72A95">
        <w:trPr>
          <w:trHeight w:val="3869"/>
        </w:trPr>
        <w:tc>
          <w:tcPr>
            <w:tcW w:w="988" w:type="dxa"/>
            <w:tcBorders>
              <w:top w:val="single" w:sz="4" w:space="0" w:color="auto"/>
              <w:left w:val="single" w:sz="4" w:space="0" w:color="auto"/>
              <w:bottom w:val="single" w:sz="4" w:space="0" w:color="auto"/>
              <w:right w:val="single" w:sz="4" w:space="0" w:color="auto"/>
            </w:tcBorders>
          </w:tcPr>
          <w:p w14:paraId="0BEFE042" w14:textId="77777777" w:rsidR="00344C09" w:rsidRPr="00FB76A9" w:rsidRDefault="00344C09" w:rsidP="00FD5CD5">
            <w:pPr>
              <w:spacing w:after="0" w:line="240" w:lineRule="auto"/>
              <w:rPr>
                <w:rFonts w:ascii="Times New Roman" w:hAnsi="Times New Roman" w:cs="Times New Roman"/>
                <w:b/>
                <w:sz w:val="24"/>
                <w:szCs w:val="24"/>
              </w:rPr>
            </w:pPr>
            <w:r w:rsidRPr="00FB76A9">
              <w:rPr>
                <w:rFonts w:ascii="Times New Roman" w:hAnsi="Times New Roman" w:cs="Times New Roman"/>
                <w:b/>
                <w:sz w:val="24"/>
                <w:szCs w:val="24"/>
              </w:rPr>
              <w:lastRenderedPageBreak/>
              <w:t>Art. 3 pkt 37 i pkt 40</w:t>
            </w:r>
          </w:p>
        </w:tc>
        <w:tc>
          <w:tcPr>
            <w:tcW w:w="5528" w:type="dxa"/>
            <w:tcBorders>
              <w:top w:val="single" w:sz="4" w:space="0" w:color="auto"/>
              <w:left w:val="single" w:sz="4" w:space="0" w:color="auto"/>
              <w:bottom w:val="single" w:sz="4" w:space="0" w:color="auto"/>
              <w:right w:val="single" w:sz="4" w:space="0" w:color="auto"/>
            </w:tcBorders>
          </w:tcPr>
          <w:p w14:paraId="0C7B09BD"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„37) „nowy pojazd” oznacza pojazd, który nigdy wcześniej nie był rejestrowany ani dopuszczony;”,</w:t>
            </w:r>
          </w:p>
          <w:p w14:paraId="67314F41"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69BA6846"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hAnsi="Times New Roman" w:cs="Times New Roman"/>
                <w:sz w:val="24"/>
                <w:szCs w:val="24"/>
              </w:rPr>
              <w:t>„40) „dopuszczenie” oznacza pierwsze wykorzystanie w Unii pojazdu, układu, komponentu, oddzielnego zespołu technicznego, części lub wyposażenia zgodnie z ich przeznaczeniem;”</w:t>
            </w:r>
          </w:p>
        </w:tc>
        <w:tc>
          <w:tcPr>
            <w:tcW w:w="784" w:type="dxa"/>
            <w:gridSpan w:val="2"/>
            <w:tcBorders>
              <w:top w:val="single" w:sz="4" w:space="0" w:color="auto"/>
              <w:left w:val="single" w:sz="4" w:space="0" w:color="auto"/>
              <w:bottom w:val="single" w:sz="4" w:space="0" w:color="auto"/>
              <w:right w:val="single" w:sz="4" w:space="0" w:color="auto"/>
            </w:tcBorders>
          </w:tcPr>
          <w:p w14:paraId="2F3F2258"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633" w:type="dxa"/>
            <w:tcBorders>
              <w:top w:val="single" w:sz="4" w:space="0" w:color="auto"/>
              <w:left w:val="single" w:sz="4" w:space="0" w:color="auto"/>
              <w:bottom w:val="single" w:sz="4" w:space="0" w:color="auto"/>
              <w:right w:val="single" w:sz="4" w:space="0" w:color="auto"/>
            </w:tcBorders>
          </w:tcPr>
          <w:p w14:paraId="24154670"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w:t>
            </w:r>
            <w:r w:rsidR="00A90AC1" w:rsidRPr="00FB76A9">
              <w:rPr>
                <w:rFonts w:ascii="Times New Roman" w:eastAsia="Times New Roman" w:hAnsi="Times New Roman" w:cs="Times New Roman"/>
                <w:sz w:val="24"/>
                <w:szCs w:val="24"/>
                <w:lang w:eastAsia="pl-PL"/>
              </w:rPr>
              <w:t>21</w:t>
            </w:r>
          </w:p>
        </w:tc>
        <w:tc>
          <w:tcPr>
            <w:tcW w:w="5562" w:type="dxa"/>
            <w:tcBorders>
              <w:top w:val="single" w:sz="4" w:space="0" w:color="auto"/>
              <w:left w:val="single" w:sz="4" w:space="0" w:color="auto"/>
              <w:bottom w:val="single" w:sz="4" w:space="0" w:color="auto"/>
              <w:right w:val="single" w:sz="4" w:space="0" w:color="auto"/>
            </w:tcBorders>
          </w:tcPr>
          <w:p w14:paraId="5F3C0091" w14:textId="77777777" w:rsidR="00A90AC1" w:rsidRPr="00FB76A9" w:rsidRDefault="00344C09" w:rsidP="00FD5CD5">
            <w:pPr>
              <w:pStyle w:val="ZUSTzmustartykuempunktem"/>
              <w:keepNext/>
              <w:spacing w:line="240" w:lineRule="auto"/>
              <w:ind w:left="0" w:firstLine="0"/>
              <w:jc w:val="left"/>
              <w:rPr>
                <w:rFonts w:ascii="Times New Roman" w:eastAsia="Times New Roman" w:hAnsi="Times New Roman" w:cs="Times New Roman"/>
                <w:szCs w:val="24"/>
              </w:rPr>
            </w:pPr>
            <w:r w:rsidRPr="00FB76A9">
              <w:rPr>
                <w:rFonts w:ascii="Times New Roman" w:eastAsia="Times New Roman" w:hAnsi="Times New Roman" w:cs="Times New Roman"/>
                <w:szCs w:val="24"/>
              </w:rPr>
              <w:t xml:space="preserve">„Art. 68a.5. </w:t>
            </w:r>
            <w:r w:rsidR="00A90AC1" w:rsidRPr="00FB76A9">
              <w:rPr>
                <w:rFonts w:ascii="Times New Roman" w:eastAsia="Times New Roman" w:hAnsi="Times New Roman" w:cs="Times New Roman"/>
                <w:szCs w:val="24"/>
              </w:rPr>
              <w:t>Krajowemu indywidualnemu dopuszczeniu nowego pojazdu podlega także:</w:t>
            </w:r>
          </w:p>
          <w:p w14:paraId="1BEE9844" w14:textId="77777777" w:rsidR="00A90AC1" w:rsidRPr="00FB76A9" w:rsidRDefault="00A90AC1" w:rsidP="00FD5CD5">
            <w:pPr>
              <w:pStyle w:val="ZUSTzmustartykuempunktem"/>
              <w:keepNext/>
              <w:spacing w:line="240" w:lineRule="auto"/>
              <w:ind w:left="0" w:firstLine="0"/>
              <w:jc w:val="left"/>
              <w:rPr>
                <w:rFonts w:ascii="Times New Roman" w:eastAsia="Times New Roman" w:hAnsi="Times New Roman" w:cs="Times New Roman"/>
                <w:szCs w:val="24"/>
              </w:rPr>
            </w:pPr>
            <w:r w:rsidRPr="00FB76A9">
              <w:rPr>
                <w:rFonts w:ascii="Times New Roman" w:eastAsia="Times New Roman" w:hAnsi="Times New Roman" w:cs="Times New Roman"/>
                <w:szCs w:val="24"/>
              </w:rPr>
              <w:t>(…)</w:t>
            </w:r>
          </w:p>
          <w:p w14:paraId="2B541729" w14:textId="77777777" w:rsidR="00703BF5" w:rsidRPr="00C472E8" w:rsidRDefault="00A90AC1" w:rsidP="00FD5CD5">
            <w:pPr>
              <w:pStyle w:val="ZUSTzmustartykuempunktem"/>
              <w:keepNext/>
              <w:spacing w:line="240" w:lineRule="auto"/>
              <w:ind w:left="0" w:firstLine="0"/>
              <w:jc w:val="left"/>
              <w:rPr>
                <w:rFonts w:ascii="Times New Roman" w:eastAsia="Times New Roman" w:hAnsi="Times New Roman" w:cs="Times New Roman"/>
                <w:szCs w:val="24"/>
              </w:rPr>
            </w:pPr>
            <w:r w:rsidRPr="00FB76A9">
              <w:rPr>
                <w:rFonts w:ascii="Times New Roman" w:eastAsia="Times New Roman" w:hAnsi="Times New Roman" w:cs="Times New Roman"/>
                <w:szCs w:val="24"/>
              </w:rPr>
              <w:t xml:space="preserve">2) ciągnik rolniczy, który nie jest nowym pojazdem i nie był zarejestrowany lub wykorzystywany na terytorium Unii Europejskiej i nie posiada ważnych dokumentów potwierdzających spełnienie odpowiednich wymagań technicznych obowiązujących w procedurze homologacji typu UE pojazdu, typu ONZ </w:t>
            </w:r>
            <w:r w:rsidRPr="00C472E8">
              <w:rPr>
                <w:rFonts w:ascii="Times New Roman" w:eastAsia="Times New Roman" w:hAnsi="Times New Roman" w:cs="Times New Roman"/>
                <w:szCs w:val="24"/>
              </w:rPr>
              <w:t>albo typu pojazdu;</w:t>
            </w:r>
          </w:p>
          <w:p w14:paraId="54094B0C" w14:textId="77777777" w:rsidR="00703BF5" w:rsidRPr="00C472E8" w:rsidRDefault="00703BF5" w:rsidP="00FD5CD5">
            <w:pPr>
              <w:pStyle w:val="ZUSTzmustartykuempunktem"/>
              <w:keepNext/>
              <w:spacing w:line="240" w:lineRule="auto"/>
              <w:ind w:left="0" w:firstLine="0"/>
              <w:jc w:val="left"/>
              <w:rPr>
                <w:rFonts w:ascii="Times New Roman" w:eastAsia="Times New Roman" w:hAnsi="Times New Roman" w:cs="Times New Roman"/>
                <w:bCs/>
                <w:szCs w:val="24"/>
              </w:rPr>
            </w:pPr>
            <w:r w:rsidRPr="00C472E8">
              <w:rPr>
                <w:rFonts w:ascii="Times New Roman" w:eastAsia="Times New Roman" w:hAnsi="Times New Roman" w:cs="Times New Roman"/>
                <w:bCs/>
                <w:szCs w:val="24"/>
              </w:rPr>
              <w:t>3)przyczepa, o której mowa w art. 2 ust. 1 lit. b rozporządzenia 167/2013, która nie jest nowym pojazdem i nie była zarejestrowana lub wykorzystywana na terytorium Unii Europejskiej i nie posiada ważnych dokumentów potwierdzających spełnienie odpowiednich wymagań technicznych obowiązujących w procedurze homologacji typu UE pojazdu, typu ONZ albo typu pojazdu;</w:t>
            </w:r>
          </w:p>
          <w:p w14:paraId="0390EC52" w14:textId="77777777" w:rsidR="00344C09" w:rsidRPr="00FB76A9" w:rsidRDefault="00703BF5" w:rsidP="00FD5CD5">
            <w:pPr>
              <w:pStyle w:val="ZUSTzmustartykuempunktem"/>
              <w:keepNext/>
              <w:spacing w:line="240" w:lineRule="auto"/>
              <w:ind w:left="0" w:firstLine="0"/>
              <w:jc w:val="left"/>
              <w:rPr>
                <w:rFonts w:ascii="Times New Roman" w:eastAsia="Times New Roman" w:hAnsi="Times New Roman" w:cs="Times New Roman"/>
                <w:bCs/>
                <w:szCs w:val="24"/>
              </w:rPr>
            </w:pPr>
            <w:r w:rsidRPr="00C472E8">
              <w:rPr>
                <w:rFonts w:ascii="Times New Roman" w:eastAsia="Times New Roman" w:hAnsi="Times New Roman" w:cs="Times New Roman"/>
                <w:szCs w:val="24"/>
              </w:rPr>
              <w:t>4) wymienne urządzenie ciągnięte, o którym mowa w art. 2 ust. 1 lit. c rozporządzenia 167/2013, które nie jest nowym pojazdem i nie było zarejestrowane lub wykorzystywane na terytorium Unii Europejskiej i nie posiada ważnych dokumentów potwierdzających spełnienie odpowiednich wymagań technicznych obowiązujących w procedurze homologacji typu UE pojazdu, typu ONZ albo typu pojazdu.</w:t>
            </w:r>
            <w:r w:rsidR="00344C09" w:rsidRPr="00C472E8">
              <w:rPr>
                <w:rFonts w:ascii="Times New Roman" w:eastAsia="Times New Roman" w:hAnsi="Times New Roman" w:cs="Times New Roman"/>
                <w:szCs w:val="24"/>
              </w:rPr>
              <w:t>”</w:t>
            </w:r>
          </w:p>
        </w:tc>
        <w:tc>
          <w:tcPr>
            <w:tcW w:w="1500" w:type="dxa"/>
            <w:tcBorders>
              <w:top w:val="single" w:sz="4" w:space="0" w:color="auto"/>
              <w:left w:val="single" w:sz="4" w:space="0" w:color="auto"/>
              <w:bottom w:val="single" w:sz="4" w:space="0" w:color="auto"/>
              <w:right w:val="single" w:sz="4" w:space="0" w:color="auto"/>
            </w:tcBorders>
          </w:tcPr>
          <w:p w14:paraId="69C6BAE9"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tc>
      </w:tr>
      <w:tr w:rsidR="00344C09" w:rsidRPr="00FB76A9" w14:paraId="5CF667E4" w14:textId="77777777" w:rsidTr="00344C09">
        <w:trPr>
          <w:trHeight w:val="321"/>
        </w:trPr>
        <w:tc>
          <w:tcPr>
            <w:tcW w:w="988" w:type="dxa"/>
            <w:tcBorders>
              <w:top w:val="single" w:sz="4" w:space="0" w:color="auto"/>
              <w:left w:val="single" w:sz="4" w:space="0" w:color="auto"/>
              <w:bottom w:val="single" w:sz="4" w:space="0" w:color="auto"/>
              <w:right w:val="single" w:sz="4" w:space="0" w:color="auto"/>
            </w:tcBorders>
          </w:tcPr>
          <w:p w14:paraId="216C50DC" w14:textId="77777777" w:rsidR="00344C09" w:rsidRPr="00FB76A9" w:rsidRDefault="00344C09" w:rsidP="00FD5CD5">
            <w:pPr>
              <w:spacing w:after="0" w:line="240" w:lineRule="auto"/>
              <w:rPr>
                <w:rFonts w:ascii="Times New Roman" w:hAnsi="Times New Roman" w:cs="Times New Roman"/>
                <w:b/>
                <w:sz w:val="24"/>
                <w:szCs w:val="24"/>
              </w:rPr>
            </w:pPr>
            <w:r w:rsidRPr="00FB76A9">
              <w:rPr>
                <w:rFonts w:ascii="Times New Roman" w:hAnsi="Times New Roman" w:cs="Times New Roman"/>
                <w:b/>
                <w:sz w:val="24"/>
                <w:szCs w:val="24"/>
              </w:rPr>
              <w:t xml:space="preserve">Art. 3 pkt 39 </w:t>
            </w:r>
          </w:p>
        </w:tc>
        <w:tc>
          <w:tcPr>
            <w:tcW w:w="5528" w:type="dxa"/>
            <w:tcBorders>
              <w:top w:val="single" w:sz="4" w:space="0" w:color="auto"/>
              <w:left w:val="single" w:sz="4" w:space="0" w:color="auto"/>
              <w:bottom w:val="single" w:sz="4" w:space="0" w:color="auto"/>
              <w:right w:val="single" w:sz="4" w:space="0" w:color="auto"/>
            </w:tcBorders>
          </w:tcPr>
          <w:p w14:paraId="5366DE63" w14:textId="77777777" w:rsidR="00344C09" w:rsidRPr="00FB76A9" w:rsidRDefault="00344C09" w:rsidP="00FD5CD5">
            <w:pPr>
              <w:pStyle w:val="CM1"/>
            </w:pPr>
            <w:r w:rsidRPr="00FB76A9">
              <w:t>„39) „wprowadzenie do obrotu” oznacza udostępnienie pojazdu, układu, komponentu lub oddzielnego zespołu technicznego, części lub wyposażenia po raz pierwszy w Unii;”</w:t>
            </w:r>
          </w:p>
        </w:tc>
        <w:tc>
          <w:tcPr>
            <w:tcW w:w="784" w:type="dxa"/>
            <w:gridSpan w:val="2"/>
            <w:tcBorders>
              <w:top w:val="single" w:sz="4" w:space="0" w:color="auto"/>
              <w:left w:val="single" w:sz="4" w:space="0" w:color="auto"/>
              <w:bottom w:val="single" w:sz="4" w:space="0" w:color="auto"/>
              <w:right w:val="single" w:sz="4" w:space="0" w:color="auto"/>
            </w:tcBorders>
          </w:tcPr>
          <w:p w14:paraId="2C6E6D55"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633" w:type="dxa"/>
            <w:tcBorders>
              <w:top w:val="single" w:sz="4" w:space="0" w:color="auto"/>
              <w:left w:val="single" w:sz="4" w:space="0" w:color="auto"/>
              <w:bottom w:val="single" w:sz="4" w:space="0" w:color="auto"/>
              <w:right w:val="single" w:sz="4" w:space="0" w:color="auto"/>
            </w:tcBorders>
          </w:tcPr>
          <w:p w14:paraId="236528E7"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3 lit. </w:t>
            </w:r>
            <w:r w:rsidR="00A90AC1" w:rsidRPr="00FB76A9">
              <w:rPr>
                <w:rFonts w:ascii="Times New Roman" w:eastAsia="Times New Roman" w:hAnsi="Times New Roman" w:cs="Times New Roman"/>
                <w:sz w:val="24"/>
                <w:szCs w:val="24"/>
                <w:lang w:eastAsia="pl-PL"/>
              </w:rPr>
              <w:t>f</w:t>
            </w:r>
          </w:p>
        </w:tc>
        <w:tc>
          <w:tcPr>
            <w:tcW w:w="5562" w:type="dxa"/>
            <w:tcBorders>
              <w:top w:val="single" w:sz="4" w:space="0" w:color="auto"/>
              <w:left w:val="single" w:sz="4" w:space="0" w:color="auto"/>
              <w:bottom w:val="single" w:sz="4" w:space="0" w:color="auto"/>
              <w:right w:val="single" w:sz="4" w:space="0" w:color="auto"/>
            </w:tcBorders>
          </w:tcPr>
          <w:p w14:paraId="7ADEE348"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„36) wprowadzeniu do obrotu – </w:t>
            </w:r>
            <w:r w:rsidR="00A90AC1" w:rsidRPr="00FB76A9">
              <w:rPr>
                <w:rFonts w:ascii="Times New Roman" w:eastAsia="Times New Roman" w:hAnsi="Times New Roman" w:cs="Times New Roman"/>
                <w:sz w:val="24"/>
                <w:szCs w:val="24"/>
                <w:lang w:eastAsia="pl-PL"/>
              </w:rPr>
              <w:t>rozumie się przez to wprowadzenie do obrotu, o którym mowa odpowiednio w art. 3 pkt 39 rozporządzenia 167/2013, art. 3 pkt 54 rozporządzenia 168/2013, art. 3 pkt 50 rozporządzenia 2018/858 albo art. 3 pkt 2 rozporządzenia 2019/1020</w:t>
            </w:r>
            <w:r w:rsidRPr="00FB76A9">
              <w:rPr>
                <w:rFonts w:ascii="Times New Roman" w:eastAsia="Times New Roman" w:hAnsi="Times New Roman" w:cs="Times New Roman"/>
                <w:sz w:val="24"/>
                <w:szCs w:val="24"/>
                <w:lang w:eastAsia="pl-PL"/>
              </w:rPr>
              <w:t>;”</w:t>
            </w:r>
          </w:p>
        </w:tc>
        <w:tc>
          <w:tcPr>
            <w:tcW w:w="1500" w:type="dxa"/>
            <w:tcBorders>
              <w:top w:val="single" w:sz="4" w:space="0" w:color="auto"/>
              <w:left w:val="single" w:sz="4" w:space="0" w:color="auto"/>
              <w:bottom w:val="single" w:sz="4" w:space="0" w:color="auto"/>
              <w:right w:val="single" w:sz="4" w:space="0" w:color="auto"/>
            </w:tcBorders>
          </w:tcPr>
          <w:p w14:paraId="53C2384B"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tc>
      </w:tr>
      <w:tr w:rsidR="00344C09" w:rsidRPr="00FB76A9" w14:paraId="782F12F5" w14:textId="77777777" w:rsidTr="00F72A95">
        <w:trPr>
          <w:trHeight w:val="222"/>
        </w:trPr>
        <w:tc>
          <w:tcPr>
            <w:tcW w:w="988" w:type="dxa"/>
            <w:tcBorders>
              <w:top w:val="single" w:sz="4" w:space="0" w:color="auto"/>
              <w:left w:val="single" w:sz="4" w:space="0" w:color="auto"/>
              <w:bottom w:val="single" w:sz="4" w:space="0" w:color="auto"/>
              <w:right w:val="single" w:sz="4" w:space="0" w:color="auto"/>
            </w:tcBorders>
          </w:tcPr>
          <w:p w14:paraId="73FC7D14" w14:textId="77777777" w:rsidR="00344C09" w:rsidRPr="00FB76A9" w:rsidRDefault="00344C09" w:rsidP="00FD5CD5">
            <w:pPr>
              <w:spacing w:after="0" w:line="240" w:lineRule="auto"/>
              <w:rPr>
                <w:rFonts w:ascii="Times New Roman" w:hAnsi="Times New Roman" w:cs="Times New Roman"/>
                <w:b/>
                <w:sz w:val="24"/>
                <w:szCs w:val="24"/>
              </w:rPr>
            </w:pPr>
            <w:r w:rsidRPr="00FB76A9">
              <w:rPr>
                <w:rFonts w:ascii="Times New Roman" w:hAnsi="Times New Roman" w:cs="Times New Roman"/>
                <w:b/>
                <w:sz w:val="24"/>
                <w:szCs w:val="24"/>
              </w:rPr>
              <w:lastRenderedPageBreak/>
              <w:t>Art. 3 pkt 40</w:t>
            </w:r>
          </w:p>
        </w:tc>
        <w:tc>
          <w:tcPr>
            <w:tcW w:w="5528" w:type="dxa"/>
            <w:tcBorders>
              <w:top w:val="single" w:sz="4" w:space="0" w:color="auto"/>
              <w:left w:val="single" w:sz="4" w:space="0" w:color="auto"/>
              <w:bottom w:val="single" w:sz="4" w:space="0" w:color="auto"/>
              <w:right w:val="single" w:sz="4" w:space="0" w:color="auto"/>
            </w:tcBorders>
          </w:tcPr>
          <w:p w14:paraId="38574DA5"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hAnsi="Times New Roman" w:cs="Times New Roman"/>
                <w:sz w:val="24"/>
                <w:szCs w:val="24"/>
              </w:rPr>
              <w:t>„40) „dopuszczenie” oznacza pierwsze wykorzystanie w Unii pojazdu, układu, komponentu, oddzielnego zespołu technicznego, części lub wyposażenia zgodnie z ich przeznaczeniem;”</w:t>
            </w:r>
          </w:p>
        </w:tc>
        <w:tc>
          <w:tcPr>
            <w:tcW w:w="784" w:type="dxa"/>
            <w:gridSpan w:val="2"/>
            <w:tcBorders>
              <w:top w:val="single" w:sz="4" w:space="0" w:color="auto"/>
              <w:left w:val="single" w:sz="4" w:space="0" w:color="auto"/>
              <w:bottom w:val="single" w:sz="4" w:space="0" w:color="auto"/>
              <w:right w:val="single" w:sz="4" w:space="0" w:color="auto"/>
            </w:tcBorders>
          </w:tcPr>
          <w:p w14:paraId="084A83A5"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633" w:type="dxa"/>
            <w:tcBorders>
              <w:top w:val="single" w:sz="4" w:space="0" w:color="auto"/>
              <w:left w:val="single" w:sz="4" w:space="0" w:color="auto"/>
              <w:bottom w:val="single" w:sz="4" w:space="0" w:color="auto"/>
              <w:right w:val="single" w:sz="4" w:space="0" w:color="auto"/>
            </w:tcBorders>
          </w:tcPr>
          <w:p w14:paraId="2DA8F61B"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3 lit. </w:t>
            </w:r>
            <w:r w:rsidR="00A90AC1" w:rsidRPr="00FB76A9">
              <w:rPr>
                <w:rFonts w:ascii="Times New Roman" w:eastAsia="Times New Roman" w:hAnsi="Times New Roman" w:cs="Times New Roman"/>
                <w:sz w:val="24"/>
                <w:szCs w:val="24"/>
                <w:lang w:eastAsia="pl-PL"/>
              </w:rPr>
              <w:t>f</w:t>
            </w:r>
          </w:p>
        </w:tc>
        <w:tc>
          <w:tcPr>
            <w:tcW w:w="5562" w:type="dxa"/>
            <w:tcBorders>
              <w:top w:val="single" w:sz="4" w:space="0" w:color="auto"/>
              <w:left w:val="single" w:sz="4" w:space="0" w:color="auto"/>
              <w:bottom w:val="single" w:sz="4" w:space="0" w:color="auto"/>
              <w:right w:val="single" w:sz="4" w:space="0" w:color="auto"/>
            </w:tcBorders>
          </w:tcPr>
          <w:p w14:paraId="45F6473E"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„38) dopuszczeniu – </w:t>
            </w:r>
            <w:r w:rsidR="00A90AC1" w:rsidRPr="00FB76A9">
              <w:rPr>
                <w:rFonts w:ascii="Times New Roman" w:eastAsia="Times New Roman" w:hAnsi="Times New Roman" w:cs="Times New Roman"/>
                <w:sz w:val="24"/>
                <w:szCs w:val="24"/>
                <w:lang w:eastAsia="pl-PL"/>
              </w:rPr>
              <w:t>rozumie się przez to dopuszczenie, o którym mowa odpowiednio w art. 3 pkt 40 rozporządzenia 167/2013, art. 3 pkt 53 rozporządzenia 168/2013 albo art. 3 pkt 52 rozporządzenia 2018/858</w:t>
            </w:r>
            <w:r w:rsidRPr="00FB76A9">
              <w:rPr>
                <w:rFonts w:ascii="Times New Roman" w:eastAsia="Times New Roman" w:hAnsi="Times New Roman" w:cs="Times New Roman"/>
                <w:sz w:val="24"/>
                <w:szCs w:val="24"/>
                <w:lang w:eastAsia="pl-PL"/>
              </w:rPr>
              <w:t>;”</w:t>
            </w:r>
          </w:p>
        </w:tc>
        <w:tc>
          <w:tcPr>
            <w:tcW w:w="1500" w:type="dxa"/>
            <w:tcBorders>
              <w:top w:val="single" w:sz="4" w:space="0" w:color="auto"/>
              <w:left w:val="single" w:sz="4" w:space="0" w:color="auto"/>
              <w:bottom w:val="single" w:sz="4" w:space="0" w:color="auto"/>
              <w:right w:val="single" w:sz="4" w:space="0" w:color="auto"/>
            </w:tcBorders>
          </w:tcPr>
          <w:p w14:paraId="141802C6"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tc>
      </w:tr>
      <w:tr w:rsidR="00344C09" w:rsidRPr="00FB76A9" w14:paraId="7F0C4C37" w14:textId="77777777" w:rsidTr="00F72A95">
        <w:trPr>
          <w:trHeight w:val="332"/>
        </w:trPr>
        <w:tc>
          <w:tcPr>
            <w:tcW w:w="988" w:type="dxa"/>
            <w:tcBorders>
              <w:top w:val="single" w:sz="4" w:space="0" w:color="auto"/>
              <w:left w:val="single" w:sz="4" w:space="0" w:color="auto"/>
              <w:bottom w:val="single" w:sz="4" w:space="0" w:color="auto"/>
              <w:right w:val="single" w:sz="4" w:space="0" w:color="auto"/>
            </w:tcBorders>
          </w:tcPr>
          <w:p w14:paraId="40F74793" w14:textId="77777777" w:rsidR="00344C09" w:rsidRPr="00FB76A9" w:rsidRDefault="00344C09" w:rsidP="00FD5CD5">
            <w:pPr>
              <w:spacing w:after="0" w:line="240" w:lineRule="auto"/>
              <w:rPr>
                <w:rFonts w:ascii="Times New Roman" w:hAnsi="Times New Roman" w:cs="Times New Roman"/>
                <w:b/>
                <w:sz w:val="24"/>
                <w:szCs w:val="24"/>
              </w:rPr>
            </w:pPr>
            <w:r w:rsidRPr="00FB76A9">
              <w:rPr>
                <w:rFonts w:ascii="Times New Roman" w:hAnsi="Times New Roman" w:cs="Times New Roman"/>
                <w:b/>
                <w:sz w:val="24"/>
                <w:szCs w:val="24"/>
              </w:rPr>
              <w:t>Art. 3 pkt 44</w:t>
            </w:r>
          </w:p>
        </w:tc>
        <w:tc>
          <w:tcPr>
            <w:tcW w:w="5528" w:type="dxa"/>
            <w:tcBorders>
              <w:top w:val="single" w:sz="4" w:space="0" w:color="auto"/>
              <w:left w:val="single" w:sz="4" w:space="0" w:color="auto"/>
              <w:bottom w:val="single" w:sz="4" w:space="0" w:color="auto"/>
              <w:right w:val="single" w:sz="4" w:space="0" w:color="auto"/>
            </w:tcBorders>
          </w:tcPr>
          <w:p w14:paraId="6981B4EE"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hAnsi="Times New Roman" w:cs="Times New Roman"/>
                <w:sz w:val="24"/>
                <w:szCs w:val="24"/>
              </w:rPr>
              <w:t>„44) „nadzór rynku” oznacza działania i środki podejmowane przez organy krajowe w celu zapewnienia, aby pojazdy, układy, komponenty lub oddzielne zespoły techniczne udostępniane na rynku spełniały wymogi określone w odpowiednich przepisach unijnych dotyczących harmonizacji oraz aby nie zagrażały zdrowiu, bezpieczeństwu ani żadnemu innemu aspektowi ochrony interesu publicznego;”</w:t>
            </w:r>
          </w:p>
        </w:tc>
        <w:tc>
          <w:tcPr>
            <w:tcW w:w="784" w:type="dxa"/>
            <w:gridSpan w:val="2"/>
            <w:tcBorders>
              <w:top w:val="single" w:sz="4" w:space="0" w:color="auto"/>
              <w:left w:val="single" w:sz="4" w:space="0" w:color="auto"/>
              <w:bottom w:val="single" w:sz="4" w:space="0" w:color="auto"/>
              <w:right w:val="single" w:sz="4" w:space="0" w:color="auto"/>
            </w:tcBorders>
          </w:tcPr>
          <w:p w14:paraId="30070932"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633" w:type="dxa"/>
            <w:tcBorders>
              <w:top w:val="single" w:sz="4" w:space="0" w:color="auto"/>
              <w:left w:val="single" w:sz="4" w:space="0" w:color="auto"/>
              <w:bottom w:val="single" w:sz="4" w:space="0" w:color="auto"/>
              <w:right w:val="single" w:sz="4" w:space="0" w:color="auto"/>
            </w:tcBorders>
          </w:tcPr>
          <w:p w14:paraId="18F88AE0"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3 lit. </w:t>
            </w:r>
            <w:r w:rsidR="00A90AC1" w:rsidRPr="00FB76A9">
              <w:rPr>
                <w:rFonts w:ascii="Times New Roman" w:eastAsia="Times New Roman" w:hAnsi="Times New Roman" w:cs="Times New Roman"/>
                <w:sz w:val="24"/>
                <w:szCs w:val="24"/>
                <w:lang w:eastAsia="pl-PL"/>
              </w:rPr>
              <w:t>f</w:t>
            </w:r>
          </w:p>
        </w:tc>
        <w:tc>
          <w:tcPr>
            <w:tcW w:w="5562" w:type="dxa"/>
            <w:tcBorders>
              <w:top w:val="single" w:sz="4" w:space="0" w:color="auto"/>
              <w:left w:val="single" w:sz="4" w:space="0" w:color="auto"/>
              <w:bottom w:val="single" w:sz="4" w:space="0" w:color="auto"/>
              <w:right w:val="single" w:sz="4" w:space="0" w:color="auto"/>
            </w:tcBorders>
          </w:tcPr>
          <w:p w14:paraId="11F46056"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„35) nadzorze rynku – </w:t>
            </w:r>
            <w:r w:rsidR="00A90AC1" w:rsidRPr="00FB76A9">
              <w:rPr>
                <w:rFonts w:ascii="Times New Roman" w:eastAsia="Times New Roman" w:hAnsi="Times New Roman" w:cs="Times New Roman"/>
                <w:sz w:val="24"/>
                <w:szCs w:val="24"/>
                <w:lang w:eastAsia="pl-PL"/>
              </w:rPr>
              <w:t>rozumie się przez to nadzór rynku, o którym mowa odpowiednio w art. 3 pkt 44 rozporządzenia 167/2013, art. 3 pkt 58 rozporządzenia 168/2013, art. 3 pkt 34 rozporządzenia 2018/858 albo art. 3 pkt 3 rozporządzenia 2019/1020</w:t>
            </w:r>
            <w:r w:rsidRPr="00FB76A9">
              <w:rPr>
                <w:rFonts w:ascii="Times New Roman" w:eastAsia="Times New Roman" w:hAnsi="Times New Roman" w:cs="Times New Roman"/>
                <w:sz w:val="24"/>
                <w:szCs w:val="24"/>
                <w:lang w:eastAsia="pl-PL"/>
              </w:rPr>
              <w:t>;”</w:t>
            </w:r>
          </w:p>
          <w:p w14:paraId="6720761E"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tc>
        <w:tc>
          <w:tcPr>
            <w:tcW w:w="1500" w:type="dxa"/>
            <w:tcBorders>
              <w:top w:val="single" w:sz="4" w:space="0" w:color="auto"/>
              <w:left w:val="single" w:sz="4" w:space="0" w:color="auto"/>
              <w:bottom w:val="single" w:sz="4" w:space="0" w:color="auto"/>
              <w:right w:val="single" w:sz="4" w:space="0" w:color="auto"/>
            </w:tcBorders>
          </w:tcPr>
          <w:p w14:paraId="6360438C"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tc>
      </w:tr>
      <w:tr w:rsidR="00344C09" w:rsidRPr="00FB76A9" w14:paraId="4549DC68" w14:textId="77777777" w:rsidTr="00F72A95">
        <w:trPr>
          <w:trHeight w:val="388"/>
        </w:trPr>
        <w:tc>
          <w:tcPr>
            <w:tcW w:w="988" w:type="dxa"/>
            <w:tcBorders>
              <w:top w:val="single" w:sz="4" w:space="0" w:color="auto"/>
              <w:left w:val="single" w:sz="4" w:space="0" w:color="auto"/>
              <w:bottom w:val="single" w:sz="4" w:space="0" w:color="auto"/>
              <w:right w:val="single" w:sz="4" w:space="0" w:color="auto"/>
            </w:tcBorders>
          </w:tcPr>
          <w:p w14:paraId="15D4CB93" w14:textId="77777777" w:rsidR="00344C09" w:rsidRPr="00FB76A9" w:rsidRDefault="00344C09" w:rsidP="00FD5CD5">
            <w:pPr>
              <w:spacing w:after="0" w:line="240" w:lineRule="auto"/>
              <w:rPr>
                <w:rFonts w:ascii="Times New Roman" w:hAnsi="Times New Roman" w:cs="Times New Roman"/>
                <w:b/>
                <w:sz w:val="24"/>
                <w:szCs w:val="24"/>
              </w:rPr>
            </w:pPr>
            <w:r w:rsidRPr="00FB76A9">
              <w:rPr>
                <w:rFonts w:ascii="Times New Roman" w:hAnsi="Times New Roman" w:cs="Times New Roman"/>
                <w:b/>
                <w:sz w:val="24"/>
                <w:szCs w:val="24"/>
              </w:rPr>
              <w:t xml:space="preserve">Art.  3 pkt 47 </w:t>
            </w:r>
          </w:p>
        </w:tc>
        <w:tc>
          <w:tcPr>
            <w:tcW w:w="5528" w:type="dxa"/>
            <w:tcBorders>
              <w:top w:val="single" w:sz="4" w:space="0" w:color="auto"/>
              <w:left w:val="single" w:sz="4" w:space="0" w:color="auto"/>
              <w:bottom w:val="single" w:sz="4" w:space="0" w:color="auto"/>
              <w:right w:val="single" w:sz="4" w:space="0" w:color="auto"/>
            </w:tcBorders>
          </w:tcPr>
          <w:p w14:paraId="1F9287F8"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hAnsi="Times New Roman" w:cs="Times New Roman"/>
                <w:sz w:val="24"/>
                <w:szCs w:val="24"/>
              </w:rPr>
              <w:t>„47) „udostępnienie na rynku” oznacza każde dostarczenie pojazdu, układu, komponentu lub oddzielnego zespołu technicznego, części lub wyposażenia w celu jego dystrybucji lub używania na rynku w ramach działalności handlowej, odpłatnie lub nieodpłatnie;”</w:t>
            </w:r>
          </w:p>
        </w:tc>
        <w:tc>
          <w:tcPr>
            <w:tcW w:w="784" w:type="dxa"/>
            <w:gridSpan w:val="2"/>
            <w:tcBorders>
              <w:top w:val="single" w:sz="4" w:space="0" w:color="auto"/>
              <w:left w:val="single" w:sz="4" w:space="0" w:color="auto"/>
              <w:bottom w:val="single" w:sz="4" w:space="0" w:color="auto"/>
              <w:right w:val="single" w:sz="4" w:space="0" w:color="auto"/>
            </w:tcBorders>
          </w:tcPr>
          <w:p w14:paraId="5376E619"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p w14:paraId="13661EFB"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tc>
        <w:tc>
          <w:tcPr>
            <w:tcW w:w="633" w:type="dxa"/>
            <w:tcBorders>
              <w:top w:val="single" w:sz="4" w:space="0" w:color="auto"/>
              <w:left w:val="single" w:sz="4" w:space="0" w:color="auto"/>
              <w:bottom w:val="single" w:sz="4" w:space="0" w:color="auto"/>
              <w:right w:val="single" w:sz="4" w:space="0" w:color="auto"/>
            </w:tcBorders>
          </w:tcPr>
          <w:p w14:paraId="4FBF4B1D"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3 lit. </w:t>
            </w:r>
            <w:r w:rsidR="00A90AC1" w:rsidRPr="00FB76A9">
              <w:rPr>
                <w:rFonts w:ascii="Times New Roman" w:eastAsia="Times New Roman" w:hAnsi="Times New Roman" w:cs="Times New Roman"/>
                <w:sz w:val="24"/>
                <w:szCs w:val="24"/>
                <w:lang w:eastAsia="pl-PL"/>
              </w:rPr>
              <w:t>f</w:t>
            </w:r>
          </w:p>
        </w:tc>
        <w:tc>
          <w:tcPr>
            <w:tcW w:w="5562" w:type="dxa"/>
            <w:tcBorders>
              <w:top w:val="single" w:sz="4" w:space="0" w:color="auto"/>
              <w:left w:val="single" w:sz="4" w:space="0" w:color="auto"/>
              <w:bottom w:val="single" w:sz="4" w:space="0" w:color="auto"/>
              <w:right w:val="single" w:sz="4" w:space="0" w:color="auto"/>
            </w:tcBorders>
          </w:tcPr>
          <w:p w14:paraId="78B17FC2"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„37) udostępnieniu na rynku – </w:t>
            </w:r>
            <w:r w:rsidR="00A90AC1" w:rsidRPr="00FB76A9">
              <w:rPr>
                <w:rFonts w:ascii="Times New Roman" w:eastAsia="Times New Roman" w:hAnsi="Times New Roman" w:cs="Times New Roman"/>
                <w:sz w:val="24"/>
                <w:szCs w:val="24"/>
                <w:lang w:eastAsia="pl-PL"/>
              </w:rPr>
              <w:t>rozumie się przez to udostępnienie na rynku, o którym mowa odpowiednio w art. 3 pkt 47 rozporządzenia 167/2013, art. 3 pkt 55 rozporządzenia 168/2013 albo art. 3 pkt 51 rozporządzenia 2018/858 albo art. 3 pkt 1 rozporządzenia 2019/1020</w:t>
            </w:r>
            <w:r w:rsidRPr="00FB76A9">
              <w:rPr>
                <w:rFonts w:ascii="Times New Roman" w:eastAsia="Times New Roman" w:hAnsi="Times New Roman" w:cs="Times New Roman"/>
                <w:sz w:val="24"/>
                <w:szCs w:val="24"/>
                <w:lang w:eastAsia="pl-PL"/>
              </w:rPr>
              <w:t>;”</w:t>
            </w:r>
          </w:p>
        </w:tc>
        <w:tc>
          <w:tcPr>
            <w:tcW w:w="1500" w:type="dxa"/>
            <w:tcBorders>
              <w:top w:val="single" w:sz="4" w:space="0" w:color="auto"/>
              <w:left w:val="single" w:sz="4" w:space="0" w:color="auto"/>
              <w:bottom w:val="single" w:sz="4" w:space="0" w:color="auto"/>
              <w:right w:val="single" w:sz="4" w:space="0" w:color="auto"/>
            </w:tcBorders>
          </w:tcPr>
          <w:p w14:paraId="4C7F28B7"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tc>
      </w:tr>
      <w:tr w:rsidR="00164ACC" w:rsidRPr="00FB76A9" w14:paraId="78EE0581" w14:textId="77777777" w:rsidTr="00F72A95">
        <w:trPr>
          <w:trHeight w:val="369"/>
        </w:trPr>
        <w:tc>
          <w:tcPr>
            <w:tcW w:w="988" w:type="dxa"/>
            <w:tcBorders>
              <w:top w:val="single" w:sz="4" w:space="0" w:color="auto"/>
              <w:left w:val="single" w:sz="4" w:space="0" w:color="auto"/>
              <w:bottom w:val="single" w:sz="4" w:space="0" w:color="auto"/>
              <w:right w:val="single" w:sz="4" w:space="0" w:color="auto"/>
            </w:tcBorders>
          </w:tcPr>
          <w:p w14:paraId="3D995926" w14:textId="77777777" w:rsidR="00164ACC" w:rsidRPr="00FB76A9" w:rsidRDefault="00164ACC"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Art. 7</w:t>
            </w:r>
          </w:p>
        </w:tc>
        <w:tc>
          <w:tcPr>
            <w:tcW w:w="5528" w:type="dxa"/>
            <w:tcBorders>
              <w:top w:val="single" w:sz="4" w:space="0" w:color="auto"/>
              <w:left w:val="single" w:sz="4" w:space="0" w:color="auto"/>
              <w:bottom w:val="single" w:sz="4" w:space="0" w:color="auto"/>
              <w:right w:val="single" w:sz="4" w:space="0" w:color="auto"/>
            </w:tcBorders>
          </w:tcPr>
          <w:p w14:paraId="3EFDD8B4" w14:textId="77777777" w:rsidR="00164ACC" w:rsidRPr="00FB76A9" w:rsidRDefault="00164ACC"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„Art. 7. 1. W odniesieniu do pojazdów, układów, komponentów i oddzielnych zespołów technicznych posiadających homologację typu, organy nadzoru rynku prowadzą na odpowiednią skalę stosowne kontrole dokumentacji, uwzględniając ustalone zasady oceny ryzyka, skargi i inne informacje. </w:t>
            </w:r>
          </w:p>
          <w:p w14:paraId="2B6F3953" w14:textId="77777777" w:rsidR="00164ACC" w:rsidRPr="00FB76A9" w:rsidRDefault="00164ACC"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Organy nadzoru rynku mogą wymagać od podmiotów gospodarczych udostępnienia takiej dokumentacji i dostępnych informacji, jakie uznają za niezbędne do wykonywania swojej działalności. </w:t>
            </w:r>
          </w:p>
          <w:p w14:paraId="64F6E703" w14:textId="77777777" w:rsidR="00164ACC" w:rsidRPr="00FB76A9" w:rsidRDefault="00164ACC"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W przypadku gdy podmioty gospodarcze przedstawiają świadectwa zgodności, organy nadzoru rynku należycie je uwzględniają. </w:t>
            </w:r>
          </w:p>
          <w:p w14:paraId="6F095154" w14:textId="77777777" w:rsidR="00164ACC" w:rsidRPr="00FB76A9" w:rsidRDefault="00164ACC" w:rsidP="00FD5CD5">
            <w:pPr>
              <w:pStyle w:val="CM4"/>
            </w:pPr>
            <w:r w:rsidRPr="00FB76A9">
              <w:lastRenderedPageBreak/>
              <w:t>2. Do części i wyposażenia innych niż objęte zakresem ust. 1 niniejszego artykułu zastosowanie ma w całości art. 19 ust. 1 rozporządzenia (WE) nr 765/2008.”</w:t>
            </w:r>
          </w:p>
        </w:tc>
        <w:tc>
          <w:tcPr>
            <w:tcW w:w="784" w:type="dxa"/>
            <w:gridSpan w:val="2"/>
            <w:tcBorders>
              <w:top w:val="single" w:sz="4" w:space="0" w:color="auto"/>
              <w:left w:val="single" w:sz="4" w:space="0" w:color="auto"/>
              <w:bottom w:val="single" w:sz="4" w:space="0" w:color="auto"/>
              <w:right w:val="single" w:sz="4" w:space="0" w:color="auto"/>
            </w:tcBorders>
          </w:tcPr>
          <w:p w14:paraId="5381EB4A" w14:textId="77777777" w:rsidR="00164ACC" w:rsidRPr="00FB76A9" w:rsidRDefault="00164ACC"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lastRenderedPageBreak/>
              <w:t>T</w:t>
            </w:r>
          </w:p>
        </w:tc>
        <w:tc>
          <w:tcPr>
            <w:tcW w:w="633" w:type="dxa"/>
            <w:tcBorders>
              <w:top w:val="single" w:sz="4" w:space="0" w:color="auto"/>
              <w:left w:val="single" w:sz="4" w:space="0" w:color="auto"/>
              <w:bottom w:val="single" w:sz="4" w:space="0" w:color="auto"/>
              <w:right w:val="single" w:sz="4" w:space="0" w:color="auto"/>
            </w:tcBorders>
          </w:tcPr>
          <w:p w14:paraId="3A2C65C0" w14:textId="77777777" w:rsidR="00164ACC" w:rsidRPr="00FB76A9" w:rsidRDefault="00164ACC"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21 </w:t>
            </w:r>
          </w:p>
        </w:tc>
        <w:tc>
          <w:tcPr>
            <w:tcW w:w="5562" w:type="dxa"/>
            <w:tcBorders>
              <w:top w:val="single" w:sz="4" w:space="0" w:color="auto"/>
              <w:left w:val="single" w:sz="4" w:space="0" w:color="auto"/>
              <w:bottom w:val="single" w:sz="4" w:space="0" w:color="auto"/>
              <w:right w:val="single" w:sz="4" w:space="0" w:color="auto"/>
            </w:tcBorders>
          </w:tcPr>
          <w:p w14:paraId="544857DB" w14:textId="77777777" w:rsidR="00164ACC" w:rsidRPr="00A17227" w:rsidRDefault="00164ACC" w:rsidP="00FD5CD5">
            <w:pPr>
              <w:pStyle w:val="ZROZDZODDZOZNzmoznrozdzoddzartykuempunktem"/>
              <w:spacing w:line="240" w:lineRule="auto"/>
              <w:ind w:left="0"/>
              <w:jc w:val="left"/>
              <w:rPr>
                <w:rFonts w:ascii="Times New Roman" w:hAnsi="Times New Roman" w:cs="Times New Roman"/>
              </w:rPr>
            </w:pPr>
            <w:r w:rsidRPr="00A17227">
              <w:rPr>
                <w:rFonts w:ascii="Times New Roman" w:hAnsi="Times New Roman" w:cs="Times New Roman"/>
              </w:rPr>
              <w:t>Rozdział 4b</w:t>
            </w:r>
          </w:p>
          <w:p w14:paraId="765F55FB" w14:textId="77777777" w:rsidR="00164ACC" w:rsidRPr="00A17227" w:rsidRDefault="00164ACC" w:rsidP="00FD5CD5">
            <w:pPr>
              <w:pStyle w:val="ZROZDZODDZPRZEDMzmprzedmrozdzoddzartykuempunktem"/>
              <w:spacing w:before="0" w:after="0" w:line="240" w:lineRule="auto"/>
              <w:ind w:left="0"/>
              <w:jc w:val="left"/>
              <w:rPr>
                <w:rFonts w:ascii="Times New Roman" w:hAnsi="Times New Roman"/>
              </w:rPr>
            </w:pPr>
            <w:r w:rsidRPr="00A17227">
              <w:rPr>
                <w:rFonts w:ascii="Times New Roman" w:hAnsi="Times New Roman"/>
              </w:rPr>
              <w:t>„Nadzór rynku</w:t>
            </w:r>
          </w:p>
          <w:p w14:paraId="42726DD4" w14:textId="77777777" w:rsidR="00164ACC" w:rsidRPr="00FB76A9" w:rsidRDefault="00164ACC"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Art. 68s. 1. Dyrektor TDT jako organ nadzoru rynku jest uprawniony do:</w:t>
            </w:r>
          </w:p>
          <w:p w14:paraId="3AEC2A5E" w14:textId="77777777" w:rsidR="00164ACC" w:rsidRPr="00FB76A9" w:rsidRDefault="00164ACC" w:rsidP="005E0F9D">
            <w:pPr>
              <w:pStyle w:val="ZPKTzmpktartykuempunktem"/>
              <w:numPr>
                <w:ilvl w:val="0"/>
                <w:numId w:val="25"/>
              </w:numPr>
              <w:spacing w:line="240" w:lineRule="auto"/>
              <w:jc w:val="left"/>
              <w:rPr>
                <w:rFonts w:ascii="Times New Roman" w:hAnsi="Times New Roman" w:cs="Times New Roman"/>
                <w:szCs w:val="24"/>
              </w:rPr>
            </w:pPr>
            <w:r w:rsidRPr="00FB76A9">
              <w:rPr>
                <w:rFonts w:ascii="Times New Roman" w:hAnsi="Times New Roman" w:cs="Times New Roman"/>
                <w:szCs w:val="24"/>
              </w:rPr>
              <w:t>realizacji czynności, o których mowa w art. 14 ust. 4 rozporządzenia 2019/1020 względem podmiotu gospodarczego lub posiadacza pojazdu, przedmiotu wyposażenia lub części niebędącego użytkownikiem końcowym;</w:t>
            </w:r>
          </w:p>
          <w:p w14:paraId="11223583" w14:textId="77777777" w:rsidR="00164ACC" w:rsidRPr="00FB76A9" w:rsidRDefault="00164ACC" w:rsidP="005E0F9D">
            <w:pPr>
              <w:pStyle w:val="ZPKTzmpktartykuempunktem"/>
              <w:numPr>
                <w:ilvl w:val="0"/>
                <w:numId w:val="25"/>
              </w:numPr>
              <w:spacing w:line="240" w:lineRule="auto"/>
              <w:jc w:val="left"/>
              <w:rPr>
                <w:rFonts w:ascii="Times New Roman" w:hAnsi="Times New Roman" w:cs="Times New Roman"/>
                <w:szCs w:val="24"/>
              </w:rPr>
            </w:pPr>
            <w:r w:rsidRPr="00FB76A9">
              <w:rPr>
                <w:rFonts w:ascii="Times New Roman" w:hAnsi="Times New Roman" w:cs="Times New Roman"/>
                <w:szCs w:val="24"/>
              </w:rPr>
              <w:t>realizacji zadań, o których mowa w art. 12, art. 22−24, rozdziale VII rozporządzenia 2019/1020;</w:t>
            </w:r>
          </w:p>
          <w:p w14:paraId="686BA280" w14:textId="77777777" w:rsidR="00164ACC" w:rsidRPr="00FB76A9" w:rsidRDefault="00164ACC" w:rsidP="005E0F9D">
            <w:pPr>
              <w:pStyle w:val="ZPKTzmpktartykuempunktem"/>
              <w:numPr>
                <w:ilvl w:val="0"/>
                <w:numId w:val="25"/>
              </w:numPr>
              <w:spacing w:line="240" w:lineRule="auto"/>
              <w:jc w:val="left"/>
              <w:rPr>
                <w:rFonts w:ascii="Times New Roman" w:hAnsi="Times New Roman" w:cs="Times New Roman"/>
                <w:szCs w:val="24"/>
              </w:rPr>
            </w:pPr>
            <w:r w:rsidRPr="00FB76A9">
              <w:rPr>
                <w:rFonts w:ascii="Times New Roman" w:hAnsi="Times New Roman" w:cs="Times New Roman"/>
                <w:szCs w:val="24"/>
              </w:rPr>
              <w:t xml:space="preserve">wymagania od operatora platformy lub dostawcy usług społeczeństwa informacyjnego </w:t>
            </w:r>
            <w:r w:rsidRPr="00FB76A9">
              <w:rPr>
                <w:rFonts w:ascii="Times New Roman" w:hAnsi="Times New Roman" w:cs="Times New Roman"/>
                <w:szCs w:val="24"/>
              </w:rPr>
              <w:lastRenderedPageBreak/>
              <w:t>przedstawienia informacji niezbędnych do ustalenia własności stron internetowych w toku prowadzenia czynności wyjaśniających, kontroli, badań lub postępowań administracyjnych;</w:t>
            </w:r>
          </w:p>
          <w:p w14:paraId="04460662" w14:textId="77777777" w:rsidR="00164ACC" w:rsidRPr="00FB76A9" w:rsidRDefault="00164ACC" w:rsidP="005E0F9D">
            <w:pPr>
              <w:pStyle w:val="ZPKTzmpktartykuempunktem"/>
              <w:numPr>
                <w:ilvl w:val="0"/>
                <w:numId w:val="25"/>
              </w:numPr>
              <w:spacing w:line="240" w:lineRule="auto"/>
              <w:jc w:val="left"/>
              <w:rPr>
                <w:rFonts w:ascii="Times New Roman" w:hAnsi="Times New Roman" w:cs="Times New Roman"/>
                <w:szCs w:val="24"/>
              </w:rPr>
            </w:pPr>
            <w:r w:rsidRPr="00FB76A9">
              <w:rPr>
                <w:rFonts w:ascii="Times New Roman" w:hAnsi="Times New Roman" w:cs="Times New Roman"/>
                <w:szCs w:val="24"/>
              </w:rPr>
              <w:t>wymagania od operatora platformy lub dostawcy usług społeczeństwa informacyjnego podjęcia działań w ramach interfejsu online, w tym usunięcia z interfejsu online treści odnoszących się do pojazdu, przedmiotu wyposażenia i części, wobec których stwierdzono niezgodność z wymaganiami technicznymi lub poważne ryzyko, zawieszenia konta podmiotu gospodarczego na platformie lub wyświetlenia wyraźnego ostrzeżenia dla użytkowników końcowych uzyskujących dostęp do oferty tego pojazdu, przedmiotu wyposażenia lub części;</w:t>
            </w:r>
          </w:p>
          <w:p w14:paraId="0D6F9713" w14:textId="77777777" w:rsidR="00164ACC" w:rsidRPr="00FB76A9" w:rsidRDefault="00164ACC" w:rsidP="005E0F9D">
            <w:pPr>
              <w:pStyle w:val="ZPKTzmpktartykuempunktem"/>
              <w:numPr>
                <w:ilvl w:val="0"/>
                <w:numId w:val="25"/>
              </w:numPr>
              <w:spacing w:line="240" w:lineRule="auto"/>
              <w:jc w:val="left"/>
              <w:rPr>
                <w:rFonts w:ascii="Times New Roman" w:hAnsi="Times New Roman" w:cs="Times New Roman"/>
                <w:szCs w:val="24"/>
              </w:rPr>
            </w:pPr>
            <w:r w:rsidRPr="00FB76A9">
              <w:rPr>
                <w:rFonts w:ascii="Times New Roman" w:hAnsi="Times New Roman" w:cs="Times New Roman"/>
                <w:szCs w:val="24"/>
              </w:rPr>
              <w:t>zasięgania z urzędu niezbędnych opinii eksperckich, w tym  w toku kontroli dokumentów, fizycznej lub laboratoryjnej kontroli pojazdów, przedmiotów wyposażenia lub części lub prowadzonych postępowań administracyjnych;</w:t>
            </w:r>
          </w:p>
          <w:p w14:paraId="0D037398" w14:textId="77777777" w:rsidR="00164ACC" w:rsidRPr="00FB76A9" w:rsidRDefault="00164ACC" w:rsidP="005E0F9D">
            <w:pPr>
              <w:pStyle w:val="ZPKTzmpktartykuempunktem"/>
              <w:numPr>
                <w:ilvl w:val="0"/>
                <w:numId w:val="25"/>
              </w:numPr>
              <w:spacing w:line="240" w:lineRule="auto"/>
              <w:jc w:val="left"/>
              <w:rPr>
                <w:rFonts w:ascii="Times New Roman" w:hAnsi="Times New Roman" w:cs="Times New Roman"/>
                <w:szCs w:val="24"/>
              </w:rPr>
            </w:pPr>
            <w:r w:rsidRPr="00FB76A9">
              <w:rPr>
                <w:rFonts w:ascii="Times New Roman" w:hAnsi="Times New Roman" w:cs="Times New Roman"/>
                <w:szCs w:val="24"/>
              </w:rPr>
              <w:t>prowadzenia nieodpłatnych kampanii informacyjnych dla obywateli w mediach publicznych, komercyjnych i społecznościowych;</w:t>
            </w:r>
          </w:p>
          <w:p w14:paraId="587650D4" w14:textId="77777777" w:rsidR="00164ACC" w:rsidRPr="00FB76A9" w:rsidRDefault="00164ACC" w:rsidP="005E0F9D">
            <w:pPr>
              <w:pStyle w:val="ZPKTzmpktartykuempunktem"/>
              <w:numPr>
                <w:ilvl w:val="0"/>
                <w:numId w:val="25"/>
              </w:numPr>
              <w:spacing w:line="240" w:lineRule="auto"/>
              <w:jc w:val="left"/>
              <w:rPr>
                <w:rFonts w:ascii="Times New Roman" w:hAnsi="Times New Roman" w:cs="Times New Roman"/>
                <w:szCs w:val="24"/>
              </w:rPr>
            </w:pPr>
            <w:r w:rsidRPr="00FB76A9">
              <w:rPr>
                <w:rFonts w:ascii="Times New Roman" w:hAnsi="Times New Roman" w:cs="Times New Roman"/>
                <w:szCs w:val="24"/>
              </w:rPr>
              <w:t xml:space="preserve">opracowania i prowadzenia wykazu pojazdów, przedmiotów wyposażenia lub części niezgodnych z wymaganiami technicznymi lub stwarzających poważne ryzyko, który </w:t>
            </w:r>
            <w:r w:rsidRPr="00FB76A9">
              <w:rPr>
                <w:rFonts w:ascii="Times New Roman" w:hAnsi="Times New Roman" w:cs="Times New Roman"/>
                <w:szCs w:val="24"/>
              </w:rPr>
              <w:lastRenderedPageBreak/>
              <w:t>udostępnia na stronie podmiotowej Transportowego Dozoru Technicznego;</w:t>
            </w:r>
          </w:p>
          <w:p w14:paraId="4E07C136" w14:textId="77777777" w:rsidR="00164ACC" w:rsidRPr="00FB76A9" w:rsidRDefault="00164ACC" w:rsidP="005E0F9D">
            <w:pPr>
              <w:pStyle w:val="ZPKTzmpktartykuempunktem"/>
              <w:numPr>
                <w:ilvl w:val="0"/>
                <w:numId w:val="25"/>
              </w:numPr>
              <w:spacing w:line="240" w:lineRule="auto"/>
              <w:jc w:val="left"/>
              <w:rPr>
                <w:rFonts w:ascii="Times New Roman" w:hAnsi="Times New Roman" w:cs="Times New Roman"/>
                <w:szCs w:val="24"/>
              </w:rPr>
            </w:pPr>
            <w:r w:rsidRPr="00FB76A9">
              <w:rPr>
                <w:rFonts w:ascii="Times New Roman" w:hAnsi="Times New Roman" w:cs="Times New Roman"/>
                <w:szCs w:val="24"/>
              </w:rPr>
              <w:t>opracowania i prowadzenia wykazu akcji serwisowych, który udostępnia na stronie podmiotowej</w:t>
            </w:r>
            <w:r w:rsidRPr="00FB76A9" w:rsidDel="007B42A7">
              <w:rPr>
                <w:rFonts w:ascii="Times New Roman" w:hAnsi="Times New Roman" w:cs="Times New Roman"/>
                <w:szCs w:val="24"/>
              </w:rPr>
              <w:t xml:space="preserve"> </w:t>
            </w:r>
            <w:r w:rsidRPr="00FB76A9">
              <w:rPr>
                <w:rFonts w:ascii="Times New Roman" w:hAnsi="Times New Roman" w:cs="Times New Roman"/>
                <w:szCs w:val="24"/>
              </w:rPr>
              <w:t>Transportowego Dozoru Technicznego;</w:t>
            </w:r>
          </w:p>
          <w:p w14:paraId="1A8C198C" w14:textId="77777777" w:rsidR="00164ACC" w:rsidRPr="00FB76A9" w:rsidRDefault="00164ACC" w:rsidP="005E0F9D">
            <w:pPr>
              <w:pStyle w:val="ZPKTzmpktartykuempunktem"/>
              <w:numPr>
                <w:ilvl w:val="0"/>
                <w:numId w:val="25"/>
              </w:numPr>
              <w:spacing w:line="240" w:lineRule="auto"/>
              <w:jc w:val="left"/>
              <w:rPr>
                <w:rFonts w:ascii="Times New Roman" w:hAnsi="Times New Roman" w:cs="Times New Roman"/>
                <w:szCs w:val="24"/>
              </w:rPr>
            </w:pPr>
            <w:r w:rsidRPr="00FB76A9">
              <w:rPr>
                <w:rFonts w:ascii="Times New Roman" w:hAnsi="Times New Roman" w:cs="Times New Roman"/>
                <w:szCs w:val="24"/>
              </w:rPr>
              <w:t xml:space="preserve">pozyskiwania od podmiotu gospodarczego informacji o przeprowadzanej akcji serwisowej w formie powiadomienia, o którym mowa w art. 70 ust. </w:t>
            </w:r>
            <w:r w:rsidR="00C472E8">
              <w:rPr>
                <w:rFonts w:ascii="Times New Roman" w:hAnsi="Times New Roman" w:cs="Times New Roman"/>
                <w:szCs w:val="24"/>
              </w:rPr>
              <w:t>2</w:t>
            </w:r>
            <w:r w:rsidRPr="00FB76A9">
              <w:rPr>
                <w:rFonts w:ascii="Times New Roman" w:hAnsi="Times New Roman" w:cs="Times New Roman"/>
                <w:szCs w:val="24"/>
              </w:rPr>
              <w:t xml:space="preserve"> lub art. 71 ust. </w:t>
            </w:r>
            <w:r w:rsidR="00C472E8">
              <w:rPr>
                <w:rFonts w:ascii="Times New Roman" w:hAnsi="Times New Roman" w:cs="Times New Roman"/>
                <w:szCs w:val="24"/>
              </w:rPr>
              <w:t>2</w:t>
            </w:r>
            <w:r w:rsidRPr="00FB76A9">
              <w:rPr>
                <w:rFonts w:ascii="Times New Roman" w:hAnsi="Times New Roman" w:cs="Times New Roman"/>
                <w:szCs w:val="24"/>
              </w:rPr>
              <w:t xml:space="preserve">, w celu umieszczenia ich w systemie szybkiej wymiany informacji, o którym mowa w art. 20 ust. 4 rozporządzenia 2019/1020, zwanym dalej „systemem Safety Gate” i systemie informacyjnym i komunikacyjnym do celów nadzoru rynku, </w:t>
            </w:r>
            <w:r w:rsidRPr="00FB76A9">
              <w:rPr>
                <w:rFonts w:ascii="Times New Roman" w:hAnsi="Times New Roman" w:cs="Times New Roman"/>
                <w:szCs w:val="24"/>
              </w:rPr>
              <w:br/>
              <w:t>o którym mowa w art. 34 ust. 1 rozporządzenia 2019/1020, zwanym dalej „systemem ICSMS” oraz na stronie podmiotowej</w:t>
            </w:r>
            <w:r w:rsidRPr="00FB76A9" w:rsidDel="003014A1">
              <w:rPr>
                <w:rFonts w:ascii="Times New Roman" w:hAnsi="Times New Roman" w:cs="Times New Roman"/>
                <w:szCs w:val="24"/>
              </w:rPr>
              <w:t xml:space="preserve"> </w:t>
            </w:r>
            <w:r w:rsidRPr="00FB76A9">
              <w:rPr>
                <w:rFonts w:ascii="Times New Roman" w:hAnsi="Times New Roman" w:cs="Times New Roman"/>
                <w:szCs w:val="24"/>
              </w:rPr>
              <w:t>Transportowego Dozoru Technicznego;</w:t>
            </w:r>
          </w:p>
          <w:p w14:paraId="0BBCDD0A" w14:textId="77777777" w:rsidR="00164ACC" w:rsidRPr="00FB76A9" w:rsidRDefault="00164ACC" w:rsidP="005E0F9D">
            <w:pPr>
              <w:pStyle w:val="ZPKTzmpktartykuempunktem"/>
              <w:numPr>
                <w:ilvl w:val="0"/>
                <w:numId w:val="25"/>
              </w:numPr>
              <w:spacing w:line="240" w:lineRule="auto"/>
              <w:jc w:val="left"/>
              <w:rPr>
                <w:rFonts w:ascii="Times New Roman" w:hAnsi="Times New Roman" w:cs="Times New Roman"/>
                <w:szCs w:val="24"/>
              </w:rPr>
            </w:pPr>
            <w:r w:rsidRPr="00FB76A9">
              <w:rPr>
                <w:rFonts w:ascii="Times New Roman" w:hAnsi="Times New Roman" w:cs="Times New Roman"/>
                <w:szCs w:val="24"/>
              </w:rPr>
              <w:t>przekazywania do ewidencji informacji o decyzji Dyrektora TDT, o której mowa w art. 68zj ust. 1 lub art. 68zk ust. 12, w zakresie wycofania pojazdu z obrotu lub użytkowania;</w:t>
            </w:r>
          </w:p>
          <w:p w14:paraId="67787F8E" w14:textId="77777777" w:rsidR="00164ACC" w:rsidRPr="00FB76A9" w:rsidRDefault="00164ACC" w:rsidP="005E0F9D">
            <w:pPr>
              <w:pStyle w:val="ZPKTzmpktartykuempunktem"/>
              <w:numPr>
                <w:ilvl w:val="0"/>
                <w:numId w:val="25"/>
              </w:numPr>
              <w:spacing w:line="240" w:lineRule="auto"/>
              <w:jc w:val="left"/>
              <w:rPr>
                <w:rFonts w:ascii="Times New Roman" w:hAnsi="Times New Roman" w:cs="Times New Roman"/>
                <w:szCs w:val="24"/>
              </w:rPr>
            </w:pPr>
            <w:r w:rsidRPr="00FB76A9">
              <w:rPr>
                <w:rFonts w:ascii="Times New Roman" w:hAnsi="Times New Roman" w:cs="Times New Roman"/>
                <w:szCs w:val="24"/>
              </w:rPr>
              <w:t>kontroli dokumentów związanych z ładunkiem oraz kontroli fizycznej tego ładunku, przewożonego na drogach publicznych,</w:t>
            </w:r>
            <w:r w:rsidRPr="00FB76A9" w:rsidDel="009C0BFE">
              <w:rPr>
                <w:rFonts w:ascii="Times New Roman" w:hAnsi="Times New Roman" w:cs="Times New Roman"/>
                <w:szCs w:val="24"/>
              </w:rPr>
              <w:t xml:space="preserve"> </w:t>
            </w:r>
            <w:r w:rsidRPr="00FB76A9">
              <w:rPr>
                <w:rFonts w:ascii="Times New Roman" w:hAnsi="Times New Roman" w:cs="Times New Roman"/>
                <w:szCs w:val="24"/>
              </w:rPr>
              <w:t xml:space="preserve">w zakresie przestrzegania zgodności z aktami prawnymi, dla których jest organem nadzoru rynku zgodnie z art. 3 ust. 3, w ramach wykonywania kontroli ruchu drogowego przez funkcjonariusza Policji, inspektora Inspekcji </w:t>
            </w:r>
            <w:r w:rsidRPr="00FB76A9">
              <w:rPr>
                <w:rFonts w:ascii="Times New Roman" w:hAnsi="Times New Roman" w:cs="Times New Roman"/>
                <w:szCs w:val="24"/>
              </w:rPr>
              <w:lastRenderedPageBreak/>
              <w:t>Transportu Drogowego lub funkcjonariusza Służby Celno-Skarbowej;</w:t>
            </w:r>
          </w:p>
          <w:p w14:paraId="14C249E6" w14:textId="77777777" w:rsidR="00164ACC" w:rsidRPr="00FB76A9" w:rsidRDefault="00164ACC" w:rsidP="005E0F9D">
            <w:pPr>
              <w:pStyle w:val="ZPKTzmpktartykuempunktem"/>
              <w:numPr>
                <w:ilvl w:val="0"/>
                <w:numId w:val="25"/>
              </w:numPr>
              <w:spacing w:line="240" w:lineRule="auto"/>
              <w:jc w:val="left"/>
              <w:rPr>
                <w:rFonts w:ascii="Times New Roman" w:hAnsi="Times New Roman" w:cs="Times New Roman"/>
                <w:strike/>
                <w:szCs w:val="24"/>
              </w:rPr>
            </w:pPr>
            <w:r w:rsidRPr="00FB76A9">
              <w:rPr>
                <w:rFonts w:ascii="Times New Roman" w:hAnsi="Times New Roman" w:cs="Times New Roman"/>
                <w:szCs w:val="24"/>
              </w:rPr>
              <w:t>nieodpłatnego uzyskiwania od organów Krajowej Administracji Skarbowej danych, o których mowa w art. 68zx ust. 2;</w:t>
            </w:r>
          </w:p>
          <w:p w14:paraId="7C99B1D3" w14:textId="77777777" w:rsidR="00164ACC" w:rsidRPr="00FB76A9" w:rsidRDefault="00164ACC" w:rsidP="005E0F9D">
            <w:pPr>
              <w:pStyle w:val="ZPKTzmpktartykuempunktem"/>
              <w:numPr>
                <w:ilvl w:val="0"/>
                <w:numId w:val="25"/>
              </w:numPr>
              <w:spacing w:line="240" w:lineRule="auto"/>
              <w:jc w:val="left"/>
              <w:rPr>
                <w:rFonts w:ascii="Times New Roman" w:hAnsi="Times New Roman" w:cs="Times New Roman"/>
                <w:szCs w:val="24"/>
              </w:rPr>
            </w:pPr>
            <w:r w:rsidRPr="00FB76A9">
              <w:rPr>
                <w:rFonts w:ascii="Times New Roman" w:hAnsi="Times New Roman" w:cs="Times New Roman"/>
                <w:szCs w:val="24"/>
              </w:rPr>
              <w:t>nieodpłatnego dostępu do ewidencji w celu poinformowania użytkowników pojazdów zarejestrowanych na terytorium Rzeczypospolitej Polskiej o akcjach serwisowych;</w:t>
            </w:r>
          </w:p>
          <w:p w14:paraId="2F47F17A" w14:textId="77777777" w:rsidR="00164ACC" w:rsidRPr="00FB76A9" w:rsidRDefault="00164ACC" w:rsidP="005E0F9D">
            <w:pPr>
              <w:pStyle w:val="ZPKTzmpktartykuempunktem"/>
              <w:numPr>
                <w:ilvl w:val="0"/>
                <w:numId w:val="25"/>
              </w:numPr>
              <w:spacing w:line="240" w:lineRule="auto"/>
              <w:jc w:val="left"/>
              <w:rPr>
                <w:rFonts w:ascii="Times New Roman" w:hAnsi="Times New Roman" w:cs="Times New Roman"/>
                <w:szCs w:val="24"/>
              </w:rPr>
            </w:pPr>
            <w:r w:rsidRPr="00FB76A9">
              <w:rPr>
                <w:rFonts w:ascii="Times New Roman" w:hAnsi="Times New Roman" w:cs="Times New Roman"/>
                <w:szCs w:val="24"/>
              </w:rPr>
              <w:t>udziału w badaniach wykonywanych przez laboratoria badawcze wykonujące badania na zlecenie Dyrektora TDT;</w:t>
            </w:r>
          </w:p>
          <w:p w14:paraId="760798AE" w14:textId="77777777" w:rsidR="00164ACC" w:rsidRPr="00FB76A9" w:rsidRDefault="00164ACC" w:rsidP="005E0F9D">
            <w:pPr>
              <w:pStyle w:val="ZPKTzmpktartykuempunktem"/>
              <w:numPr>
                <w:ilvl w:val="0"/>
                <w:numId w:val="25"/>
              </w:numPr>
              <w:spacing w:line="240" w:lineRule="auto"/>
              <w:jc w:val="left"/>
              <w:rPr>
                <w:rFonts w:ascii="Times New Roman" w:hAnsi="Times New Roman" w:cs="Times New Roman"/>
                <w:szCs w:val="24"/>
              </w:rPr>
            </w:pPr>
            <w:r w:rsidRPr="00FB76A9">
              <w:rPr>
                <w:rFonts w:ascii="Times New Roman" w:hAnsi="Times New Roman" w:cs="Times New Roman"/>
                <w:szCs w:val="24"/>
              </w:rPr>
              <w:t>przeprowadzenia badań, o których mowa w art. 7 rozporządzenia 167/2013, art. 8 rozporządzenia 168/2013 oraz art. 8 rozporządzenia 2018/858;</w:t>
            </w:r>
          </w:p>
          <w:p w14:paraId="1C79305E" w14:textId="77777777" w:rsidR="00164ACC" w:rsidRPr="00FB76A9" w:rsidRDefault="00164ACC" w:rsidP="005E0F9D">
            <w:pPr>
              <w:pStyle w:val="ZPKTzmpktartykuempunktem"/>
              <w:numPr>
                <w:ilvl w:val="0"/>
                <w:numId w:val="25"/>
              </w:numPr>
              <w:spacing w:line="240" w:lineRule="auto"/>
              <w:jc w:val="left"/>
              <w:rPr>
                <w:rFonts w:ascii="Times New Roman" w:hAnsi="Times New Roman" w:cs="Times New Roman"/>
                <w:szCs w:val="24"/>
              </w:rPr>
            </w:pPr>
            <w:r w:rsidRPr="00FB76A9">
              <w:rPr>
                <w:rFonts w:ascii="Times New Roman" w:hAnsi="Times New Roman" w:cs="Times New Roman"/>
                <w:szCs w:val="24"/>
              </w:rPr>
              <w:t xml:space="preserve">wymagania od podmiotu gospodarczego informowania użytkowników końcowych o konieczności sprawdzenia stanu technicznego pojazdu w warunkach serwisowych producenta zgodnie z art. 70 ust. </w:t>
            </w:r>
            <w:r w:rsidR="00AD209C">
              <w:rPr>
                <w:rFonts w:ascii="Times New Roman" w:hAnsi="Times New Roman" w:cs="Times New Roman"/>
                <w:szCs w:val="24"/>
              </w:rPr>
              <w:t>3</w:t>
            </w:r>
            <w:r w:rsidRPr="00FB76A9">
              <w:rPr>
                <w:rFonts w:ascii="Times New Roman" w:hAnsi="Times New Roman" w:cs="Times New Roman"/>
                <w:szCs w:val="24"/>
              </w:rPr>
              <w:t xml:space="preserve"> i art. 71 ust. </w:t>
            </w:r>
            <w:r w:rsidR="00AD209C">
              <w:rPr>
                <w:rFonts w:ascii="Times New Roman" w:hAnsi="Times New Roman" w:cs="Times New Roman"/>
                <w:szCs w:val="24"/>
              </w:rPr>
              <w:t>3</w:t>
            </w:r>
            <w:r w:rsidRPr="00FB76A9">
              <w:rPr>
                <w:rFonts w:ascii="Times New Roman" w:hAnsi="Times New Roman" w:cs="Times New Roman"/>
                <w:szCs w:val="24"/>
              </w:rPr>
              <w:t xml:space="preserve"> pkt 3; </w:t>
            </w:r>
          </w:p>
          <w:p w14:paraId="70414203" w14:textId="77777777" w:rsidR="00164ACC" w:rsidRPr="00FB76A9" w:rsidRDefault="00164ACC" w:rsidP="005E0F9D">
            <w:pPr>
              <w:pStyle w:val="ZPKTzmpktartykuempunktem"/>
              <w:numPr>
                <w:ilvl w:val="0"/>
                <w:numId w:val="25"/>
              </w:numPr>
              <w:spacing w:line="240" w:lineRule="auto"/>
              <w:jc w:val="left"/>
              <w:rPr>
                <w:rFonts w:ascii="Times New Roman" w:hAnsi="Times New Roman" w:cs="Times New Roman"/>
                <w:szCs w:val="24"/>
              </w:rPr>
            </w:pPr>
            <w:r w:rsidRPr="00FB76A9">
              <w:rPr>
                <w:rFonts w:ascii="Times New Roman" w:hAnsi="Times New Roman" w:cs="Times New Roman"/>
                <w:szCs w:val="24"/>
              </w:rPr>
              <w:t>wymagania od podmiotu gospodarczego informowania o postępie w realizacji akcji serwisowych co najmniej raz na kwartał;</w:t>
            </w:r>
          </w:p>
          <w:p w14:paraId="128E7251" w14:textId="77777777" w:rsidR="00164ACC" w:rsidRPr="00FB76A9" w:rsidRDefault="00164ACC" w:rsidP="005E0F9D">
            <w:pPr>
              <w:pStyle w:val="ZPKTzmpktartykuempunktem"/>
              <w:numPr>
                <w:ilvl w:val="0"/>
                <w:numId w:val="25"/>
              </w:numPr>
              <w:spacing w:line="240" w:lineRule="auto"/>
              <w:jc w:val="left"/>
              <w:rPr>
                <w:rFonts w:ascii="Times New Roman" w:hAnsi="Times New Roman" w:cs="Times New Roman"/>
                <w:szCs w:val="24"/>
              </w:rPr>
            </w:pPr>
            <w:r w:rsidRPr="00FB76A9">
              <w:rPr>
                <w:rFonts w:ascii="Times New Roman" w:hAnsi="Times New Roman" w:cs="Times New Roman"/>
                <w:szCs w:val="24"/>
              </w:rPr>
              <w:t xml:space="preserve">wymagania przekazania tłumaczenia na język polski dokumentów albo ich części, mających stanowić dowód w sprawie niezbędny do weryfikacji zgodności pojazdu, przedmiotu wyposażenia lub części z wymaganiami technicznymi, sporządzonych w języku obcym w toku prowadzenia czynności wyjaśniających, </w:t>
            </w:r>
            <w:r w:rsidRPr="00FB76A9">
              <w:rPr>
                <w:rFonts w:ascii="Times New Roman" w:hAnsi="Times New Roman" w:cs="Times New Roman"/>
                <w:szCs w:val="24"/>
              </w:rPr>
              <w:lastRenderedPageBreak/>
              <w:t>kontroli, badań lub postępowań administracyjnych.</w:t>
            </w:r>
          </w:p>
          <w:p w14:paraId="7DC43F66" w14:textId="77777777" w:rsidR="00164ACC" w:rsidRPr="00FB76A9" w:rsidRDefault="00164ACC" w:rsidP="00FD5CD5">
            <w:pPr>
              <w:pStyle w:val="ZUSTzmustartykuempunktem"/>
              <w:spacing w:line="240" w:lineRule="auto"/>
              <w:ind w:firstLine="0"/>
              <w:jc w:val="left"/>
              <w:rPr>
                <w:rFonts w:ascii="Times New Roman" w:hAnsi="Times New Roman" w:cs="Times New Roman"/>
                <w:szCs w:val="24"/>
              </w:rPr>
            </w:pPr>
            <w:r w:rsidRPr="00FB76A9">
              <w:rPr>
                <w:rFonts w:ascii="Times New Roman" w:hAnsi="Times New Roman" w:cs="Times New Roman"/>
                <w:szCs w:val="24"/>
              </w:rPr>
              <w:t xml:space="preserve">2. Przy realizacji zadań w ramach nadzoru rynku Dyrektor TDT oraz pracownicy Transportowego Dozoru Technicznemu lub osoby upoważnione przez Dyrektora TDT do realizacji tych zadań w jego imieniu korzystają z ochrony przewidzianej w art. 222 ustawy z dnia 6 czerwca 1997 r. − Kodeks karny (Dz. U. z 2025 r. </w:t>
            </w:r>
            <w:r w:rsidR="00FA7954" w:rsidRPr="00FB76A9">
              <w:rPr>
                <w:rFonts w:ascii="Times New Roman" w:hAnsi="Times New Roman" w:cs="Times New Roman"/>
                <w:szCs w:val="24"/>
              </w:rPr>
              <w:t>poz. 383</w:t>
            </w:r>
            <w:r w:rsidR="00FA7954">
              <w:rPr>
                <w:rFonts w:ascii="Times New Roman" w:hAnsi="Times New Roman" w:cs="Times New Roman"/>
                <w:szCs w:val="24"/>
              </w:rPr>
              <w:t>, 1818 i 1872</w:t>
            </w:r>
            <w:r w:rsidRPr="00FB76A9">
              <w:rPr>
                <w:rFonts w:ascii="Times New Roman" w:hAnsi="Times New Roman" w:cs="Times New Roman"/>
                <w:szCs w:val="24"/>
              </w:rPr>
              <w:t>) dla funkcjonariuszy publicznych.</w:t>
            </w:r>
          </w:p>
          <w:p w14:paraId="6CC1322D" w14:textId="77777777" w:rsidR="00164ACC" w:rsidRPr="00FB76A9" w:rsidRDefault="00164ACC" w:rsidP="00FD5CD5">
            <w:pPr>
              <w:pStyle w:val="ZUSTzmustartykuempunktem"/>
              <w:spacing w:line="240" w:lineRule="auto"/>
              <w:ind w:firstLine="0"/>
              <w:jc w:val="left"/>
              <w:rPr>
                <w:rFonts w:ascii="Times New Roman" w:hAnsi="Times New Roman" w:cs="Times New Roman"/>
                <w:szCs w:val="24"/>
              </w:rPr>
            </w:pPr>
            <w:r w:rsidRPr="00FB76A9">
              <w:rPr>
                <w:rFonts w:ascii="Times New Roman" w:hAnsi="Times New Roman" w:cs="Times New Roman"/>
                <w:szCs w:val="24"/>
              </w:rPr>
              <w:t xml:space="preserve">3. Dyrektor TDT jako organ nadzoru rynku może zawierać porozumienia z Policją lub Strażą gminną (miejską) dotyczące przekazania do użytkowania przyrządów do określania prędkości lub mocy pojazdów, wskazujące warunki i zasady użytkowania tych przyrządów oraz ponoszenia kosztów z tego tytułu. </w:t>
            </w:r>
          </w:p>
          <w:p w14:paraId="4AAEC795" w14:textId="77777777" w:rsidR="00703BF5" w:rsidRPr="00C472E8" w:rsidRDefault="00703BF5" w:rsidP="00FD5CD5">
            <w:pPr>
              <w:pStyle w:val="ZARTzmartartykuempunktem"/>
              <w:spacing w:line="240" w:lineRule="auto"/>
              <w:ind w:firstLine="0"/>
              <w:jc w:val="left"/>
              <w:rPr>
                <w:rFonts w:ascii="Times New Roman" w:hAnsi="Times New Roman" w:cs="Times New Roman"/>
                <w:szCs w:val="24"/>
              </w:rPr>
            </w:pPr>
            <w:r w:rsidRPr="00C472E8">
              <w:rPr>
                <w:rFonts w:ascii="Times New Roman" w:hAnsi="Times New Roman" w:cs="Times New Roman"/>
                <w:szCs w:val="24"/>
              </w:rPr>
              <w:t xml:space="preserve">Art. 68t. 1. W przypadku wystąpienia podejrzenia w zakresie spełnienia przez pojazd, przedmiot wyposażenia lub część zgodności z wymaganiami technicznymi lub możliwości wystąpienia poważnego ryzyka Dyrektor TDT jako organ nadzoru rynku przeprowadza ocenę poziomu ryzyka stwarzanego przez pojazd, przedmiot wyposażenia lub część zgodnie z kryteriami określonymi w załączniku II rozporządzenia delegowanego Komisji (UE) 2024/3173 z dnia 27 sierpnia 2024 r. uzupełniające rozporządzenie Parlamentu Europejskiego i Rady (UE) 2023/988 w zakresie zasad dostępu do systemu wczesnego ostrzegania Safety Gate i jego działania, informacji, które mają być do niego wprowadzane, </w:t>
            </w:r>
            <w:r w:rsidRPr="00C472E8">
              <w:rPr>
                <w:rFonts w:ascii="Times New Roman" w:hAnsi="Times New Roman" w:cs="Times New Roman"/>
                <w:szCs w:val="24"/>
              </w:rPr>
              <w:lastRenderedPageBreak/>
              <w:t>wymagań dotyczących zgłoszeń oraz kryteriów oceny poziomu ryzyka (Dz. Urz. UE L 3173 z 13.12.2024, str. 1 oraz Dz. Urz. UE L 91009 z 12.12.2025, str. 1), zwanego dalej „rozporządzeniem 2024/3173”.</w:t>
            </w:r>
          </w:p>
          <w:p w14:paraId="2E2B73E0" w14:textId="77777777" w:rsidR="00164ACC" w:rsidRPr="00FB76A9" w:rsidRDefault="00703BF5" w:rsidP="00FD5CD5">
            <w:pPr>
              <w:pStyle w:val="ZUSTzmustartykuempunktem"/>
              <w:spacing w:line="240" w:lineRule="auto"/>
              <w:ind w:firstLine="0"/>
              <w:jc w:val="left"/>
              <w:rPr>
                <w:rFonts w:ascii="Times New Roman" w:hAnsi="Times New Roman" w:cs="Times New Roman"/>
                <w:szCs w:val="24"/>
              </w:rPr>
            </w:pPr>
            <w:r w:rsidRPr="00C472E8">
              <w:rPr>
                <w:rFonts w:ascii="Times New Roman" w:hAnsi="Times New Roman" w:cs="Times New Roman"/>
                <w:szCs w:val="24"/>
              </w:rPr>
              <w:t xml:space="preserve">2. Poziom ryzyka w odniesieniu do pojazdu, przedmiotu wyposażenia lub części określony jako „poważny” w załączniku II rozporządzenia 2024/3173 traktuje się jako wysokie ryzyko w odniesieniu do podmiotu gospodarczego w rozumieniu przepisu art. 47 ust. 1 ustawy </w:t>
            </w:r>
            <w:r w:rsidRPr="00C472E8">
              <w:rPr>
                <w:rFonts w:ascii="Times New Roman" w:hAnsi="Times New Roman" w:cs="Times New Roman"/>
                <w:szCs w:val="24"/>
              </w:rPr>
              <w:softHyphen/>
              <w:t xml:space="preserve"> – Prawo przedsiębiorców.</w:t>
            </w:r>
          </w:p>
          <w:p w14:paraId="54091C8F" w14:textId="77777777" w:rsidR="00164ACC" w:rsidRPr="00FB76A9" w:rsidRDefault="00164ACC" w:rsidP="00FD5CD5">
            <w:pPr>
              <w:pStyle w:val="NormalnyWeb"/>
              <w:spacing w:before="0" w:beforeAutospacing="0" w:after="0" w:afterAutospacing="0"/>
              <w:ind w:left="510"/>
              <w:rPr>
                <w:rFonts w:eastAsiaTheme="minorEastAsia"/>
              </w:rPr>
            </w:pPr>
            <w:r w:rsidRPr="00FB76A9">
              <w:rPr>
                <w:rFonts w:eastAsiaTheme="minorEastAsia"/>
              </w:rPr>
              <w:t>Art. 68u. 1. Dyrektor TDT jako organ nadzoru rynku, dokonuje okresowej analizy prawdopodobieństwa naruszenia przepisów, o której mowa w art. 47 ust. 1 ustawy z dnia 6 marca 2018 r. – Prawo przedsiębiorców.</w:t>
            </w:r>
          </w:p>
          <w:p w14:paraId="7C997F06" w14:textId="77777777" w:rsidR="00164ACC" w:rsidRPr="00FB76A9" w:rsidRDefault="00164ACC" w:rsidP="005E0F9D">
            <w:pPr>
              <w:pStyle w:val="NormalnyWeb"/>
              <w:numPr>
                <w:ilvl w:val="0"/>
                <w:numId w:val="18"/>
              </w:numPr>
              <w:spacing w:before="0" w:beforeAutospacing="0" w:after="0" w:afterAutospacing="0"/>
              <w:rPr>
                <w:rFonts w:eastAsiaTheme="minorEastAsia"/>
              </w:rPr>
            </w:pPr>
            <w:r w:rsidRPr="00FB76A9">
              <w:rPr>
                <w:rFonts w:eastAsiaTheme="minorEastAsia"/>
              </w:rPr>
              <w:t>Analiza, o której mowa w ust. 1, jest przeprowadzana w oparciu o:</w:t>
            </w:r>
          </w:p>
          <w:p w14:paraId="27AB0AA8" w14:textId="77777777" w:rsidR="00164ACC" w:rsidRPr="00FB76A9" w:rsidRDefault="00164ACC" w:rsidP="005E0F9D">
            <w:pPr>
              <w:pStyle w:val="NormalnyWeb"/>
              <w:numPr>
                <w:ilvl w:val="1"/>
                <w:numId w:val="18"/>
              </w:numPr>
              <w:spacing w:before="0" w:beforeAutospacing="0" w:after="0" w:afterAutospacing="0"/>
              <w:rPr>
                <w:rFonts w:eastAsiaTheme="minorEastAsia"/>
              </w:rPr>
            </w:pPr>
            <w:r w:rsidRPr="00FB76A9">
              <w:rPr>
                <w:rFonts w:eastAsiaTheme="minorEastAsia"/>
              </w:rPr>
              <w:t>wyniki wcześniejszych kontroli;</w:t>
            </w:r>
          </w:p>
          <w:p w14:paraId="67C4A413" w14:textId="77777777" w:rsidR="00164ACC" w:rsidRPr="00FB76A9" w:rsidRDefault="00164ACC" w:rsidP="005E0F9D">
            <w:pPr>
              <w:pStyle w:val="NormalnyWeb"/>
              <w:numPr>
                <w:ilvl w:val="1"/>
                <w:numId w:val="18"/>
              </w:numPr>
              <w:spacing w:before="0" w:beforeAutospacing="0" w:after="0" w:afterAutospacing="0"/>
              <w:rPr>
                <w:rFonts w:eastAsiaTheme="minorEastAsia"/>
              </w:rPr>
            </w:pPr>
            <w:r w:rsidRPr="00FB76A9">
              <w:rPr>
                <w:rFonts w:eastAsiaTheme="minorEastAsia"/>
              </w:rPr>
              <w:t>skargi i sygnały z rynku;</w:t>
            </w:r>
          </w:p>
          <w:p w14:paraId="7DD74CF5" w14:textId="77777777" w:rsidR="00164ACC" w:rsidRPr="00FB76A9" w:rsidRDefault="00164ACC" w:rsidP="005E0F9D">
            <w:pPr>
              <w:pStyle w:val="NormalnyWeb"/>
              <w:numPr>
                <w:ilvl w:val="1"/>
                <w:numId w:val="18"/>
              </w:numPr>
              <w:spacing w:before="0" w:beforeAutospacing="0" w:after="0" w:afterAutospacing="0"/>
              <w:rPr>
                <w:rFonts w:eastAsiaTheme="minorEastAsia"/>
              </w:rPr>
            </w:pPr>
            <w:r w:rsidRPr="00FB76A9">
              <w:rPr>
                <w:rFonts w:eastAsiaTheme="minorEastAsia"/>
              </w:rPr>
              <w:t>dane z systemu Safety Gate oraz systemu ICSMS;</w:t>
            </w:r>
          </w:p>
          <w:p w14:paraId="47B04DF6" w14:textId="77777777" w:rsidR="00164ACC" w:rsidRPr="00FB76A9" w:rsidRDefault="00164ACC" w:rsidP="005E0F9D">
            <w:pPr>
              <w:pStyle w:val="NormalnyWeb"/>
              <w:numPr>
                <w:ilvl w:val="1"/>
                <w:numId w:val="18"/>
              </w:numPr>
              <w:spacing w:before="0" w:beforeAutospacing="0" w:after="0" w:afterAutospacing="0"/>
              <w:rPr>
                <w:rFonts w:eastAsiaTheme="minorEastAsia"/>
              </w:rPr>
            </w:pPr>
            <w:r w:rsidRPr="00FB76A9">
              <w:rPr>
                <w:rFonts w:eastAsiaTheme="minorEastAsia"/>
              </w:rPr>
              <w:t>informacje pochodzące od innych organów;</w:t>
            </w:r>
          </w:p>
          <w:p w14:paraId="51ABB30D" w14:textId="77777777" w:rsidR="00164ACC" w:rsidRPr="00FB76A9" w:rsidRDefault="00164ACC" w:rsidP="005E0F9D">
            <w:pPr>
              <w:pStyle w:val="NormalnyWeb"/>
              <w:numPr>
                <w:ilvl w:val="1"/>
                <w:numId w:val="18"/>
              </w:numPr>
              <w:spacing w:before="0" w:beforeAutospacing="0" w:after="0" w:afterAutospacing="0"/>
              <w:rPr>
                <w:rFonts w:eastAsiaTheme="minorEastAsia"/>
              </w:rPr>
            </w:pPr>
            <w:r w:rsidRPr="00FB76A9">
              <w:rPr>
                <w:rFonts w:eastAsiaTheme="minorEastAsia"/>
              </w:rPr>
              <w:t>dane statystyczne z ostatnich trzech lat dotyczące liczby pojazdów, przedmiotów wyposażenia lub części wprowadzonych do obrotu na terytorium Rzeczypospolitej Polskiej;</w:t>
            </w:r>
          </w:p>
          <w:p w14:paraId="4300EE03" w14:textId="77777777" w:rsidR="00164ACC" w:rsidRPr="00FB76A9" w:rsidRDefault="00164ACC" w:rsidP="005E0F9D">
            <w:pPr>
              <w:pStyle w:val="NormalnyWeb"/>
              <w:numPr>
                <w:ilvl w:val="1"/>
                <w:numId w:val="18"/>
              </w:numPr>
              <w:spacing w:before="0" w:beforeAutospacing="0" w:after="0" w:afterAutospacing="0"/>
              <w:rPr>
                <w:rFonts w:eastAsiaTheme="minorEastAsia"/>
              </w:rPr>
            </w:pPr>
            <w:r w:rsidRPr="00FB76A9">
              <w:rPr>
                <w:rFonts w:eastAsiaTheme="minorEastAsia"/>
              </w:rPr>
              <w:t xml:space="preserve">informacje wymieniane w ciągu ostatnich trzech lat na forum wymiany </w:t>
            </w:r>
            <w:r w:rsidRPr="00FB76A9">
              <w:rPr>
                <w:rFonts w:eastAsiaTheme="minorEastAsia"/>
              </w:rPr>
              <w:lastRenderedPageBreak/>
              <w:t>informacji o egzekwowaniu przepisów, o którym mowa w art. 11 rozporządzenia 2018/858;</w:t>
            </w:r>
          </w:p>
          <w:p w14:paraId="15B7BF56" w14:textId="77777777" w:rsidR="00164ACC" w:rsidRPr="00FB76A9" w:rsidRDefault="00164ACC" w:rsidP="005E0F9D">
            <w:pPr>
              <w:pStyle w:val="NormalnyWeb"/>
              <w:numPr>
                <w:ilvl w:val="1"/>
                <w:numId w:val="18"/>
              </w:numPr>
              <w:spacing w:before="0" w:beforeAutospacing="0" w:after="0" w:afterAutospacing="0"/>
              <w:rPr>
                <w:rFonts w:eastAsiaTheme="minorEastAsia"/>
              </w:rPr>
            </w:pPr>
            <w:r w:rsidRPr="00FB76A9">
              <w:rPr>
                <w:rFonts w:eastAsiaTheme="minorEastAsia"/>
              </w:rPr>
              <w:t>informacje z badań opublikowanych w ciągu ostatnich trzech lat przez strony trzecie w odniesieniu do pojazdów, przedmiotów wyposażenia lub części;</w:t>
            </w:r>
          </w:p>
          <w:p w14:paraId="4533FC57" w14:textId="77777777" w:rsidR="00164ACC" w:rsidRPr="00FB76A9" w:rsidRDefault="00164ACC" w:rsidP="005E0F9D">
            <w:pPr>
              <w:pStyle w:val="NormalnyWeb"/>
              <w:numPr>
                <w:ilvl w:val="1"/>
                <w:numId w:val="18"/>
              </w:numPr>
              <w:spacing w:before="0" w:beforeAutospacing="0" w:after="0" w:afterAutospacing="0"/>
              <w:rPr>
                <w:rFonts w:eastAsiaTheme="minorEastAsia"/>
              </w:rPr>
            </w:pPr>
            <w:r w:rsidRPr="00FB76A9">
              <w:rPr>
                <w:rFonts w:eastAsiaTheme="minorEastAsia"/>
              </w:rPr>
              <w:t>zgodność z wymaganiami technicznymi oraz ocenę poziomów ryzyka stwarzanego przez pojazd, przedmiot wyposażenia lub część;</w:t>
            </w:r>
          </w:p>
          <w:p w14:paraId="766474FC" w14:textId="77777777" w:rsidR="00164ACC" w:rsidRPr="00FB76A9" w:rsidRDefault="00164ACC" w:rsidP="005E0F9D">
            <w:pPr>
              <w:pStyle w:val="NormalnyWeb"/>
              <w:numPr>
                <w:ilvl w:val="1"/>
                <w:numId w:val="18"/>
              </w:numPr>
              <w:spacing w:before="0" w:beforeAutospacing="0" w:after="0" w:afterAutospacing="0"/>
              <w:rPr>
                <w:rFonts w:eastAsiaTheme="minorEastAsia"/>
              </w:rPr>
            </w:pPr>
            <w:r w:rsidRPr="00FB76A9">
              <w:rPr>
                <w:rFonts w:eastAsiaTheme="minorEastAsia"/>
              </w:rPr>
              <w:t>analizy branżowe.</w:t>
            </w:r>
          </w:p>
          <w:p w14:paraId="06E8F085" w14:textId="77777777" w:rsidR="00164ACC" w:rsidRPr="00FB76A9" w:rsidRDefault="00164ACC" w:rsidP="00FD5CD5">
            <w:pPr>
              <w:pStyle w:val="NormalnyWeb"/>
              <w:spacing w:before="0" w:beforeAutospacing="0" w:after="0" w:afterAutospacing="0"/>
              <w:ind w:left="510"/>
              <w:rPr>
                <w:rFonts w:eastAsiaTheme="minorEastAsia"/>
              </w:rPr>
            </w:pPr>
            <w:r w:rsidRPr="00FB76A9">
              <w:rPr>
                <w:rFonts w:eastAsiaTheme="minorEastAsia"/>
              </w:rPr>
              <w:t>3. Na podstawie analizy ryzyka Dyrektor TDT jako organ nadzoru rynku przypisuje podmioty gospodarcze do kategorii ryzyka, zróżnicowanych ze względu na prawdopodobieństwo naruszenia przepisów oraz możliwe skutki takiego naruszenia.</w:t>
            </w:r>
          </w:p>
          <w:p w14:paraId="315FD34B" w14:textId="77777777" w:rsidR="00164ACC" w:rsidRPr="00FB76A9" w:rsidRDefault="00164ACC" w:rsidP="00FD5CD5">
            <w:pPr>
              <w:pStyle w:val="NormalnyWeb"/>
              <w:spacing w:before="0" w:beforeAutospacing="0" w:after="0" w:afterAutospacing="0"/>
              <w:ind w:left="510"/>
              <w:rPr>
                <w:rFonts w:eastAsiaTheme="minorEastAsia"/>
              </w:rPr>
            </w:pPr>
            <w:r w:rsidRPr="00FB76A9">
              <w:rPr>
                <w:rFonts w:eastAsiaTheme="minorEastAsia"/>
              </w:rPr>
              <w:t>4. Kategoryzacja ryzyka stanowi podstawę planowania, o którym mowa w art. 47 ust. 1 ustawy z dnia 6 marca 2018 r. – Prawo przedsiębiorców, i prowadzenia działań kontrolnych.</w:t>
            </w:r>
          </w:p>
          <w:p w14:paraId="4439A7D5" w14:textId="77777777" w:rsidR="00164ACC" w:rsidRPr="00FB76A9" w:rsidRDefault="00164ACC" w:rsidP="00FD5CD5">
            <w:pPr>
              <w:pStyle w:val="NormalnyWeb"/>
              <w:spacing w:before="0" w:beforeAutospacing="0" w:after="0" w:afterAutospacing="0"/>
              <w:ind w:left="510"/>
              <w:rPr>
                <w:rFonts w:eastAsiaTheme="minorEastAsia"/>
              </w:rPr>
            </w:pPr>
            <w:r w:rsidRPr="00FB76A9">
              <w:rPr>
                <w:rFonts w:eastAsiaTheme="minorEastAsia"/>
              </w:rPr>
              <w:t xml:space="preserve">Art. 68v. 1. Dyrektor TDT jako organ nadzoru rynku w celu realizacji zadań może korzystać z danych osobowych o osobie obejmujących: imię i nazwisko, numer identyfikacyjny PESEL, w przypadku braku numeru PESEL datę urodzenia, obywatelstwo, numer dokumentu tożsamości, numer NIP, adres zamieszkania wraz z adresem prowadzenia działalności gospodarczej, numer telefonu, adres poczty elektronicznej, w tym również w formie zapisu elektronicznego, </w:t>
            </w:r>
            <w:r w:rsidRPr="00FB76A9">
              <w:rPr>
                <w:rFonts w:eastAsiaTheme="minorEastAsia"/>
              </w:rPr>
              <w:lastRenderedPageBreak/>
              <w:t>uzyskanych przez inne organy, służby i instytucje państwowe.</w:t>
            </w:r>
          </w:p>
          <w:p w14:paraId="72E86A12" w14:textId="77777777" w:rsidR="00164ACC" w:rsidRPr="00FB76A9" w:rsidRDefault="00164ACC" w:rsidP="00FD5CD5">
            <w:pPr>
              <w:pStyle w:val="NormalnyWeb"/>
              <w:spacing w:before="0" w:beforeAutospacing="0" w:after="0" w:afterAutospacing="0"/>
              <w:ind w:left="510"/>
              <w:rPr>
                <w:rFonts w:eastAsiaTheme="minorEastAsia"/>
              </w:rPr>
            </w:pPr>
            <w:r w:rsidRPr="00FB76A9">
              <w:rPr>
                <w:rFonts w:eastAsiaTheme="minorEastAsia"/>
              </w:rPr>
              <w:t>2. Administrator danych osobowych, o których mowa w ust. 1, jest obowiązany udostępnić te dane inspektorowi Transportowego Dozoru Technicznemu wskazanemu w imiennym upoważnieniu Dyrektora TDT, po okazaniu tego upoważnienia oraz legitymacji służbowej.</w:t>
            </w:r>
          </w:p>
          <w:p w14:paraId="593A309E" w14:textId="77777777" w:rsidR="00703BF5" w:rsidRPr="00C472E8" w:rsidRDefault="00703BF5" w:rsidP="00FD5CD5">
            <w:pPr>
              <w:pStyle w:val="NormalnyWeb"/>
              <w:spacing w:before="0" w:beforeAutospacing="0" w:after="0" w:afterAutospacing="0"/>
              <w:ind w:left="510"/>
              <w:rPr>
                <w:rFonts w:eastAsiaTheme="minorEastAsia"/>
              </w:rPr>
            </w:pPr>
            <w:r w:rsidRPr="00C472E8">
              <w:rPr>
                <w:rFonts w:eastAsiaTheme="minorEastAsia"/>
              </w:rPr>
              <w:t>3. Administratorem danych osobowych, o których mowa w ust. 1, jest:</w:t>
            </w:r>
          </w:p>
          <w:p w14:paraId="286815CF" w14:textId="77777777" w:rsidR="00703BF5" w:rsidRPr="00C472E8" w:rsidRDefault="00703BF5" w:rsidP="005E0F9D">
            <w:pPr>
              <w:pStyle w:val="NormalnyWeb"/>
              <w:numPr>
                <w:ilvl w:val="1"/>
                <w:numId w:val="19"/>
              </w:numPr>
              <w:spacing w:before="0" w:beforeAutospacing="0" w:after="0" w:afterAutospacing="0"/>
              <w:rPr>
                <w:rFonts w:eastAsiaTheme="minorEastAsia"/>
              </w:rPr>
            </w:pPr>
            <w:r w:rsidRPr="00C472E8">
              <w:rPr>
                <w:rFonts w:eastAsiaTheme="minorEastAsia"/>
              </w:rPr>
              <w:t>minister właściwy do spraw administracji publicznej;</w:t>
            </w:r>
          </w:p>
          <w:p w14:paraId="3C197C11" w14:textId="77777777" w:rsidR="00703BF5" w:rsidRPr="00C472E8" w:rsidRDefault="00703BF5" w:rsidP="005E0F9D">
            <w:pPr>
              <w:pStyle w:val="NormalnyWeb"/>
              <w:numPr>
                <w:ilvl w:val="1"/>
                <w:numId w:val="19"/>
              </w:numPr>
              <w:spacing w:before="0" w:beforeAutospacing="0" w:after="0" w:afterAutospacing="0"/>
              <w:rPr>
                <w:rFonts w:eastAsiaTheme="minorEastAsia"/>
              </w:rPr>
            </w:pPr>
            <w:r w:rsidRPr="00C472E8">
              <w:rPr>
                <w:rFonts w:eastAsiaTheme="minorEastAsia"/>
              </w:rPr>
              <w:t>minister właściwy do spraw finansów publicznych;</w:t>
            </w:r>
          </w:p>
          <w:p w14:paraId="38B97829" w14:textId="77777777" w:rsidR="00703BF5" w:rsidRPr="00C472E8" w:rsidRDefault="00703BF5" w:rsidP="005E0F9D">
            <w:pPr>
              <w:pStyle w:val="NormalnyWeb"/>
              <w:numPr>
                <w:ilvl w:val="1"/>
                <w:numId w:val="19"/>
              </w:numPr>
              <w:spacing w:before="0" w:beforeAutospacing="0" w:after="0" w:afterAutospacing="0"/>
              <w:rPr>
                <w:rFonts w:eastAsiaTheme="minorEastAsia"/>
              </w:rPr>
            </w:pPr>
            <w:r w:rsidRPr="00C472E8">
              <w:rPr>
                <w:rFonts w:eastAsiaTheme="minorEastAsia"/>
              </w:rPr>
              <w:t>minister właściwy do spraw gospodarki;</w:t>
            </w:r>
          </w:p>
          <w:p w14:paraId="3E438A85" w14:textId="77777777" w:rsidR="00703BF5" w:rsidRPr="00C472E8" w:rsidRDefault="00703BF5" w:rsidP="005E0F9D">
            <w:pPr>
              <w:pStyle w:val="NormalnyWeb"/>
              <w:numPr>
                <w:ilvl w:val="1"/>
                <w:numId w:val="19"/>
              </w:numPr>
              <w:spacing w:before="0" w:beforeAutospacing="0" w:after="0" w:afterAutospacing="0"/>
              <w:rPr>
                <w:rFonts w:eastAsiaTheme="minorEastAsia"/>
              </w:rPr>
            </w:pPr>
            <w:r w:rsidRPr="00C472E8">
              <w:rPr>
                <w:rFonts w:eastAsiaTheme="minorEastAsia"/>
              </w:rPr>
              <w:t>minister właściwy do spraw informatyzacji;</w:t>
            </w:r>
          </w:p>
          <w:p w14:paraId="4025F10D" w14:textId="77777777" w:rsidR="00703BF5" w:rsidRPr="00C472E8" w:rsidRDefault="00703BF5" w:rsidP="005E0F9D">
            <w:pPr>
              <w:pStyle w:val="NormalnyWeb"/>
              <w:numPr>
                <w:ilvl w:val="1"/>
                <w:numId w:val="19"/>
              </w:numPr>
              <w:spacing w:before="0" w:beforeAutospacing="0" w:after="0" w:afterAutospacing="0"/>
              <w:rPr>
                <w:rFonts w:eastAsiaTheme="minorEastAsia"/>
              </w:rPr>
            </w:pPr>
            <w:r w:rsidRPr="00C472E8">
              <w:rPr>
                <w:rFonts w:eastAsiaTheme="minorEastAsia"/>
              </w:rPr>
              <w:t>minister właściwy do spraw pracy;</w:t>
            </w:r>
          </w:p>
          <w:p w14:paraId="0A9D464F" w14:textId="77777777" w:rsidR="00703BF5" w:rsidRPr="00C472E8" w:rsidRDefault="00703BF5" w:rsidP="005E0F9D">
            <w:pPr>
              <w:pStyle w:val="NormalnyWeb"/>
              <w:numPr>
                <w:ilvl w:val="1"/>
                <w:numId w:val="19"/>
              </w:numPr>
              <w:spacing w:before="0" w:beforeAutospacing="0" w:after="0" w:afterAutospacing="0"/>
              <w:rPr>
                <w:rFonts w:eastAsiaTheme="minorEastAsia"/>
              </w:rPr>
            </w:pPr>
            <w:r w:rsidRPr="00C472E8">
              <w:rPr>
                <w:rFonts w:eastAsiaTheme="minorEastAsia"/>
              </w:rPr>
              <w:t>minister właściwy do spraw transportu;</w:t>
            </w:r>
          </w:p>
          <w:p w14:paraId="4E9EFC38" w14:textId="77777777" w:rsidR="00703BF5" w:rsidRPr="00C472E8" w:rsidRDefault="00703BF5" w:rsidP="005E0F9D">
            <w:pPr>
              <w:pStyle w:val="NormalnyWeb"/>
              <w:numPr>
                <w:ilvl w:val="1"/>
                <w:numId w:val="19"/>
              </w:numPr>
              <w:spacing w:before="0" w:beforeAutospacing="0" w:after="0" w:afterAutospacing="0"/>
              <w:rPr>
                <w:rFonts w:eastAsiaTheme="minorEastAsia"/>
              </w:rPr>
            </w:pPr>
            <w:r w:rsidRPr="00C472E8">
              <w:rPr>
                <w:rFonts w:eastAsiaTheme="minorEastAsia"/>
              </w:rPr>
              <w:t xml:space="preserve">minister właściwy do spraw środowiska; </w:t>
            </w:r>
          </w:p>
          <w:p w14:paraId="443EE109" w14:textId="77777777" w:rsidR="00703BF5" w:rsidRPr="00C472E8" w:rsidRDefault="00703BF5" w:rsidP="005E0F9D">
            <w:pPr>
              <w:pStyle w:val="NormalnyWeb"/>
              <w:numPr>
                <w:ilvl w:val="1"/>
                <w:numId w:val="19"/>
              </w:numPr>
              <w:spacing w:before="0" w:beforeAutospacing="0" w:after="0" w:afterAutospacing="0"/>
              <w:rPr>
                <w:rFonts w:eastAsiaTheme="minorEastAsia"/>
              </w:rPr>
            </w:pPr>
            <w:r w:rsidRPr="00C472E8">
              <w:rPr>
                <w:rFonts w:eastAsiaTheme="minorEastAsia"/>
              </w:rPr>
              <w:t>organy właściwe w sprawach rejestracji pojazdów;</w:t>
            </w:r>
            <w:r w:rsidRPr="00C472E8">
              <w:rPr>
                <w:rFonts w:eastAsiaTheme="minorEastAsia"/>
              </w:rPr>
              <w:tab/>
            </w:r>
          </w:p>
          <w:p w14:paraId="3B4BF74D" w14:textId="77777777" w:rsidR="00703BF5" w:rsidRPr="00C472E8" w:rsidRDefault="00703BF5" w:rsidP="005E0F9D">
            <w:pPr>
              <w:pStyle w:val="NormalnyWeb"/>
              <w:numPr>
                <w:ilvl w:val="1"/>
                <w:numId w:val="19"/>
              </w:numPr>
              <w:spacing w:before="0" w:beforeAutospacing="0" w:after="0" w:afterAutospacing="0"/>
              <w:rPr>
                <w:rFonts w:eastAsiaTheme="minorEastAsia"/>
              </w:rPr>
            </w:pPr>
            <w:r w:rsidRPr="00C472E8">
              <w:rPr>
                <w:rFonts w:eastAsiaTheme="minorEastAsia"/>
              </w:rPr>
              <w:t>organy kontroli ruchu drogowego;</w:t>
            </w:r>
          </w:p>
          <w:p w14:paraId="6C5B276D" w14:textId="77777777" w:rsidR="00703BF5" w:rsidRPr="00C472E8" w:rsidRDefault="00703BF5" w:rsidP="005E0F9D">
            <w:pPr>
              <w:pStyle w:val="NormalnyWeb"/>
              <w:numPr>
                <w:ilvl w:val="1"/>
                <w:numId w:val="19"/>
              </w:numPr>
              <w:spacing w:before="0" w:beforeAutospacing="0" w:after="0" w:afterAutospacing="0"/>
              <w:rPr>
                <w:rFonts w:eastAsiaTheme="minorEastAsia"/>
              </w:rPr>
            </w:pPr>
            <w:r w:rsidRPr="00C472E8">
              <w:rPr>
                <w:rFonts w:eastAsiaTheme="minorEastAsia"/>
              </w:rPr>
              <w:t>Szef Krajowej Administracji Skarbowej;</w:t>
            </w:r>
          </w:p>
          <w:p w14:paraId="0004745E" w14:textId="77777777" w:rsidR="00703BF5" w:rsidRPr="00C472E8" w:rsidRDefault="00703BF5" w:rsidP="005E0F9D">
            <w:pPr>
              <w:pStyle w:val="NormalnyWeb"/>
              <w:numPr>
                <w:ilvl w:val="1"/>
                <w:numId w:val="19"/>
              </w:numPr>
              <w:spacing w:before="0" w:beforeAutospacing="0" w:after="0" w:afterAutospacing="0"/>
              <w:rPr>
                <w:rFonts w:eastAsiaTheme="minorEastAsia"/>
              </w:rPr>
            </w:pPr>
            <w:r w:rsidRPr="00C472E8">
              <w:rPr>
                <w:rFonts w:eastAsiaTheme="minorEastAsia"/>
              </w:rPr>
              <w:t>Prezes Urzędu Ochrony Konkurencji i Konsumentów;</w:t>
            </w:r>
          </w:p>
          <w:p w14:paraId="45F0DFB0" w14:textId="77777777" w:rsidR="00703BF5" w:rsidRPr="00C472E8" w:rsidRDefault="00703BF5" w:rsidP="005E0F9D">
            <w:pPr>
              <w:pStyle w:val="NormalnyWeb"/>
              <w:numPr>
                <w:ilvl w:val="1"/>
                <w:numId w:val="19"/>
              </w:numPr>
              <w:spacing w:before="0" w:beforeAutospacing="0" w:after="0" w:afterAutospacing="0"/>
              <w:rPr>
                <w:rFonts w:eastAsiaTheme="minorEastAsia"/>
              </w:rPr>
            </w:pPr>
            <w:r w:rsidRPr="00C472E8">
              <w:rPr>
                <w:rFonts w:eastAsiaTheme="minorEastAsia"/>
              </w:rPr>
              <w:t>Komendant Główny Straży Granicznej;</w:t>
            </w:r>
          </w:p>
          <w:p w14:paraId="44C23CDA" w14:textId="77777777" w:rsidR="00703BF5" w:rsidRPr="00C472E8" w:rsidRDefault="00703BF5" w:rsidP="005E0F9D">
            <w:pPr>
              <w:pStyle w:val="NormalnyWeb"/>
              <w:numPr>
                <w:ilvl w:val="1"/>
                <w:numId w:val="19"/>
              </w:numPr>
              <w:spacing w:before="0" w:beforeAutospacing="0" w:after="0" w:afterAutospacing="0"/>
              <w:rPr>
                <w:rFonts w:eastAsiaTheme="minorEastAsia"/>
              </w:rPr>
            </w:pPr>
            <w:r w:rsidRPr="00C472E8">
              <w:rPr>
                <w:rFonts w:eastAsiaTheme="minorEastAsia"/>
              </w:rPr>
              <w:t>Główny Inspektor Pracy;</w:t>
            </w:r>
          </w:p>
          <w:p w14:paraId="6AA55DB2" w14:textId="77777777" w:rsidR="00703BF5" w:rsidRPr="00C472E8" w:rsidRDefault="00703BF5" w:rsidP="005E0F9D">
            <w:pPr>
              <w:pStyle w:val="NormalnyWeb"/>
              <w:numPr>
                <w:ilvl w:val="1"/>
                <w:numId w:val="19"/>
              </w:numPr>
              <w:spacing w:before="0" w:beforeAutospacing="0" w:after="0" w:afterAutospacing="0"/>
              <w:rPr>
                <w:rFonts w:eastAsiaTheme="minorEastAsia"/>
              </w:rPr>
            </w:pPr>
            <w:r w:rsidRPr="00C472E8">
              <w:t>Główny Inspektor Ochrony Środowiska;</w:t>
            </w:r>
          </w:p>
          <w:p w14:paraId="65086215" w14:textId="77777777" w:rsidR="00703BF5" w:rsidRPr="00C472E8" w:rsidRDefault="00703BF5" w:rsidP="005E0F9D">
            <w:pPr>
              <w:pStyle w:val="NormalnyWeb"/>
              <w:numPr>
                <w:ilvl w:val="1"/>
                <w:numId w:val="19"/>
              </w:numPr>
              <w:spacing w:before="0" w:beforeAutospacing="0" w:after="0" w:afterAutospacing="0"/>
              <w:rPr>
                <w:rFonts w:eastAsiaTheme="minorEastAsia"/>
              </w:rPr>
            </w:pPr>
            <w:r w:rsidRPr="00C472E8">
              <w:t>Prezes Wyższego Urzędu Górniczego;</w:t>
            </w:r>
          </w:p>
          <w:p w14:paraId="0DA7B977" w14:textId="77777777" w:rsidR="00164ACC" w:rsidRPr="00C472E8" w:rsidRDefault="00703BF5" w:rsidP="005E0F9D">
            <w:pPr>
              <w:pStyle w:val="NormalnyWeb"/>
              <w:numPr>
                <w:ilvl w:val="1"/>
                <w:numId w:val="19"/>
              </w:numPr>
              <w:spacing w:before="0" w:beforeAutospacing="0" w:after="0" w:afterAutospacing="0"/>
              <w:rPr>
                <w:rFonts w:eastAsiaTheme="minorEastAsia"/>
              </w:rPr>
            </w:pPr>
            <w:r w:rsidRPr="00C472E8">
              <w:lastRenderedPageBreak/>
              <w:t>Prezes Urzędu Rejestracji Produktów Leczniczych, Wyrobów Medycznych i Produktów Biobójczych.</w:t>
            </w:r>
          </w:p>
          <w:p w14:paraId="7682CB0A" w14:textId="77777777" w:rsidR="00164ACC" w:rsidRPr="00FB76A9" w:rsidRDefault="00164ACC" w:rsidP="00FD5CD5">
            <w:pPr>
              <w:pStyle w:val="ZUSTzmustartykuempunktem"/>
              <w:spacing w:line="240" w:lineRule="auto"/>
              <w:ind w:firstLine="0"/>
              <w:jc w:val="left"/>
              <w:rPr>
                <w:rFonts w:ascii="Times New Roman" w:hAnsi="Times New Roman" w:cs="Times New Roman"/>
                <w:szCs w:val="24"/>
              </w:rPr>
            </w:pPr>
            <w:r w:rsidRPr="00FB76A9">
              <w:rPr>
                <w:rFonts w:ascii="Times New Roman" w:hAnsi="Times New Roman" w:cs="Times New Roman"/>
                <w:szCs w:val="24"/>
              </w:rPr>
              <w:t xml:space="preserve">Art. 68w. 1. Operator platformy oraz dostawca usług społeczeństwa informacyjnego jest obowiązany do współpracy z Dyrektorem TDT jako organem nadzoru rynku w toku prowadzenia przez niego czynności wyjaśniających, kontroli, badań lub postępowań administracyjnych w zakresie przedstawienia informacji niezbędnych do ustalenia własności interfejsu online, w tym własności stron internetowych, za pomocą których podmiot gospodarczy lub posiadacz pojazdu, przedmiotu wyposażenia lub części niebędący użytkownikiem końcowym, oferuje pojazd, przedmiot wyposażenia lub część do sprzedaży na odległość oraz informacji na temat tych podmiotów oraz ich działalności w zakresie sprzedaży na odległość. </w:t>
            </w:r>
          </w:p>
          <w:p w14:paraId="12B44369" w14:textId="77777777" w:rsidR="00164ACC" w:rsidRPr="00FB76A9" w:rsidRDefault="00164ACC" w:rsidP="00FD5CD5">
            <w:pPr>
              <w:pStyle w:val="ZUSTzmustartykuempunktem"/>
              <w:spacing w:line="240" w:lineRule="auto"/>
              <w:ind w:firstLine="0"/>
              <w:jc w:val="left"/>
              <w:rPr>
                <w:rFonts w:ascii="Times New Roman" w:hAnsi="Times New Roman" w:cs="Times New Roman"/>
                <w:szCs w:val="24"/>
              </w:rPr>
            </w:pPr>
            <w:r w:rsidRPr="00FB76A9">
              <w:rPr>
                <w:rFonts w:ascii="Times New Roman" w:hAnsi="Times New Roman" w:cs="Times New Roman"/>
                <w:szCs w:val="24"/>
              </w:rPr>
              <w:t xml:space="preserve">2. Operator platformy oraz dostawca usług społeczeństwa informacyjnego jest obowiązany do współpracy z Dyrektorem TDT jako organem nadzoru rynku w zakresie działań w ramach interfejsu online, w tym usuwania z interfejsu online treści odnoszących się do pojazdu, przedmiotu wyposażenia i części wobec których stwierdzono niezgodność z wymaganiami technicznymi lub poważne ryzyko, wyświetlania wyraźnego ostrzeżenia dla użytkowników końcowych uzyskujących dostęp do oferty tego pojazdu, przedmiotu wyposażenia lub części lub zawieszania konta podmiotu gospodarczego na </w:t>
            </w:r>
            <w:r w:rsidRPr="00FB76A9">
              <w:rPr>
                <w:rFonts w:ascii="Times New Roman" w:hAnsi="Times New Roman" w:cs="Times New Roman"/>
                <w:szCs w:val="24"/>
              </w:rPr>
              <w:lastRenderedPageBreak/>
              <w:t xml:space="preserve">platformie posiadającego oferty pojazdu, przedmiotu wyposażenia i części.  </w:t>
            </w:r>
          </w:p>
          <w:p w14:paraId="288AC187" w14:textId="77777777" w:rsidR="00164ACC" w:rsidRPr="00FB76A9" w:rsidRDefault="00164ACC" w:rsidP="00FD5CD5">
            <w:pPr>
              <w:pStyle w:val="ZARTzmartartykuempunktem"/>
              <w:spacing w:line="240" w:lineRule="auto"/>
              <w:ind w:firstLine="0"/>
              <w:jc w:val="left"/>
              <w:rPr>
                <w:rFonts w:ascii="Times New Roman" w:hAnsi="Times New Roman" w:cs="Times New Roman"/>
                <w:szCs w:val="24"/>
              </w:rPr>
            </w:pPr>
            <w:r w:rsidRPr="00FB76A9">
              <w:rPr>
                <w:rFonts w:ascii="Times New Roman" w:hAnsi="Times New Roman" w:cs="Times New Roman"/>
                <w:szCs w:val="24"/>
              </w:rPr>
              <w:t>Art. 68x. 1. Informacje objęte tajemnicą przedsiębiorstwa rozumiane jako nieujawnione do wiadomości publicznej informacje techniczne, technologiczne oraz organizacyjne przedsiębiorstwa lub inne informacje, co do których przedsiębiorca podjął niezbędne działania w celu zachowania ich poufności, mogą być wykorzystane wyłącznie do celów, do których zostały zgromadzone, z uwzględnieniem ust. 2 i 3.</w:t>
            </w:r>
          </w:p>
          <w:p w14:paraId="6E2F1C3A" w14:textId="77777777" w:rsidR="00164ACC" w:rsidRPr="00FB76A9" w:rsidRDefault="00164ACC" w:rsidP="00FD5CD5">
            <w:pPr>
              <w:pStyle w:val="ZUSTzmustartykuempunktem"/>
              <w:spacing w:line="240" w:lineRule="auto"/>
              <w:ind w:firstLine="0"/>
              <w:jc w:val="left"/>
              <w:rPr>
                <w:rFonts w:ascii="Times New Roman" w:hAnsi="Times New Roman" w:cs="Times New Roman"/>
                <w:szCs w:val="24"/>
              </w:rPr>
            </w:pPr>
            <w:r w:rsidRPr="00FB76A9">
              <w:rPr>
                <w:rFonts w:ascii="Times New Roman" w:hAnsi="Times New Roman" w:cs="Times New Roman"/>
                <w:szCs w:val="24"/>
              </w:rPr>
              <w:t>2. Uzyskane w toku prowadzonych kontroli lub postępowań informacje, o których mowa w ust. 1, w tym objęte tajemnicą przedsiębiorstwa, oraz dowody, podlegają ujawnieniu, jeżeli jest to niezbędne ze względu na konieczność usunięcia niezgodności pojazdu, przedmiotu wyposażenie lub części z wymaganiami technicznymi lub stwarzania przez nich poważnego ryzyka w przypadku odmowy ich usunięcia przez podmiot gospodarczy.</w:t>
            </w:r>
          </w:p>
          <w:p w14:paraId="205AC227" w14:textId="77777777" w:rsidR="00164ACC" w:rsidRPr="00FB76A9" w:rsidRDefault="00164ACC" w:rsidP="00FD5CD5">
            <w:pPr>
              <w:pStyle w:val="ZARTzmartartykuempunktem"/>
              <w:spacing w:line="240" w:lineRule="auto"/>
              <w:ind w:firstLine="0"/>
              <w:jc w:val="left"/>
              <w:rPr>
                <w:rFonts w:ascii="Times New Roman" w:hAnsi="Times New Roman" w:cs="Times New Roman"/>
                <w:szCs w:val="24"/>
              </w:rPr>
            </w:pPr>
            <w:r w:rsidRPr="00FB76A9">
              <w:rPr>
                <w:rFonts w:ascii="Times New Roman" w:hAnsi="Times New Roman" w:cs="Times New Roman"/>
                <w:szCs w:val="24"/>
              </w:rPr>
              <w:t>3. Dyrektor TDT jako organ nadzoru rynku może ujawnić informacje, o których mowa w ust. 1, w tym objęte tajemnicą przedsiębiorstwa, oraz dowody uzyskane w toku kontroli lub prowadzonych postępowań, w zakresie niezbędnym do uzasadnienia podjętych w postępowaniu rozstrzygnięć.</w:t>
            </w:r>
          </w:p>
          <w:p w14:paraId="54D706FE" w14:textId="77777777" w:rsidR="00164ACC" w:rsidRPr="00FB76A9" w:rsidRDefault="00164ACC" w:rsidP="00FD5CD5">
            <w:pPr>
              <w:pStyle w:val="ZARTzmartartykuempunktem"/>
              <w:keepNext/>
              <w:spacing w:line="240" w:lineRule="auto"/>
              <w:ind w:firstLine="0"/>
              <w:jc w:val="left"/>
              <w:rPr>
                <w:rFonts w:ascii="Times New Roman" w:hAnsi="Times New Roman" w:cs="Times New Roman"/>
                <w:szCs w:val="24"/>
              </w:rPr>
            </w:pPr>
            <w:r w:rsidRPr="00FB76A9">
              <w:rPr>
                <w:rFonts w:ascii="Times New Roman" w:hAnsi="Times New Roman" w:cs="Times New Roman"/>
                <w:szCs w:val="24"/>
              </w:rPr>
              <w:t xml:space="preserve">Art. 68y. 1. Dyrektor TDT jako organ nadzoru rynku z urzędu przeprowadza niezapowiedziane kontrole albo jeżeli uzna to za stosowne – kontrole zapowiedziane, w zakresie weryfikacji spełniania </w:t>
            </w:r>
            <w:r w:rsidRPr="00FB76A9">
              <w:rPr>
                <w:rFonts w:ascii="Times New Roman" w:hAnsi="Times New Roman" w:cs="Times New Roman"/>
                <w:szCs w:val="24"/>
              </w:rPr>
              <w:lastRenderedPageBreak/>
              <w:t>wymagań technicznych przez pojazdy, przedmioty wyposażenia lub części lub stwarzania przez nich ryzyka, w szczególności, gdy uzna zasadność ich wszczęcia, z zachowaniem zasady proporcjonalności, konieczności oraz minimalnej uciążliwości dla podmiotu gospodarczego:</w:t>
            </w:r>
          </w:p>
          <w:p w14:paraId="58341A49" w14:textId="77777777" w:rsidR="00164ACC" w:rsidRPr="00FB76A9" w:rsidRDefault="00164ACC" w:rsidP="00FD5CD5">
            <w:pPr>
              <w:pStyle w:val="ZLITwPKTzmlitwpk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na podstawie działań własnych Dyrektora TDT jako organu nadzoru rynku;</w:t>
            </w:r>
          </w:p>
          <w:p w14:paraId="61E13E74" w14:textId="77777777" w:rsidR="00164ACC" w:rsidRPr="00FB76A9" w:rsidRDefault="00164ACC" w:rsidP="00FD5CD5">
            <w:pPr>
              <w:pStyle w:val="ZLITwPKTzmlitwpk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w związku z informacjami przekazanymi przez Komisję Europejską, inny organ nadzoru rynku, jednolity urząd łącznikowy, o którym mowa w art. 10 ust. 3 rozporządzenia 2019/1020, lub organy celne państw członkowskich Unii Europejskiej;</w:t>
            </w:r>
          </w:p>
          <w:p w14:paraId="1925E37A"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na podstawie innych informacji, w tym skarg użytkowników końcowych, informacji pochodzących od organów Krajowej Administracji Skarbowej, innych organów administracji publicznej, organizacji zrzeszających konsumentów, organizacji zrzeszających podmioty gospodarcze lub mediów</w:t>
            </w:r>
          </w:p>
          <w:p w14:paraId="5D94720C"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jeżeli wskazują one na uzasadnione podejrzenie:</w:t>
            </w:r>
          </w:p>
          <w:p w14:paraId="22E80F14" w14:textId="77777777" w:rsidR="00164ACC" w:rsidRPr="00FB76A9" w:rsidRDefault="00164ACC" w:rsidP="00FD5CD5">
            <w:pPr>
              <w:pStyle w:val="ZPKTzmpktartykuempunktem"/>
              <w:spacing w:line="240" w:lineRule="auto"/>
              <w:ind w:left="1418" w:hanging="425"/>
              <w:jc w:val="left"/>
              <w:rPr>
                <w:rFonts w:ascii="Times New Roman" w:hAnsi="Times New Roman" w:cs="Times New Roman"/>
                <w:szCs w:val="24"/>
              </w:rPr>
            </w:pPr>
            <w:r w:rsidRPr="00FB76A9">
              <w:rPr>
                <w:rFonts w:ascii="Times New Roman" w:hAnsi="Times New Roman" w:cs="Times New Roman"/>
                <w:szCs w:val="24"/>
              </w:rPr>
              <w:t>a)</w:t>
            </w:r>
            <w:r w:rsidRPr="00FB76A9">
              <w:rPr>
                <w:rFonts w:ascii="Times New Roman" w:hAnsi="Times New Roman" w:cs="Times New Roman"/>
                <w:szCs w:val="24"/>
              </w:rPr>
              <w:tab/>
              <w:t>poważnego ryzyka dla życia, zdrowia, bezpieczeństwa, środowiska lub jakiegokolwiek innego interesu publicznego, o których mowa w art. 1 ust. 1 rozporządzenia 2019/1020,</w:t>
            </w:r>
          </w:p>
          <w:p w14:paraId="3B972824" w14:textId="77777777" w:rsidR="00164ACC" w:rsidRPr="00FB76A9" w:rsidRDefault="00164ACC" w:rsidP="00FD5CD5">
            <w:pPr>
              <w:pStyle w:val="ZPKTzmpktartykuempunktem"/>
              <w:spacing w:line="240" w:lineRule="auto"/>
              <w:ind w:left="1418" w:hanging="425"/>
              <w:jc w:val="left"/>
              <w:rPr>
                <w:rFonts w:ascii="Times New Roman" w:hAnsi="Times New Roman" w:cs="Times New Roman"/>
                <w:szCs w:val="24"/>
              </w:rPr>
            </w:pPr>
            <w:r w:rsidRPr="00FB76A9">
              <w:rPr>
                <w:rFonts w:ascii="Times New Roman" w:hAnsi="Times New Roman" w:cs="Times New Roman"/>
                <w:szCs w:val="24"/>
              </w:rPr>
              <w:t>b)</w:t>
            </w:r>
            <w:r w:rsidRPr="00FB76A9">
              <w:rPr>
                <w:rFonts w:ascii="Times New Roman" w:hAnsi="Times New Roman" w:cs="Times New Roman"/>
                <w:szCs w:val="24"/>
              </w:rPr>
              <w:tab/>
              <w:t>popełnienia przestępstwa lub wykroczenia,</w:t>
            </w:r>
          </w:p>
          <w:p w14:paraId="30EBB78F" w14:textId="77777777" w:rsidR="00164ACC" w:rsidRPr="00FB76A9" w:rsidRDefault="00164ACC" w:rsidP="00FD5CD5">
            <w:pPr>
              <w:pStyle w:val="ZPKTzmpktartykuempunktem"/>
              <w:spacing w:line="240" w:lineRule="auto"/>
              <w:ind w:left="1418" w:hanging="425"/>
              <w:jc w:val="left"/>
              <w:rPr>
                <w:rFonts w:ascii="Times New Roman" w:hAnsi="Times New Roman" w:cs="Times New Roman"/>
                <w:szCs w:val="24"/>
              </w:rPr>
            </w:pPr>
            <w:r w:rsidRPr="00FB76A9">
              <w:rPr>
                <w:rFonts w:ascii="Times New Roman" w:hAnsi="Times New Roman" w:cs="Times New Roman"/>
                <w:szCs w:val="24"/>
              </w:rPr>
              <w:t>c)</w:t>
            </w:r>
            <w:r w:rsidRPr="00FB76A9">
              <w:rPr>
                <w:rFonts w:ascii="Times New Roman" w:hAnsi="Times New Roman" w:cs="Times New Roman"/>
                <w:szCs w:val="24"/>
              </w:rPr>
              <w:tab/>
              <w:t>popełnienia przestępstwa skarbowego lub wykroczenia skarbowego,</w:t>
            </w:r>
          </w:p>
          <w:p w14:paraId="5DEDB18E" w14:textId="77777777" w:rsidR="00164ACC" w:rsidRPr="00FB76A9" w:rsidRDefault="00164ACC" w:rsidP="00FD5CD5">
            <w:pPr>
              <w:pStyle w:val="ZPKTzmpktartykuempunktem"/>
              <w:spacing w:line="240" w:lineRule="auto"/>
              <w:ind w:left="1418" w:hanging="425"/>
              <w:jc w:val="left"/>
              <w:rPr>
                <w:rFonts w:ascii="Times New Roman" w:hAnsi="Times New Roman" w:cs="Times New Roman"/>
                <w:szCs w:val="24"/>
              </w:rPr>
            </w:pPr>
            <w:r w:rsidRPr="00FB76A9">
              <w:rPr>
                <w:rFonts w:ascii="Times New Roman" w:hAnsi="Times New Roman" w:cs="Times New Roman"/>
                <w:szCs w:val="24"/>
              </w:rPr>
              <w:lastRenderedPageBreak/>
              <w:t>d)</w:t>
            </w:r>
            <w:r w:rsidRPr="00FB76A9">
              <w:rPr>
                <w:rFonts w:ascii="Times New Roman" w:hAnsi="Times New Roman" w:cs="Times New Roman"/>
                <w:szCs w:val="24"/>
              </w:rPr>
              <w:tab/>
              <w:t>niezgodności pojazdu, przedmiotu wyposażenia lub części z wymaganiami technicznymi, które mają do niego zastosowanie,</w:t>
            </w:r>
          </w:p>
          <w:p w14:paraId="02C16ECE" w14:textId="77777777" w:rsidR="00164ACC" w:rsidRPr="00FB76A9" w:rsidRDefault="00164ACC" w:rsidP="00FD5CD5">
            <w:pPr>
              <w:pStyle w:val="ZPKTzmpktartykuempunktem"/>
              <w:spacing w:line="240" w:lineRule="auto"/>
              <w:ind w:left="1418" w:hanging="425"/>
              <w:jc w:val="left"/>
              <w:rPr>
                <w:rFonts w:ascii="Times New Roman" w:hAnsi="Times New Roman" w:cs="Times New Roman"/>
                <w:szCs w:val="24"/>
              </w:rPr>
            </w:pPr>
            <w:r w:rsidRPr="00FB76A9">
              <w:rPr>
                <w:rFonts w:ascii="Times New Roman" w:hAnsi="Times New Roman" w:cs="Times New Roman"/>
                <w:szCs w:val="24"/>
              </w:rPr>
              <w:t>e)</w:t>
            </w:r>
            <w:r w:rsidRPr="00FB76A9">
              <w:rPr>
                <w:rFonts w:ascii="Times New Roman" w:hAnsi="Times New Roman" w:cs="Times New Roman"/>
                <w:szCs w:val="24"/>
              </w:rPr>
              <w:tab/>
              <w:t>innego naruszenia prawnego zakazu lub niedopełnienia prawnego obowiązku</w:t>
            </w:r>
          </w:p>
          <w:p w14:paraId="51C47C9F" w14:textId="77777777" w:rsidR="00164ACC" w:rsidRPr="00FB76A9" w:rsidRDefault="00164ACC" w:rsidP="00FD5CD5">
            <w:pPr>
              <w:pStyle w:val="ZLITwPKTzmlitwpk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 w wyniku wykonywania działalności gospodarczej objętej kontrolą;</w:t>
            </w:r>
          </w:p>
          <w:p w14:paraId="79EDCAE9" w14:textId="77777777" w:rsidR="00164ACC" w:rsidRPr="00FB76A9" w:rsidRDefault="00164ACC"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2. Kontrole, o których mowa w ust. 1, są przeprowadzane na podstawie  analizy ryzyka uwzględniającej:</w:t>
            </w:r>
          </w:p>
          <w:p w14:paraId="328E33BF" w14:textId="77777777" w:rsidR="00164ACC" w:rsidRPr="00FB76A9" w:rsidRDefault="00164ACC"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możliwe niebezpieczeństwa i niezgodności związane z pojazdami, przedmiotami wyposażenia lub części oraz, o ile informacje w tym zakresie są dostępne, częstotliwość ich występowania na rynku;</w:t>
            </w:r>
          </w:p>
          <w:p w14:paraId="1463FDD5" w14:textId="77777777" w:rsidR="00164ACC" w:rsidRPr="00FB76A9" w:rsidRDefault="00164ACC"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działania i operacje kontrolowane przez podmiot gospodarczy;</w:t>
            </w:r>
          </w:p>
          <w:p w14:paraId="5B0D86E1" w14:textId="77777777" w:rsidR="00164ACC" w:rsidRPr="00FB76A9" w:rsidRDefault="00164ACC"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zarejestrowaną u danego podmiotu gospodarczego historię występowania niezgodności pojazdów, przedmiotów wyposażenia lub części z wymaganiami technicznymi.</w:t>
            </w:r>
          </w:p>
          <w:p w14:paraId="30FC4FEA" w14:textId="77777777" w:rsidR="00226CB0" w:rsidRPr="0019203A" w:rsidRDefault="00226CB0" w:rsidP="00FD5CD5">
            <w:pPr>
              <w:pStyle w:val="ZARTzmartartykuempunktem"/>
              <w:spacing w:line="240" w:lineRule="auto"/>
              <w:jc w:val="left"/>
            </w:pPr>
            <w:r w:rsidRPr="00DC1ED9">
              <w:t>3. Do kontroli pojazdów, przedmiotów wyposażenia lub części, o której mowa w ust. 1, w zakresie nieuregulowanym w niniejszej ustawie stosuje się przepisy rozdziału 5 ustawy z dnia 6 marca 2018 r. – Prawo przedsiębiorców, z tym że do kontroli niezapowiedzianej nie stosuje się art. 48 tej ustawy.</w:t>
            </w:r>
          </w:p>
          <w:p w14:paraId="5A92863E" w14:textId="77777777" w:rsidR="00164ACC" w:rsidRPr="00FB76A9" w:rsidRDefault="00164ACC"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4. Do treści zawiadomienia o zamiarze wszczęcia kontroli stosuje się przepisy art. 48 ust. 3 ustawy – Prawo przedsiębiorców.</w:t>
            </w:r>
          </w:p>
          <w:p w14:paraId="4234E83E" w14:textId="77777777" w:rsidR="00164ACC" w:rsidRPr="00FB76A9" w:rsidRDefault="00164ACC" w:rsidP="00FD5CD5">
            <w:pPr>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5. W przypadku podjęcia i prowadzenia kontroli u podmiotu gospodarczego przez inny organ, Dyrektor TDT w trakcie trwania tej kontroli może pobrać próbkę pojazdu, przedmiotu wyposażenia lub części wraz z wymaganymi dokumentami technicznymi.</w:t>
            </w:r>
          </w:p>
          <w:p w14:paraId="02BE65B3" w14:textId="77777777" w:rsidR="00164ACC" w:rsidRPr="00FB76A9" w:rsidRDefault="00164ACC"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 1. Dyrektor TDT jako organ nadzoru rynku z urzędu podejmuje czynności wyjaśniające w sprawie niezgodności pojazdów, przedmiotów wyposażenia lub części z wymaganiami technicznymi lub mogących stwarzać poważne ryzyko.</w:t>
            </w:r>
          </w:p>
          <w:p w14:paraId="5D5028F7" w14:textId="77777777" w:rsidR="00164ACC" w:rsidRPr="00FB76A9" w:rsidRDefault="00164ACC" w:rsidP="00FD5CD5">
            <w:pPr>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2. Czynności wyjaśniające, o których mowa w ust. 1, obejmują uprawnienia Dyrektora TDT jako organu nadzoru rynku określone w art. 14 ust. 4 lit. a</w:t>
            </w:r>
            <w:r w:rsidRPr="00FB76A9">
              <w:rPr>
                <w:rFonts w:ascii="Times New Roman" w:eastAsiaTheme="minorEastAsia" w:hAnsi="Times New Roman" w:cs="Times New Roman"/>
                <w:sz w:val="24"/>
                <w:szCs w:val="24"/>
              </w:rPr>
              <w:t>–</w:t>
            </w:r>
            <w:r w:rsidRPr="00FB76A9">
              <w:rPr>
                <w:rFonts w:ascii="Times New Roman" w:eastAsiaTheme="minorEastAsia" w:hAnsi="Times New Roman" w:cs="Times New Roman"/>
                <w:sz w:val="24"/>
                <w:szCs w:val="24"/>
                <w:lang w:eastAsia="pl-PL"/>
              </w:rPr>
              <w:t>c rozporządzenia 2019/1020.</w:t>
            </w:r>
          </w:p>
          <w:p w14:paraId="67407AA0" w14:textId="77777777" w:rsidR="00164ACC" w:rsidRPr="00FB76A9" w:rsidRDefault="00164ACC"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3. Czynności wyjaśniające, o których mowa w ust. 1, są  realizowane w drodze wystąpienia, które powinno zawierać wskazanie:</w:t>
            </w:r>
          </w:p>
          <w:p w14:paraId="2FAD3660"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zakresu informacji;</w:t>
            </w:r>
          </w:p>
          <w:p w14:paraId="230BCA15"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celu wystąpienia;</w:t>
            </w:r>
          </w:p>
          <w:p w14:paraId="16544CDE"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terminu udzielenia informacji.</w:t>
            </w:r>
          </w:p>
          <w:p w14:paraId="3B158DD5" w14:textId="77777777" w:rsidR="00164ACC" w:rsidRPr="00FB76A9" w:rsidRDefault="00164ACC" w:rsidP="00FD5CD5">
            <w:pPr>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4. Podmiot gospodarczy lub posiadacz pojazdu, przedmiotu wyposażenia lub części niebędący użytkownikiem końcowym, do którego Dyrektor TDT jako organ nadzoru rynku skierował wystąpienie, o którym mowa w ust. 3, jest obowiązany w terminie określonym w </w:t>
            </w:r>
            <w:r w:rsidRPr="00FB76A9">
              <w:rPr>
                <w:rFonts w:ascii="Times New Roman" w:eastAsiaTheme="minorEastAsia" w:hAnsi="Times New Roman" w:cs="Times New Roman"/>
                <w:sz w:val="24"/>
                <w:szCs w:val="24"/>
                <w:lang w:eastAsia="pl-PL"/>
              </w:rPr>
              <w:lastRenderedPageBreak/>
              <w:t>wystąpieniu przekazać informacje, których wystąpienie dotyczy.</w:t>
            </w:r>
          </w:p>
          <w:p w14:paraId="44EEEC29"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Dyrektor TDT jako organ nadzoru rynku może podjąć czynności wyjaśniające na podstawie informacji, o których mowa w art. 68y ust. 1.</w:t>
            </w:r>
          </w:p>
          <w:p w14:paraId="1CE6BB30"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6. Dyrektor TDT w ramach czynności wyjaśniających na podstawie przekazanych informacji przeprowadza analizę ryzyka, o której mowa w art. 68t ust. 1.</w:t>
            </w:r>
          </w:p>
          <w:p w14:paraId="5AA7CF31"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7. Wynik czynności wyjaśniających jest udokumentowany w raporcie, który może stanowić podstawę podjęcia kontroli lub wszczęcia postępowania administracyjnego. Raport pozostawia się w aktach sprawy.</w:t>
            </w:r>
          </w:p>
          <w:p w14:paraId="72C471D3"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68za. 1. W toku kontroli Dyrektor TDT jako organ nadzoru rynku, w zakresie objętym kontrolą, ma prawo</w:t>
            </w:r>
            <w:r w:rsidR="009A3610">
              <w:rPr>
                <w:rFonts w:ascii="Times New Roman" w:hAnsi="Times New Roman" w:cs="Times New Roman"/>
                <w:szCs w:val="24"/>
              </w:rPr>
              <w:t xml:space="preserve"> </w:t>
            </w:r>
            <w:r w:rsidRPr="00FB76A9">
              <w:rPr>
                <w:rFonts w:ascii="Times New Roman" w:hAnsi="Times New Roman" w:cs="Times New Roman"/>
                <w:szCs w:val="24"/>
              </w:rPr>
              <w:t>do:</w:t>
            </w:r>
          </w:p>
          <w:p w14:paraId="754FA27C"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wstępu na teren nieruchomości, obiektu, lokalu lub ich części oraz środków transportu podmiotu gospodarczego lub posiadacza pojazdu, przedmiotu wyposażenia lub części niebędącego użytkownikiem końcowym;</w:t>
            </w:r>
          </w:p>
          <w:p w14:paraId="0B19728D"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dokonywania oględzin terenu nieruchomości, obiektu, lokalu lub ich części, pojazdów, przedmiotów wyposażenia i części, środków transportu i innych rzeczy związanych z przedmiotem kontroli;</w:t>
            </w:r>
          </w:p>
          <w:p w14:paraId="6A4C364E"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 xml:space="preserve">żądania od podmiotu gospodarczego przedstawienia odpowiednich dokumentów, specyfikacji technicznych, danych lub informacji na potrzeby oceny zgodności pojazdu, przedmiotu wyposażenia lub części </w:t>
            </w:r>
            <w:r w:rsidRPr="00FB76A9">
              <w:rPr>
                <w:rFonts w:ascii="Times New Roman" w:hAnsi="Times New Roman" w:cs="Times New Roman"/>
                <w:szCs w:val="24"/>
              </w:rPr>
              <w:lastRenderedPageBreak/>
              <w:t>z wymaganiami technicznymi lub stwarzania przez nich ryzyka oraz innych aspektów technicznych pojazdu, przedmiotu wyposażenia lub części, w tym dostępu do wbudowanego oprogramowania w zakresie, w jakim dostęp ten jest niezbędny do oceny zgodności pojazdu, przedmiotu wyposażenia lub części z wymaganiami technicznymi lub stwarzania przez nich poważnego ryzyka, w każdej formie i formacie, niezależne od nośnika danych lub miejsca, w którym takie dokumenty, specyfikacje techniczne, dane lub informacje są przechowywane;</w:t>
            </w:r>
          </w:p>
          <w:p w14:paraId="08CC3930"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4)</w:t>
            </w:r>
            <w:r w:rsidRPr="00FB76A9">
              <w:rPr>
                <w:rFonts w:ascii="Times New Roman" w:hAnsi="Times New Roman" w:cs="Times New Roman"/>
                <w:szCs w:val="24"/>
              </w:rPr>
              <w:tab/>
              <w:t>żądania poświadczenia za zgodność z oryginałem przez podmiot gospodarczy lub posiadacza pojazdu, przedmiotu wyposażenia lub części niebędącego użytkownikiem końcowym, lub osobę przez niego upoważnioną, otrzymanych kopii dokumentów, specyfikacji technicznych, danych lub informacji lub urzędowego tłumaczenia na język polski dokumentów sporządzonych w języku obcym;</w:t>
            </w:r>
          </w:p>
          <w:p w14:paraId="1DBA9AAA"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5)</w:t>
            </w:r>
            <w:r w:rsidRPr="00FB76A9">
              <w:rPr>
                <w:rFonts w:ascii="Times New Roman" w:hAnsi="Times New Roman" w:cs="Times New Roman"/>
                <w:szCs w:val="24"/>
              </w:rPr>
              <w:tab/>
              <w:t xml:space="preserve">żądania od podmiotu gospodarczego lub posiadacza pojazdu, przedmiotu wyposażenia lub części niebędącego użytkownikiem końcowym, przedstawienia informacji na temat łańcucha dostaw, szczegółów sieci dystrybucji, liczby pojazdów, przedmiotów wyposażenia lub części udostępnionych na rynku oraz innych modeli o takich samych właściwościach technicznych jak pojazdy, </w:t>
            </w:r>
            <w:r w:rsidRPr="00FB76A9">
              <w:rPr>
                <w:rFonts w:ascii="Times New Roman" w:hAnsi="Times New Roman" w:cs="Times New Roman"/>
                <w:szCs w:val="24"/>
              </w:rPr>
              <w:lastRenderedPageBreak/>
              <w:t>przedmioty wyposażenia lub części</w:t>
            </w:r>
            <w:r w:rsidRPr="00FB76A9" w:rsidDel="00C32ECF">
              <w:rPr>
                <w:rFonts w:ascii="Times New Roman" w:hAnsi="Times New Roman" w:cs="Times New Roman"/>
                <w:szCs w:val="24"/>
              </w:rPr>
              <w:t xml:space="preserve"> </w:t>
            </w:r>
            <w:r w:rsidRPr="00FB76A9">
              <w:rPr>
                <w:rFonts w:ascii="Times New Roman" w:hAnsi="Times New Roman" w:cs="Times New Roman"/>
                <w:szCs w:val="24"/>
              </w:rPr>
              <w:t>będące przedmiotem kontroli, o ile ma to znaczenie dla zgodności z wymaganiami technicznymi lub oceny, czy pojazd, przedmiot wyposażenia lub część stwarzają poważne ryzyko;</w:t>
            </w:r>
          </w:p>
          <w:p w14:paraId="1ACC3664"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6)</w:t>
            </w:r>
            <w:r w:rsidRPr="00FB76A9">
              <w:rPr>
                <w:rFonts w:ascii="Times New Roman" w:hAnsi="Times New Roman" w:cs="Times New Roman"/>
                <w:szCs w:val="24"/>
              </w:rPr>
              <w:tab/>
              <w:t>żądania od podmiotu gospodarczego lub posiadacza pojazdu, przedmiotu wyposażenia lub części niebędącego użytkownikiem końcowym, przedstawienia informacji niezbędnych do ustalenia własności stron internetowych, jeżeli te informacje dotyczą pojazdu, przedmiotu wyposażenia lub części będących przedmiotem kontroli;</w:t>
            </w:r>
          </w:p>
          <w:p w14:paraId="274F4A82"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7)</w:t>
            </w:r>
            <w:r w:rsidRPr="00FB76A9">
              <w:rPr>
                <w:rFonts w:ascii="Times New Roman" w:hAnsi="Times New Roman" w:cs="Times New Roman"/>
                <w:szCs w:val="24"/>
              </w:rPr>
              <w:tab/>
              <w:t>legitymowania osób w celu potwierdzenia ich tożsamości;</w:t>
            </w:r>
          </w:p>
          <w:p w14:paraId="27EA2F33"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8)</w:t>
            </w:r>
            <w:r w:rsidRPr="00FB76A9">
              <w:rPr>
                <w:rFonts w:ascii="Times New Roman" w:hAnsi="Times New Roman" w:cs="Times New Roman"/>
                <w:szCs w:val="24"/>
              </w:rPr>
              <w:tab/>
              <w:t>żądania udzielenia, w wyznaczonym terminie, pisemnych lub ustnych wyjaśnień związanych z przedmiotem kontroli;</w:t>
            </w:r>
          </w:p>
          <w:p w14:paraId="5E21866D"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9)</w:t>
            </w:r>
            <w:r w:rsidRPr="00FB76A9">
              <w:rPr>
                <w:rFonts w:ascii="Times New Roman" w:hAnsi="Times New Roman" w:cs="Times New Roman"/>
                <w:szCs w:val="24"/>
              </w:rPr>
              <w:tab/>
              <w:t>przesłuchiwania osoby w charakterze świadka na okoliczności związane z przedmiotem kontroli;</w:t>
            </w:r>
          </w:p>
          <w:p w14:paraId="472EE7B4"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10)</w:t>
            </w:r>
            <w:r w:rsidRPr="00FB76A9">
              <w:rPr>
                <w:rFonts w:ascii="Times New Roman" w:hAnsi="Times New Roman" w:cs="Times New Roman"/>
                <w:szCs w:val="24"/>
              </w:rPr>
              <w:tab/>
              <w:t>zasięgania z urzędu niezbędnych opinii eksperckich w toku kontroli dokumentów, fizycznej lub laboratoryjnej kontroli pojazdów, przedmiotów wyposażenia lub części lub prowadzonych postępowań;</w:t>
            </w:r>
          </w:p>
          <w:p w14:paraId="6D7BB1A4"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11)</w:t>
            </w:r>
            <w:r w:rsidRPr="00FB76A9">
              <w:rPr>
                <w:rFonts w:ascii="Times New Roman" w:hAnsi="Times New Roman" w:cs="Times New Roman"/>
                <w:szCs w:val="24"/>
              </w:rPr>
              <w:tab/>
              <w:t>zabezpieczania dowodów, pojazdów, przedmiotów wyposażenia lub części;</w:t>
            </w:r>
          </w:p>
          <w:p w14:paraId="3D5AC4D5"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12)</w:t>
            </w:r>
            <w:r w:rsidRPr="00FB76A9">
              <w:rPr>
                <w:rFonts w:ascii="Times New Roman" w:hAnsi="Times New Roman" w:cs="Times New Roman"/>
                <w:szCs w:val="24"/>
              </w:rPr>
              <w:tab/>
              <w:t>pobierania nieodpłatnie próbek pojazdów, przedmiotów wyposażenia lub części do kontroli lub badań;</w:t>
            </w:r>
          </w:p>
          <w:p w14:paraId="5E3DFAB7"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13)</w:t>
            </w:r>
            <w:r w:rsidRPr="00FB76A9">
              <w:rPr>
                <w:rFonts w:ascii="Times New Roman" w:hAnsi="Times New Roman" w:cs="Times New Roman"/>
                <w:szCs w:val="24"/>
              </w:rPr>
              <w:tab/>
              <w:t>gromadzenia innych niezbędnych dowodów związanych z przedmiotem kontroli, w tym dowodów w postaci elektronicznej.</w:t>
            </w:r>
          </w:p>
          <w:p w14:paraId="0AC8286F"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Osobie upoważnionej do udziału w kontroli, na podstawie art. 68zb ust. 2, przysługują uprawnienia kontrolującego w zakresie wstępu na teren nieruchomości, obiektu, lokalu lub ich części oraz środków transportu podmiotu gospodarczego, posiadacza pojazdu, przedmiotu wyposażenia lub części niebędącego użytkownikiem końcowym, oraz dostępu do dokumentów, specyfikacji technicznych, danych i informacji, o których mowa w ust. 1 pkt 3.</w:t>
            </w:r>
          </w:p>
          <w:p w14:paraId="3BC3D7A8"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W celu zapewnienia właściwej dokumentacji przebiegu kontroli, po uprzednim poinformowaniu podmiotu gospodarczego lub posiadacza pojazdu, przedmiotu wyposażenia lub części niebędącego użytkownikiem końcowym, czynności kontrolne, o których mowa w ust. 1, mogą być utrwalane przy pomocy urządzeń rejestrujących obraz lub dźwięk.</w:t>
            </w:r>
          </w:p>
          <w:p w14:paraId="63351DBF"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Dane pozyskane w wyniku rejestracji obrazu lub dźwięku, o których mowa w ust. 3, mogą być przetwarzane przez Dyrektora TDT jako organ nadzoru rynku w celu realizacji zadań w zakresie nadzoru rynku.</w:t>
            </w:r>
          </w:p>
          <w:p w14:paraId="07C320CD"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Informatyczne nośniki danych w rozumieniu przepisów o informatyzacji działalności podmiotów realizujących zadania publiczne, na których zarejestrowano przebieg kontroli lub poszczególne czynności w jej toku, stanowią załącznik do protokołu kontroli.</w:t>
            </w:r>
          </w:p>
          <w:p w14:paraId="63CE07FA"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 xml:space="preserve">6. Dyrektor TDT jako organ nadzoru rynku przechowuje zapis z utrwalonych czynności kontrolnych, o których mowa w ust. 3 oraz informatyczne nośniki danych, o których mowa w ust. 5, przez okres pięciu lat od dnia zakończenia kontroli. </w:t>
            </w:r>
          </w:p>
          <w:p w14:paraId="7214E1CD" w14:textId="77777777" w:rsidR="00164ACC" w:rsidRPr="00FB76A9" w:rsidRDefault="00164ACC" w:rsidP="00FD5CD5">
            <w:pPr>
              <w:pStyle w:val="ZARTzmartartykuempunktem"/>
              <w:spacing w:line="240" w:lineRule="auto"/>
              <w:jc w:val="left"/>
              <w:rPr>
                <w:rFonts w:ascii="Times New Roman" w:hAnsi="Times New Roman" w:cs="Times New Roman"/>
                <w:szCs w:val="24"/>
              </w:rPr>
            </w:pPr>
            <w:r w:rsidRPr="00FB76A9">
              <w:rPr>
                <w:rStyle w:val="Ppogrubienie"/>
                <w:rFonts w:ascii="Times New Roman" w:hAnsi="Times New Roman" w:cs="Times New Roman"/>
                <w:szCs w:val="24"/>
              </w:rPr>
              <w:t xml:space="preserve">7. </w:t>
            </w:r>
            <w:r w:rsidRPr="00FB76A9">
              <w:rPr>
                <w:rFonts w:ascii="Times New Roman" w:hAnsi="Times New Roman" w:cs="Times New Roman"/>
                <w:szCs w:val="24"/>
              </w:rPr>
              <w:t>Kontrola dokumentów lub kontrola fizyczna pojazdu, przedmiotu wyposażenia lub części, może zostać przeprowadzona w siedzibie lub miejscu prowadzenia działalności podmiotu gospodarczego, posiadacza pojazdu, przedmiotu wyposażenia lub części niebędącego użytkownikiem końcowym, lub w siedzibie Transportowego Dozoru Technicznego.</w:t>
            </w:r>
          </w:p>
          <w:p w14:paraId="26276977" w14:textId="77777777" w:rsidR="00164ACC" w:rsidRPr="00FB76A9" w:rsidRDefault="00164ACC"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8. Kontrola laboratoryjna pojazdu, przedmiotu wyposażenia lub części może zostać przeprowadzona w siedzibie lub miejscu prowadzenia działalności podmiotu gospodarczego, posiadacza pojazdu, przedmiotu wyposażenia lub części niebędącego użytkownikiem końcowym, w laboratorium, o którym mowa w art. 68zi, lub w siedzibie Transportowego Dozoru Technicznego.</w:t>
            </w:r>
          </w:p>
          <w:p w14:paraId="5105B499" w14:textId="77777777" w:rsidR="00164ACC" w:rsidRPr="00FB76A9" w:rsidRDefault="00164ACC"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68zb. 1. Czynności kontrolne o których mowa w art. 68za ust. 1, w imieniu Dyrektora TDT jako organu nadzoru rynku, wykonują pracownicy Transportowego Dozoru Technicznego lub osoby upoważnione przez Dyrektora TDT do kontroli w jego imieniu, zwani dalej „kontrolującymi”, na podstawie upoważnienia do przeprowadzania kontroli.</w:t>
            </w:r>
          </w:p>
          <w:p w14:paraId="62EE3E87"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2. W kontroli prowadzonej przez Dyrektora TDT jako organ nadzoru rynku może uczestniczyć upoważniony przedstawiciel właściwego organu nadzoru rynku państwa członkowskiego Unii Europejskiej, do czynności którego stosuje się przepisy dotyczące kontrolującego.</w:t>
            </w:r>
          </w:p>
          <w:p w14:paraId="68E19EED"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Kontrolujący przed rozpoczęciem czynności kontrolnych, o których mowa w art. 68za ust. 1, doręcza podmiotowi gospodarczemu lub posiadaczowi pojazdu, przedmiotu wyposażenia lub części niebędącemu użytkownikiem końcowym, lub osobie przez nich upoważnionej, upoważnienie do przeprowadzenia kontroli oraz okazuje legitymację służbową, a osoby upoważnione do udziału w kontroli, o których mowa w ust. 2, dowód osobisty, paszport lub inny dokument potwierdzający tożsamość.</w:t>
            </w:r>
          </w:p>
          <w:p w14:paraId="329ADACA" w14:textId="77777777" w:rsidR="00164ACC" w:rsidRPr="00FB76A9" w:rsidRDefault="00164ACC"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Upoważnienie do przeprowadzenia kontroli lub do udziału w kontroli zawiera: </w:t>
            </w:r>
          </w:p>
          <w:p w14:paraId="79C85869"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oznaczenie organu kontroli;</w:t>
            </w:r>
          </w:p>
          <w:p w14:paraId="15F4BCF7"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wskazanie podstawy prawnej;</w:t>
            </w:r>
          </w:p>
          <w:p w14:paraId="69021D47"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 xml:space="preserve">datę i miejsce wystawienia; </w:t>
            </w:r>
          </w:p>
          <w:p w14:paraId="112A2CEC"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w:t>
            </w:r>
            <w:r w:rsidRPr="00FB76A9">
              <w:rPr>
                <w:rFonts w:ascii="Times New Roman" w:hAnsi="Times New Roman" w:cs="Times New Roman"/>
                <w:szCs w:val="24"/>
              </w:rPr>
              <w:tab/>
              <w:t>imię, nazwisko i stanowisko kontrolującego oraz numer jego legitymacji służbowej, a w przypadku upoważnienia do udziału w kontroli osób, o których mowa w ust. 2 – imiona i nazwiska tych osób oraz numer dowodu osobistego, paszportu lub innego dokumentu potwierdzającego tożsamość;</w:t>
            </w:r>
          </w:p>
          <w:p w14:paraId="1A0A2471"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5)</w:t>
            </w:r>
            <w:r w:rsidRPr="00FB76A9">
              <w:rPr>
                <w:rFonts w:ascii="Times New Roman" w:hAnsi="Times New Roman" w:cs="Times New Roman"/>
                <w:szCs w:val="24"/>
              </w:rPr>
              <w:tab/>
              <w:t xml:space="preserve">oznaczenie podmiotu gospodarczego lub posiadacza pojazdu, przedmiotu wyposażenia lub części, niebędącego użytkownikiem </w:t>
            </w:r>
            <w:r w:rsidRPr="00FB76A9">
              <w:rPr>
                <w:rFonts w:ascii="Times New Roman" w:hAnsi="Times New Roman" w:cs="Times New Roman"/>
                <w:szCs w:val="24"/>
              </w:rPr>
              <w:lastRenderedPageBreak/>
              <w:t>końcowym, u którego przeprowadzona zostanie kontrola;</w:t>
            </w:r>
          </w:p>
          <w:p w14:paraId="1224BA33"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6) </w:t>
            </w:r>
            <w:r w:rsidRPr="00FB76A9">
              <w:rPr>
                <w:rFonts w:ascii="Times New Roman" w:hAnsi="Times New Roman" w:cs="Times New Roman"/>
                <w:szCs w:val="24"/>
              </w:rPr>
              <w:tab/>
              <w:t>oznaczenie pojazdu, przedmiotu wyposażenia lub części;</w:t>
            </w:r>
          </w:p>
          <w:p w14:paraId="26080461"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7) </w:t>
            </w:r>
            <w:r w:rsidRPr="00FB76A9">
              <w:rPr>
                <w:rFonts w:ascii="Times New Roman" w:hAnsi="Times New Roman" w:cs="Times New Roman"/>
                <w:szCs w:val="24"/>
              </w:rPr>
              <w:tab/>
              <w:t>określenie rodzaju, formy oraz zakresu przedmiotowego kontroli, w tym okresu objętego kontrolą;</w:t>
            </w:r>
          </w:p>
          <w:p w14:paraId="1C9CCC84"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8) </w:t>
            </w:r>
            <w:r w:rsidRPr="00FB76A9">
              <w:rPr>
                <w:rFonts w:ascii="Times New Roman" w:hAnsi="Times New Roman" w:cs="Times New Roman"/>
                <w:szCs w:val="24"/>
              </w:rPr>
              <w:tab/>
              <w:t>określenie daty rozpoczęcia i przewidywanej daty zakończenia kontroli;</w:t>
            </w:r>
          </w:p>
          <w:p w14:paraId="465E9E2C"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9) </w:t>
            </w:r>
            <w:r w:rsidRPr="00FB76A9">
              <w:rPr>
                <w:rFonts w:ascii="Times New Roman" w:hAnsi="Times New Roman" w:cs="Times New Roman"/>
                <w:szCs w:val="24"/>
              </w:rPr>
              <w:tab/>
              <w:t>podpis osoby udzielającej upoważnienia, z podaniem zajmowanego przez nią stanowiska lub pełnionej funkcji;</w:t>
            </w:r>
          </w:p>
          <w:p w14:paraId="36E6DCFF"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10) </w:t>
            </w:r>
            <w:r w:rsidRPr="00FB76A9">
              <w:rPr>
                <w:rFonts w:ascii="Times New Roman" w:hAnsi="Times New Roman" w:cs="Times New Roman"/>
                <w:szCs w:val="24"/>
              </w:rPr>
              <w:tab/>
              <w:t>pouczenie o prawach i obowiązkach podmiotu gospodarczego lub posiadacza pojazdu, przedmiotu wyposażenia lub części.</w:t>
            </w:r>
          </w:p>
          <w:p w14:paraId="51B8E266"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w:t>
            </w:r>
            <w:r w:rsidRPr="00FB76A9">
              <w:rPr>
                <w:rFonts w:ascii="Times New Roman" w:hAnsi="Times New Roman" w:cs="Times New Roman"/>
                <w:szCs w:val="24"/>
              </w:rPr>
              <w:tab/>
              <w:t>Kontrolujący podlega przepisom bezpieczeństwa i higieny pracy obowiązującym w miejscu przeprowadzania kontroli.</w:t>
            </w:r>
          </w:p>
          <w:p w14:paraId="3CD25300"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6. Kontrolujący nie podlega przeszukaniu przewidzianemu w wewnętrznych regulaminach podmiotu gospodarczego lub posiadacza pojazdu, przedmiotu wyposażenia lub części niebędącego użytkownikiem końcowym, u którego wykonuje czynności kontrolne, o których mowa w art. 68za ust. 1.</w:t>
            </w:r>
          </w:p>
          <w:p w14:paraId="6BC6E8B6" w14:textId="77777777" w:rsidR="00164ACC" w:rsidRPr="00FB76A9" w:rsidRDefault="00164ACC" w:rsidP="00FD5CD5">
            <w:pPr>
              <w:pStyle w:val="USTustnpkodeksu"/>
              <w:spacing w:line="240" w:lineRule="auto"/>
              <w:ind w:left="510"/>
              <w:jc w:val="left"/>
              <w:rPr>
                <w:rFonts w:ascii="Times New Roman" w:hAnsi="Times New Roman" w:cs="Times New Roman"/>
                <w:szCs w:val="24"/>
              </w:rPr>
            </w:pPr>
            <w:r w:rsidRPr="00FB76A9">
              <w:rPr>
                <w:rFonts w:ascii="Times New Roman" w:hAnsi="Times New Roman" w:cs="Times New Roman"/>
                <w:szCs w:val="24"/>
              </w:rPr>
              <w:t>Art.</w:t>
            </w:r>
            <w:r w:rsidRPr="00FB76A9">
              <w:rPr>
                <w:rStyle w:val="Ppogrubienie"/>
                <w:rFonts w:ascii="Times New Roman" w:hAnsi="Times New Roman" w:cs="Times New Roman"/>
                <w:szCs w:val="24"/>
              </w:rPr>
              <w:t xml:space="preserve"> </w:t>
            </w:r>
            <w:r w:rsidRPr="00FB76A9">
              <w:rPr>
                <w:rFonts w:ascii="Times New Roman" w:hAnsi="Times New Roman" w:cs="Times New Roman"/>
                <w:szCs w:val="24"/>
              </w:rPr>
              <w:t>68zc. 1. Ustalenia kontroli zamieszcza się w protokole kontroli.</w:t>
            </w:r>
          </w:p>
          <w:p w14:paraId="48DA736C" w14:textId="77777777" w:rsidR="00164ACC" w:rsidRPr="00FB76A9" w:rsidRDefault="00164ACC"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2. Protokół kontroli zawiera:</w:t>
            </w:r>
          </w:p>
          <w:p w14:paraId="7F8ABFE3"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 xml:space="preserve">oznaczenie podmiotu gospodarczego lub posiadacza pojazdu, przedmiotu wyposażenia lub części niebędącego użytkownikiem </w:t>
            </w:r>
            <w:r w:rsidRPr="00FB76A9">
              <w:rPr>
                <w:rFonts w:ascii="Times New Roman" w:hAnsi="Times New Roman" w:cs="Times New Roman"/>
                <w:szCs w:val="24"/>
              </w:rPr>
              <w:lastRenderedPageBreak/>
              <w:t xml:space="preserve">końcowym, u którego przeprowadzona została kontrola; </w:t>
            </w:r>
          </w:p>
          <w:p w14:paraId="08F05683"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określenie daty rozpoczęcia i zakończenia kontroli;</w:t>
            </w:r>
          </w:p>
          <w:p w14:paraId="07339A90"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oznaczenie pojazdu, przedmiotu wyposażenia lub części;</w:t>
            </w:r>
          </w:p>
          <w:p w14:paraId="61BD37EA"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w:t>
            </w:r>
            <w:r w:rsidRPr="00FB76A9">
              <w:rPr>
                <w:rFonts w:ascii="Times New Roman" w:hAnsi="Times New Roman" w:cs="Times New Roman"/>
                <w:szCs w:val="24"/>
              </w:rPr>
              <w:tab/>
              <w:t xml:space="preserve">określenie rodzaju, formy oraz zakresu przedmiotowego kontroli, w tym przeprowadzonych w toku kontroli czynności kontrolnych oraz ich przebiegu; </w:t>
            </w:r>
          </w:p>
          <w:p w14:paraId="3316EF4A"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5) </w:t>
            </w:r>
            <w:r w:rsidRPr="00FB76A9">
              <w:rPr>
                <w:rFonts w:ascii="Times New Roman" w:hAnsi="Times New Roman" w:cs="Times New Roman"/>
                <w:szCs w:val="24"/>
              </w:rPr>
              <w:tab/>
              <w:t>opis stanu faktycznego ustalonego w toku kontroli;</w:t>
            </w:r>
          </w:p>
          <w:p w14:paraId="11E6B736"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6)</w:t>
            </w:r>
            <w:r w:rsidRPr="00FB76A9">
              <w:rPr>
                <w:rFonts w:ascii="Times New Roman" w:hAnsi="Times New Roman" w:cs="Times New Roman"/>
                <w:szCs w:val="24"/>
              </w:rPr>
              <w:tab/>
              <w:t>wykaz załączników;</w:t>
            </w:r>
          </w:p>
          <w:p w14:paraId="5B0F577A"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7)</w:t>
            </w:r>
            <w:r w:rsidRPr="00FB76A9">
              <w:rPr>
                <w:rFonts w:ascii="Times New Roman" w:hAnsi="Times New Roman" w:cs="Times New Roman"/>
                <w:szCs w:val="24"/>
              </w:rPr>
              <w:tab/>
              <w:t>pouczenie podmiotu gospodarczego lub posiadacza pojazdu, przedmiotu wyposażenia lub części, niebędącego użytkownikiem końcowym, o prawie zgłaszania zastrzeżeń do protokołu;</w:t>
            </w:r>
          </w:p>
          <w:p w14:paraId="769BBA62"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9) </w:t>
            </w:r>
            <w:r w:rsidRPr="00FB76A9">
              <w:rPr>
                <w:rFonts w:ascii="Times New Roman" w:hAnsi="Times New Roman" w:cs="Times New Roman"/>
                <w:szCs w:val="24"/>
              </w:rPr>
              <w:tab/>
              <w:t>podpis osoby udzielającej upoważnienia, z podaniem zajmowanego przez nią stanowiska lub pełnionej funkcji;</w:t>
            </w:r>
          </w:p>
          <w:p w14:paraId="4F4A445A"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10)</w:t>
            </w:r>
            <w:r w:rsidRPr="00FB76A9">
              <w:rPr>
                <w:rFonts w:ascii="Times New Roman" w:hAnsi="Times New Roman" w:cs="Times New Roman"/>
                <w:szCs w:val="24"/>
              </w:rPr>
              <w:tab/>
              <w:t>imię, nazwisko i stanowisko służbowe kontrolującego.</w:t>
            </w:r>
          </w:p>
          <w:p w14:paraId="6F2D092F"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Protokół kontroli podpisuje kontrolujący.</w:t>
            </w:r>
          </w:p>
          <w:p w14:paraId="2DC63DC5" w14:textId="77777777" w:rsidR="00164ACC" w:rsidRPr="00FB76A9" w:rsidRDefault="00164ACC"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4. Protokół kontroli:</w:t>
            </w:r>
          </w:p>
          <w:p w14:paraId="293C8569" w14:textId="77777777" w:rsidR="00164ACC" w:rsidRPr="00FB76A9" w:rsidRDefault="00164ACC" w:rsidP="00FD5CD5">
            <w:pPr>
              <w:pStyle w:val="ZPKTzmpk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doręcza się:</w:t>
            </w:r>
          </w:p>
          <w:p w14:paraId="11D6D4A1" w14:textId="77777777" w:rsidR="00164ACC" w:rsidRPr="00FB76A9" w:rsidRDefault="00164ACC" w:rsidP="00FD5CD5">
            <w:pPr>
              <w:pStyle w:val="ZLITzmlitartykuempunktem"/>
              <w:spacing w:line="240" w:lineRule="auto"/>
              <w:ind w:left="1418"/>
              <w:jc w:val="left"/>
              <w:rPr>
                <w:rFonts w:ascii="Times New Roman" w:hAnsi="Times New Roman" w:cs="Times New Roman"/>
                <w:szCs w:val="24"/>
              </w:rPr>
            </w:pPr>
            <w:r w:rsidRPr="00FB76A9">
              <w:rPr>
                <w:rFonts w:ascii="Times New Roman" w:hAnsi="Times New Roman" w:cs="Times New Roman"/>
                <w:szCs w:val="24"/>
              </w:rPr>
              <w:t>a)</w:t>
            </w:r>
            <w:r w:rsidRPr="00FB76A9">
              <w:rPr>
                <w:rFonts w:ascii="Times New Roman" w:hAnsi="Times New Roman" w:cs="Times New Roman"/>
                <w:szCs w:val="24"/>
              </w:rPr>
              <w:tab/>
              <w:t>posiadaczowi pojazdu, przedmiotu wyposażenia lub części niebędącego użytkownikiem końcowym, lub osobie przez niego upoważnionej – bez załączników,</w:t>
            </w:r>
          </w:p>
          <w:p w14:paraId="79A7E2E6" w14:textId="77777777" w:rsidR="00164ACC" w:rsidRPr="00FB76A9" w:rsidRDefault="00164ACC" w:rsidP="00FD5CD5">
            <w:pPr>
              <w:pStyle w:val="ZLITzmlitartykuempunktem"/>
              <w:spacing w:line="240" w:lineRule="auto"/>
              <w:ind w:left="1418"/>
              <w:jc w:val="left"/>
              <w:rPr>
                <w:rFonts w:ascii="Times New Roman" w:hAnsi="Times New Roman" w:cs="Times New Roman"/>
                <w:szCs w:val="24"/>
              </w:rPr>
            </w:pPr>
            <w:r w:rsidRPr="00FB76A9">
              <w:rPr>
                <w:rFonts w:ascii="Times New Roman" w:hAnsi="Times New Roman" w:cs="Times New Roman"/>
                <w:szCs w:val="24"/>
              </w:rPr>
              <w:lastRenderedPageBreak/>
              <w:t>b)</w:t>
            </w:r>
            <w:r w:rsidRPr="00FB76A9">
              <w:rPr>
                <w:rFonts w:ascii="Times New Roman" w:hAnsi="Times New Roman" w:cs="Times New Roman"/>
                <w:szCs w:val="24"/>
              </w:rPr>
              <w:tab/>
              <w:t>podmiotowi gospodarczemu – wraz z załącznikami;</w:t>
            </w:r>
          </w:p>
          <w:p w14:paraId="38B89D86"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pozostawia się w aktach sprawy – wraz z załącznikami.</w:t>
            </w:r>
          </w:p>
          <w:p w14:paraId="1D7FDCD9"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Podmiot gospodarczy oraz posiadacz pojazdu, przedmiotu wyposażenia lub części niebędący użytkownikiem końcowym, może zgłosić zastrzeżenia do protokołu kontroli w terminie 10 dni roboczych od dnia doręczenia protokołu.</w:t>
            </w:r>
          </w:p>
          <w:p w14:paraId="4D482907"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6. Dyrektor TDT jako organ nadzoru rynku przedstawia stanowisko do zastrzeżeń zgłoszonych do protokołu kontroli, nie później niż w terminie 10 dni roboczych od dnia ich doręczenia.</w:t>
            </w:r>
          </w:p>
          <w:p w14:paraId="645AD439"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7. Kontrolujący z urzędu lub na wniosek podmiotu gospodarczego lub posiadacza pojazdu, przedmiotu wyposażenia lub części niebędącego użytkownikiem końcowym, może prostować w protokole kontroli, błędy pisarskie i rachunkowe lub inne oczywiste pomyłki.</w:t>
            </w:r>
          </w:p>
          <w:p w14:paraId="0B8C7104" w14:textId="77777777" w:rsidR="00164ACC" w:rsidRPr="00FB76A9" w:rsidRDefault="00164ACC" w:rsidP="00FD5CD5">
            <w:pPr>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Art. 68zd. 1 Dyrektor TDT jako organ nadzoru rynku może zwrócić się do właściwego ze względu na miejsce prowadzenia kontroli, komendanta Policji, zwanego dalej „właściwym miejscowo komendantem Policji”, o udzielenie pomocy, jeżeli istnieje uzasadnione przypuszczenie, że w toku kontroli Dyrektor TDT jako organ nadzoru rynku natrafi na opór, który utrudni lub uniemożliwi mu wykonywanie kontroli.</w:t>
            </w:r>
          </w:p>
          <w:p w14:paraId="25D865EB"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Właściwy miejscowo komendant Policji</w:t>
            </w:r>
            <w:r w:rsidRPr="00FB76A9" w:rsidDel="00962D3D">
              <w:rPr>
                <w:rFonts w:ascii="Times New Roman" w:hAnsi="Times New Roman" w:cs="Times New Roman"/>
                <w:szCs w:val="24"/>
              </w:rPr>
              <w:t xml:space="preserve"> </w:t>
            </w:r>
            <w:r w:rsidRPr="00FB76A9">
              <w:rPr>
                <w:rFonts w:ascii="Times New Roman" w:hAnsi="Times New Roman" w:cs="Times New Roman"/>
                <w:szCs w:val="24"/>
              </w:rPr>
              <w:t xml:space="preserve">zapewnia pomoc w przeprowadzeniu kontroli. </w:t>
            </w:r>
          </w:p>
          <w:p w14:paraId="79CABC70"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3. Pomoc udzielana przez Policję polega na zapewnieniu porządku w miejscu przeprowadzania kontroli i osobistego bezpieczeństwa osób obecnych w tym miejscu, a także na ustaleniu tożsamości tych osób.</w:t>
            </w:r>
          </w:p>
          <w:p w14:paraId="71AC0D3F"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Dyrektor TDT jako organ nadzoru rynku występuje z pisemnym wnioskiem o udzielenie pomocy do komendanta Policji właściwego ze względu na miejsce kontroli, co najmniej 7 dni przed planowanym dniem przeprowadzenia kontroli.</w:t>
            </w:r>
          </w:p>
          <w:p w14:paraId="70850DC3"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W przypadkach niecierpiących zwłoki Dyrektor TDT jako organ nadzoru rynku występuje z wnioskiem, o którym mowa w ust 4, co najmniej 3 dni przed planowanym dniem przeprowadzenia kontroli.</w:t>
            </w:r>
          </w:p>
          <w:p w14:paraId="3B6DF6FD"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6. Jeżeli istnieje poważne zagrożenie dla życia, zdrowia ludzkiego lub bezpieczeństwa i porządku publicznego w miejscu przeprowadzania kontroli albo uzasadnione podejrzenie wystąpienia takiego zagrożenia, albo w toku wykonywania kontroli kontrolujący natrafił na opór, który utrudnia lub uniemożliwia mu wykonywanie kontroli, wniosek, o którym mowa w ust. 4, może być złożony ustnie przez kontrolującego w imieniu Dyrektora TDT jako organu nadzoru rynku, bez zachowania określonego terminu, po okazaniu upoważnienia do przeprowadzenia kontroli oraz legitymacji służbowej kontrolującego. </w:t>
            </w:r>
          </w:p>
          <w:p w14:paraId="04A91936"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7. W przypadku, o którym mowa w ust. 6, Dyrektor TDT jako organ nadzoru rynku, nie później niż w terminie 3 dni od dnia zakończenia </w:t>
            </w:r>
            <w:r w:rsidRPr="00FB76A9">
              <w:rPr>
                <w:rFonts w:ascii="Times New Roman" w:hAnsi="Times New Roman" w:cs="Times New Roman"/>
                <w:szCs w:val="24"/>
              </w:rPr>
              <w:lastRenderedPageBreak/>
              <w:t>kontroli, przekazuje na piśmie potwierdzenie złożonego ustnie wniosku.</w:t>
            </w:r>
          </w:p>
          <w:p w14:paraId="6638E32A"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8. Koszty poniesione przez Policję z tytułu udzielonej pomocy w przeprowadzeniu kontroli ponosi podmiot gospodarczy lub posiadacz pojazdu, przedmiotu wyposażenia lub części, niebędący użytkownikiem końcowym, u którego przeprowadzana jest kontrola.</w:t>
            </w:r>
          </w:p>
          <w:p w14:paraId="2F6FA517"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9. Koszty pomocy udzielonej przez właściwego miejscowo komendanta Policji ustala się w wysokości rzeczywistych wydatków poniesionych na udzielenie pomocy.</w:t>
            </w:r>
          </w:p>
          <w:p w14:paraId="691D2D3C"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10. W przypadku, gdy zwrócenie się o pomoc do właściwego miejscowo komendanta Policji było bezzasadne, koszty udzielonej pomocy ponosi Dyrektor TDT jako organ nadzoru rynku.</w:t>
            </w:r>
          </w:p>
          <w:p w14:paraId="1F5D3462"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11. Dyrektor TDT jako organ nadzoru rynku, w drodze decyzji administracyjnej, obciąża podmiot gospodarczy lub posiadacza pojazdu, przedmiotu wyposażenia lub części niebędącego użytkownikiem końcowym, u którego przeprowadzana była kontrola,</w:t>
            </w:r>
            <w:r w:rsidRPr="00FB76A9" w:rsidDel="00714083">
              <w:rPr>
                <w:rFonts w:ascii="Times New Roman" w:hAnsi="Times New Roman" w:cs="Times New Roman"/>
                <w:szCs w:val="24"/>
              </w:rPr>
              <w:t xml:space="preserve"> </w:t>
            </w:r>
            <w:r w:rsidRPr="00FB76A9">
              <w:rPr>
                <w:rFonts w:ascii="Times New Roman" w:hAnsi="Times New Roman" w:cs="Times New Roman"/>
                <w:szCs w:val="24"/>
              </w:rPr>
              <w:t>kosztami pomocy udzielonej przez właściwego miejscowo komendanta Policji określając termin ich uiszczenia.</w:t>
            </w:r>
          </w:p>
          <w:p w14:paraId="55AF686B" w14:textId="77777777" w:rsidR="00164ACC" w:rsidRPr="00FB76A9" w:rsidRDefault="00164ACC"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68ze. 1. Dyrektor TDT jako organ nadzoru rynku w ramach kontroli laboratoryjnej poddaje badaniom pojazdy, przedmioty wyposażenia lub części lub zleca przeprowadzenie tych badań w laboratoriach, o których mowa w art. 68zi, w celu stwierdzenia czy te pojazdy, przedmioty wyposażenia lub części spełniają </w:t>
            </w:r>
            <w:r w:rsidRPr="00FB76A9">
              <w:rPr>
                <w:rFonts w:ascii="Times New Roman" w:hAnsi="Times New Roman" w:cs="Times New Roman"/>
                <w:szCs w:val="24"/>
              </w:rPr>
              <w:lastRenderedPageBreak/>
              <w:t>wymagania techniczne lub stwarzają poważne ryzyko.</w:t>
            </w:r>
          </w:p>
          <w:p w14:paraId="4545C263"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 celu poddania pojazdu, przedmiotu wyposażenia lub części badaniom w ramach kontroli laboratoryjnej, o której mowa w ust. 1, Dyrektor TDT jako organ nadzoru rynku pobiera nieodpłatnie pojazdy, przedmioty wyposażenia lub części </w:t>
            </w:r>
            <w:r w:rsidRPr="00FB76A9">
              <w:rPr>
                <w:rFonts w:ascii="Times New Roman" w:hAnsi="Times New Roman" w:cs="Times New Roman"/>
                <w:szCs w:val="24"/>
              </w:rPr>
              <w:tab/>
              <w:t>nej do przeprowadzenia tych badań.</w:t>
            </w:r>
          </w:p>
          <w:p w14:paraId="203F30ED"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W celu poddania pojazdu, przedmiotu wyposażenia lub części oferowanych do sprzedaży na odległość, badaniom w ramach kontroli laboratoryjnej, o której mowa w ust. 1, Dyrektor TDT jako organ nadzoru rynku pobiera nieodpłatnie pojazdy przedmioty wyposażenia lub części lub dokonuje ich zakupu, w liczbie niezbędnej do przeprowadzenia tych badań, z uwzględnieniem przepisów art. 68zg.</w:t>
            </w:r>
          </w:p>
          <w:p w14:paraId="3344A939"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Z badań pojazdu, przedmiotu wyposażenia lub części w ramach kontroli laboratoryjnej, o której mowa w ust. 1, sporządza się sprawozdanie. </w:t>
            </w:r>
          </w:p>
          <w:p w14:paraId="6C1CC13A"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Koszty badań w ramach kontroli laboratoryjnej, o której mowa w ust. 1, ponosi Dyrektor TDT jako organ nadzoru rynku i pokrywa je z opłaty, o której mowa w art. 68zu ust.1.</w:t>
            </w:r>
          </w:p>
          <w:p w14:paraId="262DBFE3"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6. Do kosztów badań w ramach kontroli laboratoryjnej, o której mowa w ust. 1, zalicza się koszty przeprowadzenia tych badań, koszty transportu do laboratorium oraz koszty przechowywania pojazdu, przedmiotu wyposażenia lub części objętego badaniami.</w:t>
            </w:r>
          </w:p>
          <w:p w14:paraId="44273E02"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7. Dyrektor TDT jako organ nadzoru rynku wraz z pobraniem pojazdu, przedmiotu wyposażenia lub części pobiera i zabezpiecza, o ile jest to możliwe, dodatkowy pojazd, przedmiot wyposażenia lub część w liczbie odpowiadającej liczbie pobranej do badań w ramach kontroli laboratoryjnej, o której mowa w ust. 1, zwany dalej „próbką kontrolną”.</w:t>
            </w:r>
          </w:p>
          <w:p w14:paraId="3082A4B3"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8. Podmiot gospodarczy lub posiadacz pojazdu, przedmiotu wyposażenia lub części niebędący użytkownikiem końcowym, jest obowiązany przechowywać próbkę kontrolną w warunkach uniemożliwiających zmianę jakości lub cech charakterystycznych tego pojazdu, przedmiotu wyposażenia lub części, do czasu zwolnienia z tego obowiązku przez Dyrektora TDT jako organu nadzoru rynku.</w:t>
            </w:r>
          </w:p>
          <w:p w14:paraId="1EF535EE"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9. Badanie próbki kontrolnej w ramach kontroli laboratoryjnej, o której mowa w ust. 1, przeprowadza Dyrektor TDT jako organ nadzoru rynku z urzędu albo na wniosek podmiotu gospodarczego, o którym mowa w art. 68zc ust. 4 pkt 1 lit. b. </w:t>
            </w:r>
          </w:p>
          <w:p w14:paraId="4022A934"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10. W przypadku, gdy podmiot gospodarczy złożył wniosek, o którym mowa w ust. 9, koszty badania próbki kontrolnej w ramach kontroli laboratoryjnej, o której mowa w ust. 1, ponosi ten podmiot gospodarczy, w wysokości i terminie określonym w drodze decyzji administracyjnej wydanej przez Dyrektora TDT jako organu nadzoru rynku.</w:t>
            </w:r>
          </w:p>
          <w:p w14:paraId="0CC1FD25"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11. W przypadku, gdy badanie próbki kontrolnej w ramach kontroli laboratoryjnej, o której mowa w ust. 1, zostało przeprowadzone przez Dyrektora TDT jako organ nadzoru rynku z urzędu, koszty tego badania ponosi Dyrektor TDT jako organ nadzoru rynku i pokrywa je z opłaty, o której mowa w art. 68zu ust. 1.</w:t>
            </w:r>
          </w:p>
          <w:p w14:paraId="09193256"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12. Z badań próbki kontrolnej w ramach kontroli laboratoryjnej, o której mowa w ust. 1, sporządza się sprawozdanie.</w:t>
            </w:r>
          </w:p>
          <w:p w14:paraId="26ACC212" w14:textId="77777777" w:rsidR="00164ACC" w:rsidRPr="00FB76A9" w:rsidRDefault="00164ACC"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68zf. 1. W przypadku gdy przedmiotem kontroli, o której mowa w art. 68y ust. 1, są pojazdy, przedmioty wyposażenia oraz części oferowane do sprzedaży na odległość, kontrola lub poszczególne czynności kontrolne mogą być przeprowadzone w sposób zdalny za pośrednictwem operatora pocztowego w rozumieniu ustawy z dnia 23 listopada 2012 r. – Prawo pocztowe (Dz. U. z </w:t>
            </w:r>
            <w:r w:rsidR="00FA7954" w:rsidRPr="00FB76A9">
              <w:rPr>
                <w:rFonts w:ascii="Times New Roman" w:hAnsi="Times New Roman" w:cs="Times New Roman"/>
                <w:szCs w:val="24"/>
              </w:rPr>
              <w:t>202</w:t>
            </w:r>
            <w:r w:rsidR="00FA7954">
              <w:rPr>
                <w:rFonts w:ascii="Times New Roman" w:hAnsi="Times New Roman" w:cs="Times New Roman"/>
                <w:szCs w:val="24"/>
              </w:rPr>
              <w:t>6</w:t>
            </w:r>
            <w:r w:rsidR="00FA7954" w:rsidRPr="00FB76A9">
              <w:rPr>
                <w:rFonts w:ascii="Times New Roman" w:hAnsi="Times New Roman" w:cs="Times New Roman"/>
                <w:szCs w:val="24"/>
              </w:rPr>
              <w:t xml:space="preserve"> r. poz. </w:t>
            </w:r>
            <w:r w:rsidR="00FA7954">
              <w:rPr>
                <w:rFonts w:ascii="Times New Roman" w:hAnsi="Times New Roman" w:cs="Times New Roman"/>
                <w:szCs w:val="24"/>
              </w:rPr>
              <w:t>558</w:t>
            </w:r>
            <w:r w:rsidRPr="00FB76A9">
              <w:rPr>
                <w:rFonts w:ascii="Times New Roman" w:hAnsi="Times New Roman" w:cs="Times New Roman"/>
                <w:szCs w:val="24"/>
              </w:rPr>
              <w:t>) lub za pomocą środków komunikacji elektronicznej w rozumieniu art. 2 pkt 5 ustawy z dnia 18 lipca 2002 r. o świadczeniu usług drogą elektroniczną (Dz. U. z 2024 r. poz. 1513).</w:t>
            </w:r>
          </w:p>
          <w:p w14:paraId="4C9DE230"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Zgoda podmiotu gospodarczego lub posiadacza pojazdu, przedmiotu wyposażenia lub części, niebędącego użytkownikiem końcowym, o której mowa w art. 51 ust. 3a ustawy z dnia 6 marca 2018 r. – Prawo przedsiębiorców, nie jest wymagana w przypadku, gdy kontrola jest prowadzona zgodnie z przepisami niniejszego artykułu.</w:t>
            </w:r>
          </w:p>
          <w:p w14:paraId="5FFB275F"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3. Upoważnienie do przeprowadzenia kontroli w sposób zdalny oraz legitymacja służbowa są okazywane podmiotowi gospodarczemu lub posiadaczowi pojazdu, przedmiotu wyposażenia lub części niebędącemu użytkownikiem końcowym przed podjęciem czynności kontrolnych.</w:t>
            </w:r>
          </w:p>
          <w:p w14:paraId="412262D8"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W przypadku gdy co najmniej dwie próby nawiązania kontaktu z podmiotem gospodarczym lub posiadaczem pojazdu, przedmiotu wyposażenia lub części, niebędącym użytkownikiem końcowym za pomocą środków komunikacji elektronicznej okażą się nieskuteczne albo z innych powodów nie ma możliwości wypełnienia obowiązku, o którym mowa w art. 68zb ust. 3, upoważnienie do przeprowadzenia kontroli w sposób zdalny doręcza się za pośrednictwem operatora pocztowego, wraz z informacją, że legitymacja zostanie okazana podmiotowi gospodarczemu lub posiadaczowi pojazdu, przedmiotu wyposażenia lub części, niebędącego użytkownikiem końcowym na jego żądanie, w siedzibie Dyrektora TDT jako organu nadzoru rynku.</w:t>
            </w:r>
          </w:p>
          <w:p w14:paraId="5F36D18F"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5. Dyrektor TDT jako organ nadzoru rynku może żądać od podmiotu gospodarczego lub posiadacza pojazdu, przedmiotu wyposażenia lub części niebędącego użytkownikiem końcowym, który oferuje pojazdy, przedmioty wyposażenia oraz części do sprzedaży na odległość, nieodpłatnego udostępnienia tego pojazdu, przedmiotu wyposażenia lub części, w liczbie </w:t>
            </w:r>
            <w:r w:rsidRPr="00FB76A9">
              <w:rPr>
                <w:rFonts w:ascii="Times New Roman" w:hAnsi="Times New Roman" w:cs="Times New Roman"/>
                <w:szCs w:val="24"/>
              </w:rPr>
              <w:lastRenderedPageBreak/>
              <w:t>niezbędnej do przeprowadzenia kontroli fizycznej lub kontroli laboratoryjnej, w celu ustalenia czy pojazd, przedmiot wyposażenia oraz część są zgodne z wymaganiami technicznymi i nie stwarzają poważnego ryzyka, przy czym koszty transportu pokrywa Dyrektor TDT jako organ nadzoru rynku z opłaty, o której mowa w art. 68zu ust. 1.</w:t>
            </w:r>
          </w:p>
          <w:p w14:paraId="551233AA"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6. Podmiot gospodarczy lub posiadacz pojazdu, przedmiotu wyposażenia lub części niebędący użytkownikiem końcowym, ma obowiązek dołożenia należytych starań, aby zabezpieczyć pojazd, przedmiot wyposażenia oraz część na czas transportu w sposób uniemożliwiający zmianę jakości lub cech charakterystycznych pojazdu, przedmiotu wyposażenia lub części.</w:t>
            </w:r>
          </w:p>
          <w:p w14:paraId="3654DCFF"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7. Przebieg kontroli prowadzonej w sposób zdalny jest utrwalany za pośrednictwem urządzenia rejestrującego obraz lub dźwięk, w zależności od formy przeprowadzenia czynności kontrolnych na odległość.</w:t>
            </w:r>
          </w:p>
          <w:p w14:paraId="70AEED1D"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8. Obraz lub dźwięk są rejestrowane w sposób umożliwiający identyfikację danych podmiotu gospodarczego lub posiadacza pojazdu, przedmiotu wyposażenia lub części, niebędącego użytkownikiem końcowym, oraz nieodpłatnie dostarczonego pojazdu, przedmiotu wyposażenia lub części.</w:t>
            </w:r>
          </w:p>
          <w:p w14:paraId="01CB6082" w14:textId="77777777" w:rsidR="00164ACC" w:rsidRPr="00FB76A9" w:rsidRDefault="00164ACC"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9. W celu identyfikacji podmiotu gospodarczego lub posiadacza pojazdu, </w:t>
            </w:r>
            <w:r w:rsidRPr="00FB76A9">
              <w:rPr>
                <w:rFonts w:ascii="Times New Roman" w:hAnsi="Times New Roman" w:cs="Times New Roman"/>
                <w:szCs w:val="24"/>
              </w:rPr>
              <w:lastRenderedPageBreak/>
              <w:t>przedmiotu wyposażenia lub części niebędącego użytkownikiem końcowym, gromadzone są dane:</w:t>
            </w:r>
          </w:p>
          <w:p w14:paraId="72420F26"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nazwa lub firma albo imię i nazwisko;</w:t>
            </w:r>
          </w:p>
          <w:p w14:paraId="6B4C2049"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adres prowadzenia działalności i adres siedziby;</w:t>
            </w:r>
          </w:p>
          <w:p w14:paraId="627F8E9F"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adres strony internetowej i adres poczty elektronicznej – w przypadku gdy kontrola zdalna jest dokonywana za pośrednictwem tej strony;</w:t>
            </w:r>
          </w:p>
          <w:p w14:paraId="528F5E93"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4)</w:t>
            </w:r>
            <w:r w:rsidRPr="00FB76A9">
              <w:rPr>
                <w:rFonts w:ascii="Times New Roman" w:hAnsi="Times New Roman" w:cs="Times New Roman"/>
                <w:szCs w:val="24"/>
              </w:rPr>
              <w:tab/>
              <w:t>numer telefonu – w przypadku gdy kontrola zdalna jest dokonywana za pośrednictwem tego urządzenia;</w:t>
            </w:r>
          </w:p>
          <w:p w14:paraId="612C0E0F"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5)</w:t>
            </w:r>
            <w:r w:rsidRPr="00FB76A9">
              <w:rPr>
                <w:rFonts w:ascii="Times New Roman" w:hAnsi="Times New Roman" w:cs="Times New Roman"/>
                <w:szCs w:val="24"/>
              </w:rPr>
              <w:tab/>
              <w:t>identyfikator podmiotu gospodarczego lub posiadacza pojazdu, przedmiotu wyposażenia lub części niebędącego użytkownikiem końcowym, w innych środkach komunikacji na odległość, za pośrednictwem których dokonywana jest kontrola zdalna.</w:t>
            </w:r>
          </w:p>
          <w:p w14:paraId="72243B6D"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10. Utrwalony obraz lub dźwięk stanowią załącznik do protokołu kontroli, o którym mowa w art. 68zc ust. 1.</w:t>
            </w:r>
          </w:p>
          <w:p w14:paraId="7308A69A"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11. Pojazd, przedmiot wyposażenia lub część pozyskane podczas kontroli prowadzonej w sposób zdalny są poddawane kontroli fizycznej lub kontroli laboratoryjnej.</w:t>
            </w:r>
          </w:p>
          <w:p w14:paraId="2DEC5244" w14:textId="77777777" w:rsidR="00164ACC" w:rsidRPr="00FB76A9" w:rsidRDefault="00164ACC"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12. Jeżeli kontrolujący stwierdzi, że:</w:t>
            </w:r>
          </w:p>
          <w:p w14:paraId="5E1CB8F8"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otrzymał pojazd, przedmiot wyposażenia lub część zgodnie z żądaniem, o którym mowa w ust. 5 oraz</w:t>
            </w:r>
          </w:p>
          <w:p w14:paraId="0EF0D9C3" w14:textId="77777777" w:rsidR="00164ACC" w:rsidRPr="00FB76A9" w:rsidRDefault="00164ACC" w:rsidP="00FD5CD5">
            <w:pPr>
              <w:pStyle w:val="ZPKTzmpk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stan pojazdu, przedmiotu wyposażenia lub części umożliwiają poddanie go kontroli fizycznej lub kontroli laboratoryjnej</w:t>
            </w:r>
          </w:p>
          <w:p w14:paraId="48DED53F" w14:textId="77777777" w:rsidR="00164ACC" w:rsidRPr="00FB76A9" w:rsidRDefault="00164ACC" w:rsidP="00FD5CD5">
            <w:pPr>
              <w:pStyle w:val="ZCZWSPPKTzmczciwsppk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 kwalifikuje ten pojazd, przedmiot wyposażenia lub część jako próbkę.</w:t>
            </w:r>
          </w:p>
          <w:p w14:paraId="27A7AFB3" w14:textId="77777777" w:rsidR="00164ACC" w:rsidRPr="00FB76A9" w:rsidRDefault="00164ACC"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13. Jeżeli kontrolujący stwierdzi, że pojazd, przedmiot wyposażenia lub część nie spełniają warunków określonych w ust. 12 pkt 2, nie kwalifikuje tego pojazdu, przedmiotu wyposażenia lub części  jako próbki i ponownie zwraca się do podmiotu gospodarczego lub posiadacza pojazdu, przedmiotu wyposażenia lub części, niebędącego użytkownikiem końcowym, z żądaniem, o którym mowa w ust. 5.</w:t>
            </w:r>
          </w:p>
          <w:p w14:paraId="670C2963"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14. Dyrektor TDT jako organ nadzoru rynku poddaje próbkę pojazdu, przedmiotu wyposażenia lub część kontroli fizycznej, kontroli laboratoryjnej lub zleca przeprowadzenie badań tej próbki w ramach kontroli laboratoryjnej w laboratorium, o którym mowa w art. 68zi.</w:t>
            </w:r>
          </w:p>
          <w:p w14:paraId="589CA01E"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15. Z badań w ramach kontroli laboratoryjnej, o których mowa w ust. 14, jest sporządzane sprawozdanie z badań.</w:t>
            </w:r>
          </w:p>
          <w:p w14:paraId="0BB780FC"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16. Do kontroli prowadzonej w sposób zdalny w zakresie nieuregulowanym w niniejszym artykule stosuje się odpowiednio przepisy art. 68y, art. 68za, art. 68zb oraz art. 68zc.</w:t>
            </w:r>
          </w:p>
          <w:p w14:paraId="19DBEE1C"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68zg. 1. Dyrektor TDT jako organ nadzoru rynku może dokonać zakupu kontrolnego poprzez złożenie zamówienia za pośrednictwem operatora pocztowego lub za pomocą środków komunikacji elektronicznej z adresu uniemożliwiającego ustalenie kontrolującego jako organu nadzoru rynku dokonującego zakupu, zwanego dalej „zakupem kontrolnym”, w celu </w:t>
            </w:r>
            <w:r w:rsidRPr="00FB76A9">
              <w:rPr>
                <w:rFonts w:ascii="Times New Roman" w:hAnsi="Times New Roman" w:cs="Times New Roman"/>
                <w:szCs w:val="24"/>
              </w:rPr>
              <w:lastRenderedPageBreak/>
              <w:t>ustalenia czy pojazd, przedmiot wyposażenia lub część są zgodne z wymaganiami technicznymi lub nie stwarzają poważnego ryzyka.</w:t>
            </w:r>
          </w:p>
          <w:p w14:paraId="254A623E"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Zgoda podmiotu gospodarczego lub posiadacza pojazdu, przedmiotu wyposażenia lub części, niebędącego użytkownikiem końcowym, o której mowa w art. 51 ust. 3a ustawy z dnia 6 marca 2018 r. – Prawo przedsiębiorców, nie jest wymagana w przypadku, gdy kontrola jest prowadzona zgodnie z przepisami niniejszego artykułu.</w:t>
            </w:r>
          </w:p>
          <w:p w14:paraId="31A7B599"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Dyrektor TDT jako organ nadzoru rynku dokonuje zakupu kontrolnego pojazdu, przedmiotu wyposażenia oraz części oferowanych do sprzedaży na odległość w liczbie niezbędnej do przeprowadzenia kontroli fizycznej lub kontroli laboratoryjnej.</w:t>
            </w:r>
          </w:p>
          <w:p w14:paraId="09EE7697"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W przypadku, gdy Dyrektor TDT jako organ nadzoru rynku dokonuje zakupu kontrolnego, czynność ta rozpoczyna kontrolę.</w:t>
            </w:r>
          </w:p>
          <w:p w14:paraId="1C4847B0" w14:textId="77777777" w:rsidR="00164ACC" w:rsidRPr="00FB76A9" w:rsidRDefault="00164ACC"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5. Jeżeli kontrolujący stwierdzi, że:</w:t>
            </w:r>
          </w:p>
          <w:p w14:paraId="1BF2F3B2"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otrzymał pojazd, przedmiot wyposażenia lub część pozyskany w ramach zakupu kontrolnego, oraz</w:t>
            </w:r>
          </w:p>
          <w:p w14:paraId="527BB573" w14:textId="77777777" w:rsidR="00164ACC" w:rsidRPr="00FB76A9" w:rsidRDefault="00164ACC" w:rsidP="00FD5CD5">
            <w:pPr>
              <w:pStyle w:val="ZPKTzmpk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stan pojazdu, przedmiotu wyposażenia lub części umożliwiają poddanie go kontroli fizycznej lub kontroli laboratoryjnej</w:t>
            </w:r>
          </w:p>
          <w:p w14:paraId="6EECE90C" w14:textId="77777777" w:rsidR="00164ACC" w:rsidRPr="00FB76A9" w:rsidRDefault="00164ACC" w:rsidP="00FD5CD5">
            <w:pPr>
              <w:pStyle w:val="ZCZWSPPKTzmczciwsp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kwalifikuje ten pojazd, przedmiot wyposażenia lub część jako próbkę.</w:t>
            </w:r>
          </w:p>
          <w:p w14:paraId="11B55D42" w14:textId="77777777" w:rsidR="00164ACC" w:rsidRPr="00FB76A9" w:rsidRDefault="00164ACC"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6. Jeżeli kontrolujący stwierdzi, że pojazd, przedmiot wyposażenia lub część nie spełniają warunku określonego w ust. 5 pkt 2, nie </w:t>
            </w:r>
            <w:r w:rsidRPr="00FB76A9">
              <w:rPr>
                <w:rFonts w:ascii="Times New Roman" w:hAnsi="Times New Roman" w:cs="Times New Roman"/>
                <w:szCs w:val="24"/>
              </w:rPr>
              <w:lastRenderedPageBreak/>
              <w:t>kwalifikuje ich jako próbki pojazdu, przedmiotu wyposażenia lub części i kończy kontrolę.</w:t>
            </w:r>
          </w:p>
          <w:p w14:paraId="75C77607" w14:textId="77777777" w:rsidR="00164ACC" w:rsidRPr="00FB76A9" w:rsidRDefault="00164ACC"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7. W przypadku, gdy pojazd, przedmiot wyposażenia lub część pozyskane w ramach zakupu kontrolnego nie zostaną zakwalifikowane jako próbka pojazdu, przedmiotu wyposażenia lub części, upoważnienie do przeprowadzenia kontroli oraz legitymacja służbowa są okazywane podmiotowi gospodarczemu lub posiadaczowi pojazdu, przedmiotu wyposażenia lub części, niebędącego użytkownikiem końcowym, w terminie 7 dni od dnia sporządzenia protokołu z kontroli.</w:t>
            </w:r>
          </w:p>
          <w:p w14:paraId="0007EE92"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8. W przypadku gdy pojazd, przedmiot wyposażenia lub część pozyskane w ramach zakupu kontrolnego zostaną zakwalifikowane jako próbka, upoważnienie do przeprowadzenia kontroli oraz legitymacja służbowa są okazywane podmiotowi gospodarczemu lub posiadaczowi pojazdu, przedmiotu wyposażenia lub części, niebędącego użytkownikiem końcowym,  w terminie 7 dni od dnia sporządzenia protokołu z kontroli lub otrzymania przez Dyrektora TDT jako organ nadzoru rynku sprawozdania z badań  w ramach kontroli laboratoryjnej, o której mowa w art. 68z ust. 1.</w:t>
            </w:r>
          </w:p>
          <w:p w14:paraId="4B580C9D"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9. Upoważnienie do przeprowadzenia kontroli rozpoczętej po dokonaniu zakupu kontrolnego, poza danymi wskazanymi w art. 68zb ust. 4 pkt 1-3, 5-8 i 10, zawiera także dane dotyczące kontrolującego, o których mowa w ust. 12.</w:t>
            </w:r>
          </w:p>
          <w:p w14:paraId="0BE8B802"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10. Do czasu trwania kontroli nie wlicza się okresu po dokonaniu zakupu kontrolnego, a przed okazaniem podmiotowi gospodarczemu lub posiadaczowi pojazdu, przedmiotu wyposażenia lub części upoważnienia do przeprowadzenia kontroli oraz legitymacji służbowej.</w:t>
            </w:r>
          </w:p>
          <w:p w14:paraId="79E7E516"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11. W celu zapewnienia anonimowości kontrolujący jest uprawniony do posługiwania się innym niż rzeczywiste imieniem i nazwiskiem oraz adresem zamieszkania, a także innym niż służbowy adresem mailowym, którego login nie ujawnia tożsamości kontrolującego.</w:t>
            </w:r>
          </w:p>
          <w:p w14:paraId="504C7E51"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12. Dyrektor TDT jako organ nadzoru rynku prowadzi bazę fikcyjnych imion i nazwisk, adresów zamieszkania oraz adresów mailowych, spośród których losowo jest wybierane imię i nazwisko, adres zamieszkania oraz adres mailowy, o których mowa w ust. 11.</w:t>
            </w:r>
          </w:p>
          <w:p w14:paraId="2196D70C"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13. Pojazd, przedmiot wyposażenia lub część pozyskane podczas kontroli prowadzonej poprzez zakup kontrolny, są poddawane kontroli fizycznej.</w:t>
            </w:r>
          </w:p>
          <w:p w14:paraId="32C4B73C"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14. Do zakupu kontrolnego, w zakresie nieuregulowanym w niniejszym artykule, stosuje się odpowiednio przepisy art. 68y, art. 68za, art. 68zb, art. 68zc oraz art. 68zf ust. 7–10, 14 i 15.  </w:t>
            </w:r>
            <w:r w:rsidRPr="00FB76A9">
              <w:rPr>
                <w:rFonts w:ascii="Times New Roman" w:hAnsi="Times New Roman" w:cs="Times New Roman"/>
                <w:szCs w:val="24"/>
              </w:rPr>
              <w:tab/>
            </w:r>
          </w:p>
          <w:p w14:paraId="3FB64466" w14:textId="77777777" w:rsidR="00164ACC" w:rsidRPr="00FB76A9" w:rsidRDefault="00164ACC"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68zh. 1. Dyrektor TDT jako organ nadzoru rynku planuje działania w zakresie nadzoru rynku zgodnie z kryteriami określonymi w art. 1 rozporządzenia wykonawczego Komisji (UE) 2022/163 z dnia 7 lutego 2022 r. ustanawiającego przepisy dotyczące stosowania </w:t>
            </w:r>
            <w:r w:rsidRPr="00FB76A9">
              <w:rPr>
                <w:rFonts w:ascii="Times New Roman" w:hAnsi="Times New Roman" w:cs="Times New Roman"/>
                <w:szCs w:val="24"/>
              </w:rPr>
              <w:lastRenderedPageBreak/>
              <w:t>rozporządzenia Parlamentu Europejskiego i Rady (UE) 2018/858 w odniesieniu do wymogów funkcjonalnych dotyczących nadzoru rynku w zakresie pojazdów, układów, komponentów i oddzielnych zespołów technicznych (Dz. Urz. UE L 27 z 08.02.2022, str. 1) oraz przeprowadza regularne badania laboratoryjne pojazdów, przedmiotów wyposażenia lub części, o których mowa w art. 7 ust. 2 rozporządzenia 167/2013, art. 8 ust. 2 rozporządzenia 168/2013 oraz art. 8 rozporządzenia 2018/858.</w:t>
            </w:r>
          </w:p>
          <w:p w14:paraId="4E6AE175"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Pojazdy, przedmioty wyposażenia lub części są pobierane nieodpłatnie przez Dyrektora TDT jako organ nadzoru rynku do badań, o których mowa w ust. 1, od podmiotu gospodarczego lub posiadacza pojazdu, przedmiotu wyposażenia lub części, niebędącego użytkownikiem końcowym.</w:t>
            </w:r>
          </w:p>
          <w:p w14:paraId="75582EA0"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Do pobrania pojazdu, przedmiotu wyposażenia lub części do badań laboratoryjnych, o którym mowa w ust. 1, stosuje się odpowiednio przepisy art. 68zb.</w:t>
            </w:r>
          </w:p>
          <w:p w14:paraId="5301AA42"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Dyrektor TDT jako organ nadzoru rynku przeprowadza kontrolę fizyczną pojazdu, przedmiotu wyposażenia lub części, a następnie poddaje pobrany pojazd, przedmiot wyposażenia lub część, badaniom laboratoryjnym, zlecając ich przeprowadzenie laboratorium badawczemu, o którym mowa w art. 68zi.</w:t>
            </w:r>
          </w:p>
          <w:p w14:paraId="01ED82D1"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Z badań laboratoryjnych, o których mowa w ust. 4, sporządza się sprawozdanie z badań.</w:t>
            </w:r>
          </w:p>
          <w:p w14:paraId="0FC0416E"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6. Po przeprowadzeniu badań laboratoryjnych, o których mowa w ust. 4, Dyrektor TDT jako organ nadzoru rynku zwraca podmiotowi gospodarczemu lub posiadaczowi pojazdu, przedmiotu wyposażenia lub części, niebędącego użytkownikiem końcowym, pojazd, przedmiot wyposażenia lub część wraz z protokołem z kontroli oraz ze sprawozdaniem z badań.</w:t>
            </w:r>
          </w:p>
          <w:p w14:paraId="5D9AC099" w14:textId="77777777" w:rsidR="00164ACC" w:rsidRPr="00FB76A9" w:rsidRDefault="00CF3C6A"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68zi.</w:t>
            </w:r>
            <w:r w:rsidRPr="00FB76A9">
              <w:rPr>
                <w:rStyle w:val="Ppogrubienie"/>
                <w:rFonts w:ascii="Times New Roman" w:hAnsi="Times New Roman" w:cs="Times New Roman"/>
                <w:szCs w:val="24"/>
              </w:rPr>
              <w:t xml:space="preserve"> </w:t>
            </w:r>
            <w:r w:rsidRPr="00FB76A9">
              <w:rPr>
                <w:rFonts w:ascii="Times New Roman" w:hAnsi="Times New Roman" w:cs="Times New Roman"/>
                <w:szCs w:val="24"/>
              </w:rPr>
              <w:t xml:space="preserve">Laboratorium </w:t>
            </w:r>
            <w:r w:rsidRPr="00226CB0">
              <w:rPr>
                <w:rFonts w:ascii="Times New Roman" w:hAnsi="Times New Roman" w:cs="Times New Roman"/>
                <w:szCs w:val="24"/>
              </w:rPr>
              <w:t>badawcze</w:t>
            </w:r>
            <w:r w:rsidR="00226CB0">
              <w:rPr>
                <w:rFonts w:ascii="Times New Roman" w:hAnsi="Times New Roman" w:cs="Times New Roman"/>
                <w:strike/>
                <w:szCs w:val="24"/>
              </w:rPr>
              <w:t xml:space="preserve"> </w:t>
            </w:r>
            <w:r w:rsidRPr="00226CB0">
              <w:rPr>
                <w:rFonts w:ascii="Times New Roman" w:hAnsi="Times New Roman" w:cs="Times New Roman"/>
                <w:szCs w:val="24"/>
              </w:rPr>
              <w:t>powinno:</w:t>
            </w:r>
          </w:p>
          <w:p w14:paraId="14DBA1CC"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być krajowym laboratorium badawczym lub laboratorium sieci Unii Europejskiej;</w:t>
            </w:r>
          </w:p>
          <w:p w14:paraId="48DADE62"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być osobą prawną ustanowioną na mocy prawa państwa członkowskiego Unii Europejskiej;</w:t>
            </w:r>
          </w:p>
          <w:p w14:paraId="0F923630"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posiadać akredytację zgodnie z wymogami określonymi w normie PN-EN ISO/IEC 17025 lub EN ISO/IEC 17025 w sprawie ogólnych wymagań dotyczących kompetencji laboratoriów badawczych i wzorcujących, w zakresie badań przeprowadzanych na wniosek Dyrektora TDT jako organu nadzoru rynku;</w:t>
            </w:r>
          </w:p>
          <w:p w14:paraId="77358815"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w:t>
            </w:r>
            <w:r w:rsidRPr="00FB76A9">
              <w:rPr>
                <w:rFonts w:ascii="Times New Roman" w:hAnsi="Times New Roman" w:cs="Times New Roman"/>
                <w:szCs w:val="24"/>
              </w:rPr>
              <w:tab/>
              <w:t>nie być zaangażowane w proces projektowania, produkcji, dostaw lub konserwacji pojazdów, przedmiotów wyposażenia lub części, które ocenia lub bada;</w:t>
            </w:r>
          </w:p>
          <w:p w14:paraId="5BB273C1"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5) </w:t>
            </w:r>
            <w:r w:rsidRPr="00FB76A9">
              <w:rPr>
                <w:rFonts w:ascii="Times New Roman" w:hAnsi="Times New Roman" w:cs="Times New Roman"/>
                <w:szCs w:val="24"/>
              </w:rPr>
              <w:tab/>
              <w:t xml:space="preserve">być w pełni bezstronne i niezależne w zakresie organizacji i sposobu działania wynikającego z prawa własności, podległości, zarządzania, personelu, </w:t>
            </w:r>
            <w:r w:rsidRPr="00FB76A9">
              <w:rPr>
                <w:rFonts w:ascii="Times New Roman" w:hAnsi="Times New Roman" w:cs="Times New Roman"/>
                <w:szCs w:val="24"/>
              </w:rPr>
              <w:lastRenderedPageBreak/>
              <w:t>współdzielonych zasobów, finansów, umów, działalności marketingowej, łącznie z promowaniem marki, prowizji od sprzedaży lub innych środków motywacyjnych w celu pozyskania nowych klientów;</w:t>
            </w:r>
          </w:p>
          <w:p w14:paraId="680FA321"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6) </w:t>
            </w:r>
            <w:r w:rsidRPr="00FB76A9">
              <w:rPr>
                <w:rFonts w:ascii="Times New Roman" w:hAnsi="Times New Roman" w:cs="Times New Roman"/>
                <w:szCs w:val="24"/>
              </w:rPr>
              <w:tab/>
              <w:t>identyfikować oraz nadzorować ryzyka związane z działalnością, bezstronnością, niezależnością oraz poufnością;</w:t>
            </w:r>
          </w:p>
          <w:p w14:paraId="3AF21808"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7) </w:t>
            </w:r>
            <w:r w:rsidRPr="00FB76A9">
              <w:rPr>
                <w:rFonts w:ascii="Times New Roman" w:hAnsi="Times New Roman" w:cs="Times New Roman"/>
                <w:szCs w:val="24"/>
              </w:rPr>
              <w:tab/>
              <w:t>przedstawić oświadczenie stwierdzające, że przestrzega poufności w kontekście ochrony tajemnicy handlowej i ochrony danych osobowych oraz że jego pracownicy przestrzegają tajemnicy zawodowej w odniesieniu do wszystkich informacji przekazywanych przez producentów, w tym świadectw homologacji typu i załączników do nich oraz danych udostępnianych przez Dyrektora TDT jako organu nadzoru rynku.</w:t>
            </w:r>
          </w:p>
          <w:p w14:paraId="7490CC16" w14:textId="77777777" w:rsidR="00164ACC" w:rsidRPr="00FB76A9" w:rsidRDefault="00164ACC"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68zj. 1. Na podstawie negatywnych wyników przeprowadzonych czynności wyjaśniających lub kontroli pojazdu, przedmiotu wyposażenia lub części w zakresie spełnienia wymagań technicznych lub stwarzania poważnego ryzyka, przeprowadzonej u podmiotu gospodarczego lub posiadacza pojazdu, przedmiotu wyposażenia lub części  niebędącego użytkownikiem końcowym, lub negatywnych wyników badań laboratoryjnych, o których mowa w art. 68zh ust. 1, Dyrektor TDT jako organ nadzoru rynku wszczyna z urzędu postępowanie administracyjne, zakończone wydaniem decyzji administracyjnej w sprawie stwierdzenia </w:t>
            </w:r>
            <w:r w:rsidRPr="00FB76A9">
              <w:rPr>
                <w:rFonts w:ascii="Times New Roman" w:hAnsi="Times New Roman" w:cs="Times New Roman"/>
                <w:szCs w:val="24"/>
              </w:rPr>
              <w:lastRenderedPageBreak/>
              <w:t>niezgodności pojazdu, przedmiotu wyposażenia lub części z wymaganiami technicznymi lub stwarzania przez nie poważnego ryzyka.</w:t>
            </w:r>
          </w:p>
          <w:p w14:paraId="71F25862" w14:textId="77777777" w:rsidR="00164ACC" w:rsidRPr="00FB76A9" w:rsidRDefault="00164ACC"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2. Użytkownik końcowy, o którym mowa w art. 68y ust. 1 pkt 3, nie jest stroną postępowania, o którym mowa w ust. 1.</w:t>
            </w:r>
          </w:p>
          <w:p w14:paraId="7935931F" w14:textId="77777777" w:rsidR="00164ACC" w:rsidRPr="00FB76A9" w:rsidRDefault="00164ACC" w:rsidP="00FD5CD5">
            <w:pPr>
              <w:suppressAutoHyphens/>
              <w:autoSpaceDE w:val="0"/>
              <w:autoSpaceDN w:val="0"/>
              <w:adjustRightInd w:val="0"/>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3. Raport z czynności wyjaśniających, o którym mowa w art. 68z ust. 7, protokół z kontroli, o którym mowa w art. 68zc ust. 1 wraz z aktami kontroli, lub sprawozdanie z badań, o którym mowa w art. 68zh ust. 5, stanowią dowody w sprawie. </w:t>
            </w:r>
          </w:p>
          <w:p w14:paraId="1759FF48" w14:textId="77777777" w:rsidR="00164ACC" w:rsidRPr="00FB76A9" w:rsidRDefault="00164ACC"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4. Do zawiadomienie o wszczęciu postępowania, o którym mowa w ust. 1, dołącza się dokumenty, o których mowa w ust. 3.</w:t>
            </w:r>
          </w:p>
          <w:p w14:paraId="72A319BC" w14:textId="77777777" w:rsidR="00164ACC" w:rsidRPr="00FB76A9" w:rsidRDefault="00164ACC"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Art. 68zk. 1. Dyrektor TDT jako organ nadzoru rynku w decyzji, o której mowa w art. 68zj ust. 1, nakazuje podmiotowi gospodarczemu w określonym terminie:</w:t>
            </w:r>
          </w:p>
          <w:p w14:paraId="761F446B"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podać do publicznej wiadomości w sposób wskazany w decyzji informację o pojeździe, przedmiocie wyposażenia lub części objętych obowiązkiem wycofania z obrotu lub użytkowania oraz</w:t>
            </w:r>
          </w:p>
          <w:p w14:paraId="2890B848"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 xml:space="preserve">usunięcie niezgodności z wymaganiami technicznymi lub usunięcie ryzyka, a w przypadku gdy ich usunięcie nie jest możliwe, zakazuje udostępniania na rynku pojazdu, przedmiotu wyposażenia lub części; w przypadku gdy pojazd, przedmiot wyposażenia lub część zostały już udostępnione, nakazuje ich wycofanie z </w:t>
            </w:r>
            <w:r w:rsidRPr="00FB76A9">
              <w:rPr>
                <w:rFonts w:ascii="Times New Roman" w:hAnsi="Times New Roman" w:cs="Times New Roman"/>
                <w:szCs w:val="24"/>
              </w:rPr>
              <w:lastRenderedPageBreak/>
              <w:t xml:space="preserve">obrotu lub użytkowania oraz nakazuje odkupienie pojazdu, przedmiotu wyposażenia lub części od użytkowników końcowych albo wymianę na nowy pojazd, przedmiot wyposażenia lub część zgodne z wymaganiami technicznymi. </w:t>
            </w:r>
          </w:p>
          <w:p w14:paraId="52FA5BED"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W decyzji, o której mowa w art. 68zj ust. 1, Dyrektor TDT jako organ nadzoru rynku może:</w:t>
            </w:r>
          </w:p>
          <w:p w14:paraId="69A56EA8"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określić warunki na jakich pojazd, przedmiot wyposażenia lub część mogą być udostępniane na rynku;</w:t>
            </w:r>
          </w:p>
          <w:p w14:paraId="0A9321E3"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nakazać umieszczenie na pojeździe, przedmiocie wyposażenia lub części ostrzeżeń o ryzyku jakie pojazd, przedmiot wyposażenia lub część mogą stwarzać;</w:t>
            </w:r>
          </w:p>
          <w:p w14:paraId="4987C8CC" w14:textId="77777777" w:rsidR="00164ACC" w:rsidRPr="00FB76A9" w:rsidRDefault="00CF3C6A"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r>
            <w:r w:rsidRPr="00226CB0">
              <w:t>nakazać zniszczenie pojazdu, przedmiotu wyposażenia lub części, w przypadku, gdy pojazd, przedmiot wyposażenia lub część stwarzają poważne ryzyko i nie da się tego ryzyka usunąć – w określonym terminie po odkupieniu pojazdu, przedmiotu wyposażenia lub części od użytkownika końcowego albo wymianie na nowy pojazd, przedmiot wyposażenia lub część zgodną z wymaganiami technicznymi,</w:t>
            </w:r>
          </w:p>
          <w:p w14:paraId="792F10F3"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4)</w:t>
            </w:r>
            <w:r w:rsidRPr="00FB76A9">
              <w:rPr>
                <w:rFonts w:ascii="Times New Roman" w:hAnsi="Times New Roman" w:cs="Times New Roman"/>
                <w:szCs w:val="24"/>
              </w:rPr>
              <w:tab/>
              <w:t>nakazać usunięcie lub zablokowanie dostępu do ofert dotyczących pojazdu, przedmiotu wyposażenia i części</w:t>
            </w:r>
          </w:p>
          <w:p w14:paraId="1DAA2820"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 w zależności od rodzaju stwierdzonych niezgodności z wymaganiami technicznymi lub stopnia ryzyka stwarzanego przez pojazd, przedmiot wyposażenia lub część. </w:t>
            </w:r>
          </w:p>
          <w:p w14:paraId="23D21231"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3. Podmiot lub osoba posiadająca tytuł prawny do pojazdu, przedmiotu wyposażenia lub części objętego decyzją, o której mowa w art. 68zj ust. 1, ma prawo żądać od podmiotu gospodarczego, który wprowadził do obrotu ten pojazd, przedmiot wyposażenia lub część, odkupienia po cenie sprzedaży albo wymiany na nowy pojazd, przedmiot wyposażenia lub część spełniające wymagania techniczne lub niestwarzające poważnego ryzyka.</w:t>
            </w:r>
          </w:p>
          <w:p w14:paraId="4D10AEFA"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W przypadku braku realizacji żądania, o którym mowa w ust. 3, podmiot lub osoba posiadająca tytuł prawny, o której mowa w ust. 3, powiadamia o tym Dyrektora TDT jako organ nadzoru rynku. </w:t>
            </w:r>
          </w:p>
          <w:p w14:paraId="14158A1C"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5. Podmiot gospodarczy powiadamia Dyrektora TDT jako organ nadzoru rynku o wykonaniu decyzji, o której mowa w art. 68zj ust. 1, w terminie 14 dni od dnia upływu terminu wskazanego w tej decyzji. </w:t>
            </w:r>
          </w:p>
          <w:p w14:paraId="19600D1F" w14:textId="77777777" w:rsidR="00164ACC" w:rsidRPr="00FB76A9" w:rsidRDefault="00164ACC" w:rsidP="00FD5CD5">
            <w:pPr>
              <w:pStyle w:val="USTustnpkodeksu"/>
              <w:spacing w:line="240" w:lineRule="auto"/>
              <w:ind w:left="510"/>
              <w:jc w:val="left"/>
              <w:rPr>
                <w:rFonts w:ascii="Times New Roman" w:hAnsi="Times New Roman" w:cs="Times New Roman"/>
                <w:szCs w:val="24"/>
              </w:rPr>
            </w:pPr>
            <w:r w:rsidRPr="00FB76A9">
              <w:rPr>
                <w:rFonts w:ascii="Times New Roman" w:hAnsi="Times New Roman" w:cs="Times New Roman"/>
                <w:szCs w:val="24"/>
              </w:rPr>
              <w:t xml:space="preserve">6. Jeżeli podmiot gospodarczy nie wykonał decyzji, o której mowa w art. 68zj ust. 1, w zakresie określonym w art. 68zk ust. 2 pkt 4, Dyrektor TDT jako organ nadzoru rynku, w drodze decyzji administracyjnej nakazuje operatorowi platformy usunięcie z interfejsu online treści odnoszących się do oferty pojazdów, przedmiotów wyposażenia lub części, zawieszenie konta podmiotu gospodarczego na platformie lub wyświetlanie wyraźnego ostrzeżenia dla użytkowników końcowych uzyskujących dostęp </w:t>
            </w:r>
            <w:r w:rsidRPr="00FB76A9">
              <w:rPr>
                <w:rFonts w:ascii="Times New Roman" w:hAnsi="Times New Roman" w:cs="Times New Roman"/>
                <w:szCs w:val="24"/>
              </w:rPr>
              <w:lastRenderedPageBreak/>
              <w:t>do oferty tego pojazdu, przedmiotu wyposażenia lub części.</w:t>
            </w:r>
          </w:p>
          <w:p w14:paraId="14E4138A" w14:textId="77777777" w:rsidR="00164ACC" w:rsidRPr="00FB76A9" w:rsidRDefault="00164ACC" w:rsidP="00FD5CD5">
            <w:pPr>
              <w:pStyle w:val="USTustnpkodeksu"/>
              <w:spacing w:line="240" w:lineRule="auto"/>
              <w:ind w:left="510"/>
              <w:jc w:val="left"/>
              <w:rPr>
                <w:rFonts w:ascii="Times New Roman" w:hAnsi="Times New Roman" w:cs="Times New Roman"/>
                <w:szCs w:val="24"/>
              </w:rPr>
            </w:pPr>
            <w:r w:rsidRPr="00FB76A9">
              <w:rPr>
                <w:rFonts w:ascii="Times New Roman" w:hAnsi="Times New Roman" w:cs="Times New Roman"/>
                <w:szCs w:val="24"/>
              </w:rPr>
              <w:t>7. W decyzji, o której mowa w ust. 6, określa się:</w:t>
            </w:r>
          </w:p>
          <w:p w14:paraId="0CCE4E3B" w14:textId="77777777" w:rsidR="00164ACC" w:rsidRPr="00FB76A9" w:rsidRDefault="00164ACC" w:rsidP="00FD5CD5">
            <w:pPr>
              <w:pStyle w:val="PKTpunkt"/>
              <w:spacing w:line="240" w:lineRule="auto"/>
              <w:ind w:left="102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nazwę podmiotu gospodarczego, wobec którego wydano decyzję, o której mowa w art. 68zj ust. 1;</w:t>
            </w:r>
          </w:p>
          <w:p w14:paraId="619BF0A4" w14:textId="77777777" w:rsidR="00164ACC" w:rsidRPr="00FB76A9" w:rsidRDefault="00164ACC" w:rsidP="00FD5CD5">
            <w:pPr>
              <w:pStyle w:val="PKTpunkt"/>
              <w:spacing w:line="240" w:lineRule="auto"/>
              <w:ind w:left="102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określenie treści odnoszących się do oferty dotyczących pojazdu, przedmiotu wyposażenia lub części objętego decyzją, o której mowa w art. 68zj ust. 1;</w:t>
            </w:r>
          </w:p>
          <w:p w14:paraId="366BC129" w14:textId="77777777" w:rsidR="00164ACC" w:rsidRPr="00FB76A9" w:rsidRDefault="00164ACC" w:rsidP="00FD5CD5">
            <w:pPr>
              <w:pStyle w:val="PKTpunkt"/>
              <w:spacing w:line="240" w:lineRule="auto"/>
              <w:ind w:left="1020"/>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określenie treści nakazu, w tym treść ostrzeżenia dla użytkowników końcowych;</w:t>
            </w:r>
          </w:p>
          <w:p w14:paraId="5EDE05DA" w14:textId="77777777" w:rsidR="00164ACC" w:rsidRPr="00FB76A9" w:rsidRDefault="00164ACC" w:rsidP="00FD5CD5">
            <w:pPr>
              <w:pStyle w:val="ZUSTzmustartykuempunktem"/>
              <w:keepNext/>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4)</w:t>
            </w:r>
            <w:r w:rsidRPr="00FB76A9">
              <w:rPr>
                <w:rFonts w:ascii="Times New Roman" w:hAnsi="Times New Roman" w:cs="Times New Roman"/>
                <w:szCs w:val="24"/>
              </w:rPr>
              <w:tab/>
              <w:t>termin wykonania decyzji.</w:t>
            </w:r>
          </w:p>
          <w:p w14:paraId="069372BC" w14:textId="77777777" w:rsidR="00164ACC" w:rsidRPr="00FB76A9" w:rsidRDefault="00164ACC"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8. Jeżeli podmiot gospodarczy nie wykonał decyzji, o której mowa w art. 68zj ust. 1 w zakresie określonym w art. 68zk ust. 2 pkt 4, oraz jeżeli jest konieczne podjęcie natychmiastowego działania mającego na celu usunięcie poważnego ryzyka stwarzanego przez pojazd, przedmiot wyposażenia lub część objętego decyzją lub doprowadzenie ich do stanu zgodności z wymaganiami technicznymi, Dyrektor TDT jako organ nadzoru rynku w drodze decyzji administracyjnej, nakazuje dostawcy usług społeczeństwa informacyjnego nieodpłatne ograniczenie temu podmiotowi, dostępu do interfejsu online lub wyłączenie dostępu do interfejsu online.</w:t>
            </w:r>
          </w:p>
          <w:p w14:paraId="61A55768" w14:textId="77777777" w:rsidR="00164ACC" w:rsidRPr="00FB76A9" w:rsidRDefault="00164ACC" w:rsidP="00FD5CD5">
            <w:pPr>
              <w:pStyle w:val="USTustnpkodeksu"/>
              <w:spacing w:line="240" w:lineRule="auto"/>
              <w:ind w:left="510"/>
              <w:jc w:val="left"/>
              <w:rPr>
                <w:rFonts w:ascii="Times New Roman" w:hAnsi="Times New Roman" w:cs="Times New Roman"/>
                <w:szCs w:val="24"/>
              </w:rPr>
            </w:pPr>
            <w:r w:rsidRPr="00FB76A9">
              <w:rPr>
                <w:rFonts w:ascii="Times New Roman" w:hAnsi="Times New Roman" w:cs="Times New Roman"/>
                <w:szCs w:val="24"/>
              </w:rPr>
              <w:t>9. W decyzji, o której mowa w ust. 8, określa się:</w:t>
            </w:r>
          </w:p>
          <w:p w14:paraId="1F172B11" w14:textId="77777777" w:rsidR="00164ACC" w:rsidRPr="00FB76A9" w:rsidRDefault="00164ACC" w:rsidP="00FD5CD5">
            <w:pPr>
              <w:pStyle w:val="PKTpunkt"/>
              <w:spacing w:line="240" w:lineRule="auto"/>
              <w:ind w:left="1020"/>
              <w:jc w:val="left"/>
              <w:rPr>
                <w:rFonts w:ascii="Times New Roman" w:hAnsi="Times New Roman" w:cs="Times New Roman"/>
                <w:szCs w:val="24"/>
              </w:rPr>
            </w:pPr>
            <w:r w:rsidRPr="00FB76A9">
              <w:rPr>
                <w:rFonts w:ascii="Times New Roman" w:hAnsi="Times New Roman" w:cs="Times New Roman"/>
                <w:szCs w:val="24"/>
              </w:rPr>
              <w:lastRenderedPageBreak/>
              <w:t>1)</w:t>
            </w:r>
            <w:r w:rsidRPr="00FB76A9">
              <w:rPr>
                <w:rFonts w:ascii="Times New Roman" w:hAnsi="Times New Roman" w:cs="Times New Roman"/>
                <w:szCs w:val="24"/>
              </w:rPr>
              <w:tab/>
              <w:t>nazwę podmiotu gospodarczego, wobec którego wydano decyzję, o której mowa w art. 68zj ust. 1;</w:t>
            </w:r>
          </w:p>
          <w:p w14:paraId="56DBEF6F" w14:textId="77777777" w:rsidR="00164ACC" w:rsidRPr="00FB76A9" w:rsidRDefault="00164ACC" w:rsidP="00FD5CD5">
            <w:pPr>
              <w:pStyle w:val="PKTpunkt"/>
              <w:spacing w:line="240" w:lineRule="auto"/>
              <w:ind w:left="102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szczegółowe dane dotyczące interfejsu online, do którego dostęp podlega ograniczeniu lub wyłączeniu;</w:t>
            </w:r>
          </w:p>
          <w:p w14:paraId="4E7D615F" w14:textId="77777777" w:rsidR="00164ACC" w:rsidRPr="00FB76A9" w:rsidRDefault="00164ACC" w:rsidP="00FD5CD5">
            <w:pPr>
              <w:pStyle w:val="ZUSTzmustartykuempunktem"/>
              <w:keepNext/>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termin wykonania decyzji.</w:t>
            </w:r>
          </w:p>
          <w:p w14:paraId="3B0D5081" w14:textId="77777777" w:rsidR="00164ACC" w:rsidRPr="00FB76A9" w:rsidRDefault="00164ACC" w:rsidP="00FD5CD5">
            <w:pPr>
              <w:pStyle w:val="ZUSTzmustartykuempunktem"/>
              <w:tabs>
                <w:tab w:val="left" w:pos="3969"/>
              </w:tabs>
              <w:spacing w:line="240" w:lineRule="auto"/>
              <w:jc w:val="left"/>
              <w:rPr>
                <w:rFonts w:ascii="Times New Roman" w:hAnsi="Times New Roman" w:cs="Times New Roman"/>
                <w:szCs w:val="24"/>
              </w:rPr>
            </w:pPr>
            <w:r w:rsidRPr="00FB76A9">
              <w:rPr>
                <w:rFonts w:ascii="Times New Roman" w:hAnsi="Times New Roman" w:cs="Times New Roman"/>
                <w:szCs w:val="24"/>
              </w:rPr>
              <w:t xml:space="preserve">10. Decyzje, o których mowa w ust. 6 i 8, podlegają natychmiastowemu  wykonaniu. </w:t>
            </w:r>
          </w:p>
          <w:p w14:paraId="08D63A49"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11. Operator platformy oraz dostawca usług społeczeństwa informacyjnego powiadamia Dyrektora TDT jako organ nadzoru rynku o wykonaniu decyzji, o której mowa w ust. 6 i 8, w terminie 14 dni od upływu tego termin wskazanego w tej decyzji.</w:t>
            </w:r>
          </w:p>
          <w:p w14:paraId="1D86B8B2" w14:textId="77777777" w:rsidR="00164ACC" w:rsidRPr="00FB76A9" w:rsidRDefault="00164ACC" w:rsidP="00FD5CD5">
            <w:pPr>
              <w:pStyle w:val="ZUSTzmustartykuempunktem"/>
              <w:tabs>
                <w:tab w:val="left" w:pos="3969"/>
              </w:tabs>
              <w:spacing w:line="240" w:lineRule="auto"/>
              <w:jc w:val="left"/>
              <w:rPr>
                <w:rFonts w:ascii="Times New Roman" w:hAnsi="Times New Roman" w:cs="Times New Roman"/>
                <w:szCs w:val="24"/>
              </w:rPr>
            </w:pPr>
            <w:r w:rsidRPr="00FB76A9">
              <w:rPr>
                <w:rFonts w:ascii="Times New Roman" w:hAnsi="Times New Roman" w:cs="Times New Roman"/>
                <w:szCs w:val="24"/>
              </w:rPr>
              <w:t>12. W przypadku, gdy organ nadzoru rynku innego państwa członkowskiego Unii Europejskiej lub Komisja Europejska wyda decyzję o wycofaniu z obrotu lub użytkowania pojazdu, przedmiotu wyposażenia lub części, Dyrektor TDT jako organ nadzoru rynku z urzędu wszczyna postępowanie administracyjne w tej sprawie i wydaje decyzję administracyjną o wycofaniu z obrotu lub użytkowania takiego pojazdu, przedmiotu wyposażenia lub części na terytorium Rzeczypospolitej Polskiej.</w:t>
            </w:r>
          </w:p>
          <w:p w14:paraId="546844A7" w14:textId="77777777" w:rsidR="00164ACC" w:rsidRPr="00FB76A9" w:rsidRDefault="00164ACC" w:rsidP="00FD5CD5">
            <w:pPr>
              <w:pStyle w:val="ZUSTzmustartykuempunktem"/>
              <w:tabs>
                <w:tab w:val="left" w:pos="3969"/>
              </w:tabs>
              <w:spacing w:line="240" w:lineRule="auto"/>
              <w:jc w:val="left"/>
              <w:rPr>
                <w:rFonts w:ascii="Times New Roman" w:hAnsi="Times New Roman" w:cs="Times New Roman"/>
                <w:szCs w:val="24"/>
              </w:rPr>
            </w:pPr>
            <w:r w:rsidRPr="00FB76A9">
              <w:rPr>
                <w:rFonts w:ascii="Times New Roman" w:hAnsi="Times New Roman" w:cs="Times New Roman"/>
                <w:szCs w:val="24"/>
              </w:rPr>
              <w:t xml:space="preserve">13. W przypadku, gdy decyzja, o której mowa w art. 68zj ust. 1, dotyczy dystrybutora, środki naprawcze przewidziane w decyzji mają zastosowanie wyłącznie wobec pojazdów, przedmiotów wyposażenia lub części, które zostały przez niego udostępnione na rynku. </w:t>
            </w:r>
          </w:p>
          <w:p w14:paraId="3F1E9927" w14:textId="77777777" w:rsidR="00164ACC" w:rsidRPr="00FB76A9" w:rsidRDefault="00164ACC" w:rsidP="00FD5CD5">
            <w:pPr>
              <w:suppressAutoHyphens/>
              <w:autoSpaceDE w:val="0"/>
              <w:autoSpaceDN w:val="0"/>
              <w:adjustRightInd w:val="0"/>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lastRenderedPageBreak/>
              <w:t>Art. 68zl. 1. Dyrektor TDT jako organ nadzoru rynku po wydaniu decyzji, o której mowa w art. 68zj ust. 1 lub art. 68zk ust. 12, informuje organ właściwy w sprawach homologacji, który przeprowadził ocenę zgodności pojazdu, przedmiotu wyposażenia lub części, o stwierdzeniu niezgodności z wymaganiami technicznymi lub stwarzaniu przez pojazd, przedmiot wyposażenia lub część poważnego ryzyka, wskazując stwierdzone niezgodności lub ryzyka.</w:t>
            </w:r>
          </w:p>
          <w:p w14:paraId="13E648E2"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Dyrektor TDT jako organ nadzoru rynku powiadamia o wydaniu decyzji, o której mowa w art. 68zj ust. 1 lub art. 68zk ust. 12, w tym podjętych środków naprawczych, opinię publiczną w trybie określonym w art. 68zt oraz przekazuje informację o wydaniu decyzji Komisji Europejskiej oraz organom nadzoru rynku w państwach członkowskich Unii Europejskiej za pomocą systemu Safety Gate oraz systemu ICSMS.</w:t>
            </w:r>
          </w:p>
          <w:p w14:paraId="0486C62B" w14:textId="77777777" w:rsidR="00164ACC" w:rsidRPr="00FB76A9" w:rsidRDefault="00164ACC"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3. Dyrektor TDT jako organ nadzoru rynku przekazuje do ewidencji informacje, o wydaniu decyzji, o której mowa w art. 68zj ust. 1 lub art. 68zk ust. 12, w zakresie wycofania pojazdu z obrotu lub użytkowania.</w:t>
            </w:r>
          </w:p>
          <w:p w14:paraId="416D1EB6" w14:textId="77777777" w:rsidR="00164ACC" w:rsidRPr="00FB76A9" w:rsidRDefault="00164ACC"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Art. 68zm. Dyrektor TDT jako organ nadzoru rynku wydaje decyzję o umorzeniu postępowania, o którym mowa w art. 68zj  ust. 1, w przypadku gdy:</w:t>
            </w:r>
          </w:p>
          <w:p w14:paraId="124003B6"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 xml:space="preserve">stwierdzi, że pojazd, przedmiot wyposażenia lub część są zgodne z wymaganiami </w:t>
            </w:r>
            <w:r w:rsidRPr="00FB76A9">
              <w:rPr>
                <w:rFonts w:ascii="Times New Roman" w:hAnsi="Times New Roman" w:cs="Times New Roman"/>
                <w:szCs w:val="24"/>
              </w:rPr>
              <w:lastRenderedPageBreak/>
              <w:t>technicznymi lub nie stwarzają poważnego ryzyka;</w:t>
            </w:r>
          </w:p>
          <w:p w14:paraId="3CDB1D8E"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postępowanie z innych przyczyn stało się bezprzedmiotowe.</w:t>
            </w:r>
          </w:p>
          <w:p w14:paraId="3D09B285"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68zn. W przypadku wydania decyzji, o której mowa w art. 68zj ust. 1, w której stwierdzono, iż pojazd, przedmiot wyposażenia lub część stwarzają poważne ryzyko oraz znajdują się w posiadaniu użytkowników końcowych, Dyrektor TDT jako organ nadzoru rynku publikuje na stronie podmiotowej Transportowego Dozoru Technicznego informację o możliwości zwrotu pojazdu, przedmiotu wyposażenia lub części do podmiotu gospodarczego, który wprowadził do obrotu ten pojazd, przedmiot wyposażenia lub część oraz informację o poważnych ryzykach dotyczących tego pojazdu, przedmiotu wyposażenia lub części.</w:t>
            </w:r>
          </w:p>
          <w:p w14:paraId="38125B4E" w14:textId="77777777" w:rsidR="00164ACC" w:rsidRPr="00FB76A9" w:rsidRDefault="00164ACC" w:rsidP="00FD5CD5">
            <w:pPr>
              <w:spacing w:after="0" w:line="240" w:lineRule="auto"/>
              <w:ind w:left="510" w:firstLine="510"/>
              <w:rPr>
                <w:rFonts w:ascii="Times New Roman" w:hAnsi="Times New Roman" w:cs="Times New Roman"/>
                <w:sz w:val="24"/>
                <w:szCs w:val="24"/>
              </w:rPr>
            </w:pPr>
            <w:r w:rsidRPr="00FB76A9">
              <w:rPr>
                <w:rFonts w:ascii="Times New Roman" w:hAnsi="Times New Roman" w:cs="Times New Roman"/>
                <w:sz w:val="24"/>
                <w:szCs w:val="24"/>
              </w:rPr>
              <w:t>Art. 68zo.</w:t>
            </w:r>
            <w:r w:rsidRPr="00FB76A9">
              <w:rPr>
                <w:rFonts w:ascii="Times New Roman" w:hAnsi="Times New Roman" w:cs="Times New Roman"/>
                <w:b/>
                <w:sz w:val="24"/>
                <w:szCs w:val="24"/>
              </w:rPr>
              <w:t xml:space="preserve"> </w:t>
            </w:r>
            <w:r w:rsidRPr="00FB76A9">
              <w:rPr>
                <w:rFonts w:ascii="Times New Roman" w:hAnsi="Times New Roman" w:cs="Times New Roman"/>
                <w:sz w:val="24"/>
                <w:szCs w:val="24"/>
              </w:rPr>
              <w:t>Opinie eksperckie, o których mowa art. 68s ust. 1 pkt 5, mogą być sporządzane przez:</w:t>
            </w:r>
          </w:p>
          <w:p w14:paraId="334581A6" w14:textId="77777777" w:rsidR="00164ACC" w:rsidRPr="00FB76A9" w:rsidRDefault="00164ACC" w:rsidP="00FD5CD5">
            <w:pPr>
              <w:pStyle w:val="ZUSTzmustartykuempunktem"/>
              <w:keepNext/>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osoby będące:</w:t>
            </w:r>
          </w:p>
          <w:p w14:paraId="0C8B8DA2" w14:textId="77777777" w:rsidR="00164ACC" w:rsidRPr="00FB76A9" w:rsidRDefault="00164ACC" w:rsidP="00FD5CD5">
            <w:pPr>
              <w:pStyle w:val="ZLITzmlitartykuempunktem"/>
              <w:spacing w:line="240" w:lineRule="auto"/>
              <w:ind w:left="1418"/>
              <w:jc w:val="left"/>
              <w:rPr>
                <w:rFonts w:ascii="Times New Roman" w:hAnsi="Times New Roman" w:cs="Times New Roman"/>
                <w:szCs w:val="24"/>
              </w:rPr>
            </w:pPr>
            <w:r w:rsidRPr="00FB76A9">
              <w:rPr>
                <w:rFonts w:ascii="Times New Roman" w:hAnsi="Times New Roman" w:cs="Times New Roman"/>
                <w:szCs w:val="24"/>
              </w:rPr>
              <w:t xml:space="preserve">a) </w:t>
            </w:r>
            <w:r w:rsidRPr="00FB76A9">
              <w:rPr>
                <w:rFonts w:ascii="Times New Roman" w:hAnsi="Times New Roman" w:cs="Times New Roman"/>
                <w:szCs w:val="24"/>
              </w:rPr>
              <w:tab/>
              <w:t xml:space="preserve">rzeczoznawcami samochodowymi, o których mowa w art. 79a ustawy z dnia 20 czerwca 1997 r. – Prawo o ruchu drogowym lub biegłymi sądowymi z dziedziny mechanika, maszyny, urządzenia, o którym mowa w art. 157 ustawy z dnia 27 lipca 2001 r. – Prawo o </w:t>
            </w:r>
            <w:r w:rsidRPr="00FB76A9">
              <w:rPr>
                <w:rFonts w:ascii="Times New Roman" w:hAnsi="Times New Roman" w:cs="Times New Roman"/>
                <w:szCs w:val="24"/>
              </w:rPr>
              <w:lastRenderedPageBreak/>
              <w:t>ustroju sądów powszechnych (Dz. U. z 2024 r. poz. 334, z późn. zm.</w:t>
            </w:r>
            <w:r w:rsidRPr="00FB76A9">
              <w:rPr>
                <w:rStyle w:val="Odwoanieprzypisudolnego"/>
                <w:rFonts w:ascii="Times New Roman" w:hAnsi="Times New Roman"/>
                <w:szCs w:val="24"/>
              </w:rPr>
              <w:footnoteReference w:id="2"/>
            </w:r>
            <w:r w:rsidRPr="00FB76A9">
              <w:rPr>
                <w:rFonts w:ascii="Times New Roman" w:hAnsi="Times New Roman" w:cs="Times New Roman"/>
                <w:szCs w:val="24"/>
                <w:vertAlign w:val="superscript"/>
              </w:rPr>
              <w:t>)</w:t>
            </w:r>
            <w:r w:rsidRPr="00FB76A9">
              <w:rPr>
                <w:rFonts w:ascii="Times New Roman" w:hAnsi="Times New Roman" w:cs="Times New Roman"/>
                <w:szCs w:val="24"/>
              </w:rPr>
              <w:t>), oraz</w:t>
            </w:r>
          </w:p>
          <w:p w14:paraId="60C52889" w14:textId="77777777" w:rsidR="00164ACC" w:rsidRPr="00FB76A9" w:rsidRDefault="00164ACC" w:rsidP="00FD5CD5">
            <w:pPr>
              <w:pStyle w:val="ZLITzmlitartykuempunktem"/>
              <w:spacing w:line="240" w:lineRule="auto"/>
              <w:ind w:left="1418"/>
              <w:jc w:val="left"/>
              <w:rPr>
                <w:rFonts w:ascii="Times New Roman" w:hAnsi="Times New Roman" w:cs="Times New Roman"/>
                <w:szCs w:val="24"/>
              </w:rPr>
            </w:pPr>
            <w:r w:rsidRPr="00FB76A9">
              <w:rPr>
                <w:rFonts w:ascii="Times New Roman" w:hAnsi="Times New Roman" w:cs="Times New Roman"/>
                <w:szCs w:val="24"/>
              </w:rPr>
              <w:t xml:space="preserve">b)  </w:t>
            </w:r>
            <w:r w:rsidRPr="00FB76A9">
              <w:rPr>
                <w:rFonts w:ascii="Times New Roman" w:hAnsi="Times New Roman" w:cs="Times New Roman"/>
                <w:szCs w:val="24"/>
              </w:rPr>
              <w:tab/>
              <w:t>posiadające co najmniej 6-letnią praktykę zawodową w dziedzinie związanej z motoryzacją;</w:t>
            </w:r>
          </w:p>
          <w:p w14:paraId="06B101D0" w14:textId="77777777" w:rsidR="00164ACC" w:rsidRPr="00FB76A9" w:rsidRDefault="00164ACC" w:rsidP="00FD5CD5">
            <w:pPr>
              <w:pStyle w:val="PKTpunkt"/>
              <w:spacing w:line="240" w:lineRule="auto"/>
              <w:ind w:left="1020"/>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 xml:space="preserve">instytuty naukowe lub naukowo-badawcze oraz inne podmioty posiadające specjalistyczną wiedzę w dziedzinie związanej z motoryzacją. </w:t>
            </w:r>
          </w:p>
          <w:p w14:paraId="4F9F4D92"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68zp. 1. Pojazd, przedmiot wyposażenia lub część pobrana w ramach kontroli lub badań, o których mowa w art. 68za ust. 1 pkt 12 albo art. 68zh ust. 1, lub nabyta w ramach zakupu kontrolnego, o którym mowa w art. 68zg ust. 1, podlega zwrotowi po zakończeniu kontroli lub badań, a jeżeli w związku z ustaleniami z kontroli lub badań zostało wszczęte postępowanie administracyjne, po zakończeniu tego postępowania, jeżeli pojazd, przedmiot wyposażenia lub część nadal mogą być użytkowane zgodnie z przeznaczeniem.</w:t>
            </w:r>
          </w:p>
          <w:p w14:paraId="2D6FBF0B"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Podmiot gospodarczy lub posiadacz pojazdu, przedmiotu wyposażenia lub części niebędący użytkownikiem końcowym, od którego pobrano lub nabyto pojazd, przedmiot wyposażenia lub część w ramach kontroli, badań lub zakupu kontrolnego, jest obowiązany do przyjęcia zwracanego pojazdu, przedmiotu wyposażenia lub części, a w przypadku zakupu </w:t>
            </w:r>
            <w:r w:rsidRPr="00FB76A9">
              <w:rPr>
                <w:rFonts w:ascii="Times New Roman" w:hAnsi="Times New Roman" w:cs="Times New Roman"/>
                <w:szCs w:val="24"/>
              </w:rPr>
              <w:lastRenderedPageBreak/>
              <w:t xml:space="preserve">kontrolnego również do zwrotu </w:t>
            </w:r>
            <w:r w:rsidR="008031F8">
              <w:rPr>
                <w:rFonts w:ascii="Times New Roman" w:hAnsi="Times New Roman" w:cs="Times New Roman"/>
                <w:szCs w:val="24"/>
              </w:rPr>
              <w:t>za</w:t>
            </w:r>
            <w:r w:rsidRPr="00FB76A9">
              <w:rPr>
                <w:rFonts w:ascii="Times New Roman" w:hAnsi="Times New Roman" w:cs="Times New Roman"/>
                <w:szCs w:val="24"/>
              </w:rPr>
              <w:t>płaty za zwracany pojazd, przedmiot wyposażenia lub część.</w:t>
            </w:r>
          </w:p>
          <w:p w14:paraId="3300DD24"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 przypadku zakwalifikowania pojazdu, przedmiotu wyposażenia lub części jako próbki, po zakończeniu kontroli lub badań, o których mowa w art. 68za ust. 1 pkt 12 albo art. 68zh ust. 1, Dyrektor TDT jako organ nadzoru rynku, w drodze postanowienia, rozstrzyga o obowiązku przyjęcia zwracanego pojazdu, przedmiotu wyposażenia lub części, a w przypadku zakupu kontrolnego również o obowiązku zwrotu </w:t>
            </w:r>
            <w:r w:rsidR="008031F8">
              <w:rPr>
                <w:rFonts w:ascii="Times New Roman" w:hAnsi="Times New Roman" w:cs="Times New Roman"/>
                <w:szCs w:val="24"/>
              </w:rPr>
              <w:t xml:space="preserve">zapłaty </w:t>
            </w:r>
            <w:r w:rsidRPr="00FB76A9">
              <w:rPr>
                <w:rFonts w:ascii="Times New Roman" w:hAnsi="Times New Roman" w:cs="Times New Roman"/>
                <w:szCs w:val="24"/>
              </w:rPr>
              <w:t>w określonym terminie opłaty za zwracany pojazd, przedmiot wyposażenia lub część. Na postanowienie, o którym mowa w zdaniu pierwszym służy zażalenie.</w:t>
            </w:r>
          </w:p>
          <w:p w14:paraId="4330873E"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W przypadku niezakwalifikowania pojazdu, przedmiotu wyposażenia lub części jako próbki, podlega ona niezwłocznemu zwrotowi.</w:t>
            </w:r>
          </w:p>
          <w:p w14:paraId="37C13535"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5. W przypadku, o którym mowa w ust. 4, Dyrektor TDT jako organ nadzoru rynku, w drodze postanowienia, rozstrzyga o obowiązku przyjęcia zwracanego pojazdu, przedmiotu wyposażenia lub części, a w przypadku zakupu kontrolnego również o obowiązku zwrotu </w:t>
            </w:r>
            <w:r w:rsidR="008031F8">
              <w:rPr>
                <w:rFonts w:ascii="Times New Roman" w:hAnsi="Times New Roman" w:cs="Times New Roman"/>
                <w:szCs w:val="24"/>
              </w:rPr>
              <w:t xml:space="preserve">zapłaty </w:t>
            </w:r>
            <w:r w:rsidRPr="00FB76A9">
              <w:rPr>
                <w:rFonts w:ascii="Times New Roman" w:hAnsi="Times New Roman" w:cs="Times New Roman"/>
                <w:szCs w:val="24"/>
              </w:rPr>
              <w:t>w określonym terminie opłaty za zwracany pojazd, przedmiot wyposażenia lub część. Na postanowienie, o którym mowa w zdaniu pierwszym, służy zażalenie.</w:t>
            </w:r>
          </w:p>
          <w:p w14:paraId="0A230A60" w14:textId="77777777" w:rsidR="00164ACC" w:rsidRPr="00FB76A9" w:rsidRDefault="00164ACC"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68zr. 1. W przypadku odmowy przyjęcia zwracanego pojazdu, przedmiotu wyposażenia lub </w:t>
            </w:r>
            <w:r w:rsidRPr="00FB76A9">
              <w:rPr>
                <w:rFonts w:ascii="Times New Roman" w:hAnsi="Times New Roman" w:cs="Times New Roman"/>
                <w:szCs w:val="24"/>
              </w:rPr>
              <w:lastRenderedPageBreak/>
              <w:t>części podlega on zniszczeniu, o którym mowa w art. 68zs ust. 1, albo może być przedmiotem:</w:t>
            </w:r>
          </w:p>
          <w:p w14:paraId="7D51A95D"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nieodpłatnego przekazania lub darowizny na rzecz jednostek sektora finansów publicznych lub państwowych osób prawnych, które nie są jednostkami sektora finansów publicznych;</w:t>
            </w:r>
          </w:p>
          <w:p w14:paraId="40DB403C"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 xml:space="preserve">darowizny na rzecz jednostek organizacyjnych, o których mowa w art. 2 ustawy z dnia 14 grudnia 2016 r. – Prawo oświatowe (Dz. U. </w:t>
            </w:r>
            <w:r w:rsidR="00074CD7" w:rsidRPr="00FB76A9">
              <w:rPr>
                <w:rFonts w:ascii="Times New Roman" w:hAnsi="Times New Roman" w:cs="Times New Roman"/>
                <w:szCs w:val="24"/>
              </w:rPr>
              <w:t>z 202</w:t>
            </w:r>
            <w:r w:rsidR="00074CD7">
              <w:rPr>
                <w:rFonts w:ascii="Times New Roman" w:hAnsi="Times New Roman" w:cs="Times New Roman"/>
                <w:szCs w:val="24"/>
              </w:rPr>
              <w:t>6</w:t>
            </w:r>
            <w:r w:rsidR="00074CD7" w:rsidRPr="00FB76A9">
              <w:rPr>
                <w:rFonts w:ascii="Times New Roman" w:hAnsi="Times New Roman" w:cs="Times New Roman"/>
                <w:szCs w:val="24"/>
              </w:rPr>
              <w:t xml:space="preserve"> r. poz. </w:t>
            </w:r>
            <w:r w:rsidR="00074CD7">
              <w:rPr>
                <w:rFonts w:ascii="Times New Roman" w:hAnsi="Times New Roman" w:cs="Times New Roman"/>
                <w:szCs w:val="24"/>
              </w:rPr>
              <w:t>820</w:t>
            </w:r>
            <w:r w:rsidRPr="00FB76A9">
              <w:rPr>
                <w:rFonts w:ascii="Times New Roman" w:hAnsi="Times New Roman" w:cs="Times New Roman"/>
                <w:szCs w:val="24"/>
              </w:rPr>
              <w:t>), niebędących jednostkami sektora finansów publicznych, oraz fundacji lub organizacji pożytku publicznego, które prowadzą działalność charytatywną, opiekuńczą, kulturalną, leczniczą, oświatową, naukową, badawczo</w:t>
            </w:r>
            <w:r w:rsidRPr="00FB76A9">
              <w:rPr>
                <w:rFonts w:ascii="Times New Roman" w:hAnsi="Times New Roman" w:cs="Times New Roman"/>
                <w:szCs w:val="24"/>
              </w:rPr>
              <w:noBreakHyphen/>
              <w:t>rozwojową, wychowawczą, sportową lub turystyczną, z przeznaczeniem na realizację ich celów statutowych.</w:t>
            </w:r>
          </w:p>
          <w:p w14:paraId="363C038E" w14:textId="77777777" w:rsidR="00164ACC" w:rsidRPr="00FB76A9" w:rsidRDefault="00164ACC" w:rsidP="00FD5CD5">
            <w:pPr>
              <w:pStyle w:val="ZPKTzmpktartykuempunktem"/>
              <w:spacing w:line="240" w:lineRule="auto"/>
              <w:ind w:left="510" w:firstLine="510"/>
              <w:jc w:val="left"/>
              <w:rPr>
                <w:rFonts w:ascii="Times New Roman" w:hAnsi="Times New Roman" w:cs="Times New Roman"/>
                <w:szCs w:val="24"/>
              </w:rPr>
            </w:pPr>
            <w:r w:rsidRPr="00FB76A9">
              <w:rPr>
                <w:rFonts w:ascii="Times New Roman" w:hAnsi="Times New Roman" w:cs="Times New Roman"/>
                <w:szCs w:val="24"/>
              </w:rPr>
              <w:t>2. Dyrektor TDT jako organ nadzory rynku dokonuje oceny, czy pojazd, przedmiot wyposażenia lub część może być użytkowana zgodnie z przeznaczeniem oraz czy jest zgodna z wymaganiami technicznymi oraz nie stwarza poważnego ryzyka i może zostać przekazana lub darowana podmiotom, o których mowa w ust. 1.</w:t>
            </w:r>
          </w:p>
          <w:p w14:paraId="37613C8C" w14:textId="77777777" w:rsidR="00164ACC" w:rsidRPr="00FB76A9" w:rsidRDefault="00164ACC" w:rsidP="00FD5CD5">
            <w:pPr>
              <w:pStyle w:val="ZPKTzmpktartykuempunktem"/>
              <w:spacing w:line="240" w:lineRule="auto"/>
              <w:ind w:left="510" w:firstLine="510"/>
              <w:jc w:val="left"/>
              <w:rPr>
                <w:rFonts w:ascii="Times New Roman" w:hAnsi="Times New Roman" w:cs="Times New Roman"/>
                <w:szCs w:val="24"/>
              </w:rPr>
            </w:pPr>
            <w:r w:rsidRPr="00FB76A9">
              <w:rPr>
                <w:rFonts w:ascii="Times New Roman" w:hAnsi="Times New Roman" w:cs="Times New Roman"/>
                <w:szCs w:val="24"/>
              </w:rPr>
              <w:t xml:space="preserve">3. Dyrektor TDT jako organ nadzoru rynku po dokonaniu oceny, o której mowa </w:t>
            </w:r>
            <w:r w:rsidRPr="00FB76A9">
              <w:rPr>
                <w:rFonts w:ascii="Times New Roman" w:hAnsi="Times New Roman" w:cs="Times New Roman"/>
                <w:szCs w:val="24"/>
              </w:rPr>
              <w:br/>
              <w:t xml:space="preserve">w ust. 2, zamieszcza w Biuletynie Informacji Publicznej Transportowego Dozoru Technicznego informacje o pojazdach, przedmiotach wyposażenia lub częściach, które mogą być </w:t>
            </w:r>
            <w:r w:rsidRPr="00FB76A9">
              <w:rPr>
                <w:rFonts w:ascii="Times New Roman" w:hAnsi="Times New Roman" w:cs="Times New Roman"/>
                <w:szCs w:val="24"/>
              </w:rPr>
              <w:lastRenderedPageBreak/>
              <w:t xml:space="preserve">przedmiotem przekazania lub darowizny podmiotom, o których mowa </w:t>
            </w:r>
            <w:r w:rsidRPr="00FB76A9">
              <w:rPr>
                <w:rFonts w:ascii="Times New Roman" w:hAnsi="Times New Roman" w:cs="Times New Roman"/>
                <w:szCs w:val="24"/>
              </w:rPr>
              <w:br/>
              <w:t>w ust. 1.</w:t>
            </w:r>
          </w:p>
          <w:p w14:paraId="285C9829" w14:textId="77777777" w:rsidR="00164ACC" w:rsidRPr="00FB76A9" w:rsidRDefault="00164ACC" w:rsidP="00FD5CD5">
            <w:pPr>
              <w:autoSpaceDE w:val="0"/>
              <w:autoSpaceDN w:val="0"/>
              <w:adjustRightInd w:val="0"/>
              <w:spacing w:after="0" w:line="240" w:lineRule="auto"/>
              <w:ind w:left="510" w:firstLine="510"/>
              <w:rPr>
                <w:rFonts w:ascii="Times New Roman" w:eastAsiaTheme="minorEastAsia" w:hAnsi="Times New Roman" w:cs="Times New Roman"/>
                <w:bCs/>
                <w:sz w:val="24"/>
                <w:szCs w:val="24"/>
                <w:lang w:eastAsia="pl-PL"/>
              </w:rPr>
            </w:pPr>
            <w:r w:rsidRPr="00FB76A9">
              <w:rPr>
                <w:rFonts w:ascii="Times New Roman" w:eastAsiaTheme="minorEastAsia" w:hAnsi="Times New Roman" w:cs="Times New Roman"/>
                <w:bCs/>
                <w:sz w:val="24"/>
                <w:szCs w:val="24"/>
                <w:lang w:eastAsia="pl-PL"/>
              </w:rPr>
              <w:t>4. Dyrektor TDT dokonuje przekazania lub darowizny pojazdu, przedmiotu wyposażenia lub części podmiotowi, o którym mowa w ust. 1, na podstawie kolejności dokonanych zgłoszeń.</w:t>
            </w:r>
          </w:p>
          <w:p w14:paraId="03461372" w14:textId="77777777" w:rsidR="00164ACC" w:rsidRPr="00FB76A9" w:rsidRDefault="00164ACC" w:rsidP="00FD5CD5">
            <w:pPr>
              <w:pStyle w:val="ZPKTzmpktartykuempunktem"/>
              <w:spacing w:line="240" w:lineRule="auto"/>
              <w:ind w:left="510" w:firstLine="510"/>
              <w:jc w:val="left"/>
              <w:rPr>
                <w:rFonts w:ascii="Times New Roman" w:hAnsi="Times New Roman" w:cs="Times New Roman"/>
                <w:szCs w:val="24"/>
              </w:rPr>
            </w:pPr>
            <w:r w:rsidRPr="00FB76A9">
              <w:rPr>
                <w:rFonts w:ascii="Times New Roman" w:hAnsi="Times New Roman" w:cs="Times New Roman"/>
                <w:bCs w:val="0"/>
                <w:szCs w:val="24"/>
              </w:rPr>
              <w:t xml:space="preserve">5. Dyrektor TDT </w:t>
            </w:r>
            <w:r w:rsidRPr="00FB76A9">
              <w:rPr>
                <w:rFonts w:ascii="Times New Roman" w:hAnsi="Times New Roman" w:cs="Times New Roman"/>
                <w:szCs w:val="24"/>
              </w:rPr>
              <w:t xml:space="preserve">jako organ nadzoru rynku zamieszcza w Biuletynie Informacji Publicznej Transportowego Dozoru Technicznego informacje o przekazaniach lub darowiznach, o których mowa w ust. 1. </w:t>
            </w:r>
          </w:p>
          <w:p w14:paraId="3264B8E2" w14:textId="77777777" w:rsidR="00164ACC" w:rsidRPr="00FB76A9" w:rsidRDefault="00164ACC" w:rsidP="00FD5CD5">
            <w:pPr>
              <w:pStyle w:val="ZPKTzmpktartykuempunktem"/>
              <w:spacing w:line="240" w:lineRule="auto"/>
              <w:ind w:left="510" w:firstLine="510"/>
              <w:jc w:val="left"/>
              <w:rPr>
                <w:rFonts w:ascii="Times New Roman" w:hAnsi="Times New Roman" w:cs="Times New Roman"/>
                <w:szCs w:val="24"/>
              </w:rPr>
            </w:pPr>
            <w:r w:rsidRPr="00FB76A9">
              <w:rPr>
                <w:rFonts w:ascii="Times New Roman" w:hAnsi="Times New Roman" w:cs="Times New Roman"/>
                <w:szCs w:val="24"/>
              </w:rPr>
              <w:t xml:space="preserve">6. Do przekazania lub darowizny stosuje się odpowiednio przepisy wydane na podstawie art. 5 ust. 2 ustawy z dnia 16 grudnia 2016 r. o zasadach zarządzania mieniem państwowym (Dz. U. z 2026 r. poz. 373). </w:t>
            </w:r>
          </w:p>
          <w:p w14:paraId="5D157FFB" w14:textId="77777777" w:rsidR="00164ACC" w:rsidRPr="00FB76A9" w:rsidRDefault="00164ACC" w:rsidP="00FD5CD5">
            <w:pPr>
              <w:pStyle w:val="ZARTzmartartykuempunktem"/>
              <w:keepNext/>
              <w:spacing w:line="240" w:lineRule="auto"/>
              <w:jc w:val="left"/>
              <w:rPr>
                <w:rFonts w:ascii="Times New Roman" w:hAnsi="Times New Roman" w:cs="Times New Roman"/>
                <w:szCs w:val="24"/>
              </w:rPr>
            </w:pPr>
            <w:r w:rsidRPr="00FB76A9">
              <w:rPr>
                <w:rFonts w:ascii="Times New Roman" w:eastAsiaTheme="minorHAnsi" w:hAnsi="Times New Roman" w:cs="Times New Roman"/>
                <w:szCs w:val="24"/>
              </w:rPr>
              <w:t xml:space="preserve">Art. 68zs. 1. W przypadku wydania przez Dyrektora TDT jako organ nadzoru rynku  decyzji, o której mowa w art. 68zj ust. 1 lub art. 68zk ust. 12, zobowiązującej podmiot gospodarczy, który wprowadził do obrotu lub udostępnił na rynku pojazd, przedmiot wyposażenia lub część do dokonania ich zniszczenia, </w:t>
            </w:r>
            <w:r w:rsidRPr="00FB76A9">
              <w:rPr>
                <w:rFonts w:ascii="Times New Roman" w:hAnsi="Times New Roman" w:cs="Times New Roman"/>
                <w:szCs w:val="24"/>
              </w:rPr>
              <w:t>zniszczenie to przeprowadza się w zakładzie posiadającym:</w:t>
            </w:r>
          </w:p>
          <w:p w14:paraId="1CDBB4C6" w14:textId="77777777" w:rsidR="00164ACC" w:rsidRPr="00FB76A9" w:rsidRDefault="00164ACC" w:rsidP="005E0F9D">
            <w:pPr>
              <w:pStyle w:val="ZPKTzmpktartykuempunktem"/>
              <w:numPr>
                <w:ilvl w:val="0"/>
                <w:numId w:val="18"/>
              </w:numPr>
              <w:spacing w:line="240" w:lineRule="auto"/>
              <w:jc w:val="left"/>
              <w:rPr>
                <w:rFonts w:ascii="Times New Roman" w:hAnsi="Times New Roman" w:cs="Times New Roman"/>
                <w:szCs w:val="24"/>
              </w:rPr>
            </w:pPr>
            <w:r w:rsidRPr="00FB76A9">
              <w:rPr>
                <w:rFonts w:ascii="Times New Roman" w:hAnsi="Times New Roman" w:cs="Times New Roman"/>
                <w:szCs w:val="24"/>
              </w:rPr>
              <w:t>zezwolenie na prowadzenie stacji demontażu pojazdów, o którym mowa w ustawie z dnia 20 stycznia 2005 r. o recyklingu pojazdów wycofanych z eksploatacji (Dz. U. z 2020 r. poz. 2056 i z 2022 r. poz. 1517), lub</w:t>
            </w:r>
          </w:p>
          <w:p w14:paraId="33B2DBAF" w14:textId="77777777" w:rsidR="00164ACC" w:rsidRPr="00FB76A9" w:rsidRDefault="00164ACC" w:rsidP="005E0F9D">
            <w:pPr>
              <w:pStyle w:val="ZPKTzmpktartykuempunktem"/>
              <w:numPr>
                <w:ilvl w:val="0"/>
                <w:numId w:val="18"/>
              </w:numPr>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inne uprawnienie wydane przez organ właściwy w zakresie gospodarowania odpadami niebezpiecznymi.</w:t>
            </w:r>
          </w:p>
          <w:p w14:paraId="6FA2948D"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Zakład, o którym mowa w ust. 1, obowiązany jest stosować technologie zapewniające nieodwracalność zniszczenia pojazdu, przedmiotu wyposażenia lub części oraz wyeliminowanie ich ponownego udostępnienia na rynku.</w:t>
            </w:r>
          </w:p>
          <w:p w14:paraId="4B29C61B"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Zniszczenie pojazdu, przedmiotu wyposażenia lub części odbywa się z zachowaniem przepisów dotyczących ochrony środowiska, w tym w zakresie postępowania z odpadami niebezpiecznymi oraz przepisów bezpieczeństwa i higieny pracy.</w:t>
            </w:r>
          </w:p>
          <w:p w14:paraId="1CA1CE68"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Zniszczenie pojazdu, przedmiotu wyposażenia lub części odbywa się pod nadzorem Dyrektora TDT jako organu nadzoru rynku, z uwzględnieniem ust. 5.</w:t>
            </w:r>
          </w:p>
          <w:p w14:paraId="06782208"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Dyrektor TDT jako organ nadzoru rynku może odstąpić od nadzoru nad zniszczeniem pojazdu,  jeżeli czynności tej dokonują zakłady, o których mowa w ust. 1 pkt 1.</w:t>
            </w:r>
          </w:p>
          <w:p w14:paraId="49BE53DD"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6. Dyrektor TDT jako organ nadzoru rynku może zezwolić na przemieszczenie pojazdu, przedmiotu wyposażenia lub części objętego obowiązkiem zniszczenia, pod nadzorem Dyrektora TDT jako organu nadzoru rynku między różnymi miejscami na obszarze państw członkowskich Unii Europejskiej w celu ich zniszczenia pod nadzorem organów nadzoru rynku </w:t>
            </w:r>
            <w:r w:rsidRPr="00FB76A9">
              <w:rPr>
                <w:rFonts w:ascii="Times New Roman" w:hAnsi="Times New Roman" w:cs="Times New Roman"/>
                <w:szCs w:val="24"/>
              </w:rPr>
              <w:lastRenderedPageBreak/>
              <w:t>innego państwa członkowskiego Unii Europejskiej.</w:t>
            </w:r>
          </w:p>
          <w:p w14:paraId="25A41FA7"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7. Zakład, o którym mowa w ust. 1, sporządza protokół ze zniszczenia zawierający:</w:t>
            </w:r>
          </w:p>
          <w:p w14:paraId="245EFF65" w14:textId="77777777" w:rsidR="00164ACC" w:rsidRPr="00FB76A9" w:rsidRDefault="00164ACC" w:rsidP="005E0F9D">
            <w:pPr>
              <w:pStyle w:val="ZPKTzmpktartykuempunktem"/>
              <w:numPr>
                <w:ilvl w:val="0"/>
                <w:numId w:val="21"/>
              </w:numPr>
              <w:spacing w:line="240" w:lineRule="auto"/>
              <w:jc w:val="left"/>
              <w:rPr>
                <w:rFonts w:ascii="Times New Roman" w:hAnsi="Times New Roman" w:cs="Times New Roman"/>
                <w:szCs w:val="24"/>
              </w:rPr>
            </w:pPr>
            <w:r w:rsidRPr="00FB76A9">
              <w:rPr>
                <w:rFonts w:ascii="Times New Roman" w:hAnsi="Times New Roman" w:cs="Times New Roman"/>
                <w:szCs w:val="24"/>
              </w:rPr>
              <w:t>nazwę i adres zakładu;</w:t>
            </w:r>
          </w:p>
          <w:p w14:paraId="6B78823B" w14:textId="77777777" w:rsidR="00164ACC" w:rsidRPr="00FB76A9" w:rsidRDefault="00164ACC" w:rsidP="005E0F9D">
            <w:pPr>
              <w:pStyle w:val="ZPKTzmpktartykuempunktem"/>
              <w:numPr>
                <w:ilvl w:val="0"/>
                <w:numId w:val="21"/>
              </w:numPr>
              <w:spacing w:line="240" w:lineRule="auto"/>
              <w:jc w:val="left"/>
              <w:rPr>
                <w:rFonts w:ascii="Times New Roman" w:hAnsi="Times New Roman" w:cs="Times New Roman"/>
                <w:szCs w:val="24"/>
              </w:rPr>
            </w:pPr>
            <w:r w:rsidRPr="00FB76A9">
              <w:rPr>
                <w:rFonts w:ascii="Times New Roman" w:hAnsi="Times New Roman" w:cs="Times New Roman"/>
                <w:szCs w:val="24"/>
              </w:rPr>
              <w:t>datę i miejsce zniszczenia;</w:t>
            </w:r>
          </w:p>
          <w:p w14:paraId="092908A6" w14:textId="77777777" w:rsidR="00164ACC" w:rsidRPr="00FB76A9" w:rsidRDefault="00164ACC" w:rsidP="005E0F9D">
            <w:pPr>
              <w:pStyle w:val="ZPKTzmpktartykuempunktem"/>
              <w:numPr>
                <w:ilvl w:val="0"/>
                <w:numId w:val="21"/>
              </w:numPr>
              <w:spacing w:line="240" w:lineRule="auto"/>
              <w:jc w:val="left"/>
              <w:rPr>
                <w:rFonts w:ascii="Times New Roman" w:hAnsi="Times New Roman" w:cs="Times New Roman"/>
                <w:szCs w:val="24"/>
              </w:rPr>
            </w:pPr>
            <w:r w:rsidRPr="00FB76A9">
              <w:rPr>
                <w:rFonts w:ascii="Times New Roman" w:hAnsi="Times New Roman" w:cs="Times New Roman"/>
                <w:szCs w:val="24"/>
              </w:rPr>
              <w:t>nazwę i adres podmiotu gospodarczego zlecającego zniszczenie;</w:t>
            </w:r>
          </w:p>
          <w:p w14:paraId="063D7B7C" w14:textId="77777777" w:rsidR="00164ACC" w:rsidRPr="00FB76A9" w:rsidRDefault="00164ACC" w:rsidP="005E0F9D">
            <w:pPr>
              <w:pStyle w:val="ZPKTzmpktartykuempunktem"/>
              <w:numPr>
                <w:ilvl w:val="0"/>
                <w:numId w:val="21"/>
              </w:numPr>
              <w:spacing w:line="240" w:lineRule="auto"/>
              <w:jc w:val="left"/>
              <w:rPr>
                <w:rFonts w:ascii="Times New Roman" w:hAnsi="Times New Roman" w:cs="Times New Roman"/>
                <w:szCs w:val="24"/>
              </w:rPr>
            </w:pPr>
            <w:r w:rsidRPr="00FB76A9">
              <w:rPr>
                <w:rFonts w:ascii="Times New Roman" w:hAnsi="Times New Roman" w:cs="Times New Roman"/>
                <w:szCs w:val="24"/>
              </w:rPr>
              <w:t>oznaczenie pojazdu, przedmiotu wyposażenia lub części, w tym numer VIN lub inny numer umożliwiający identyfikację pojazdu, przedmiotu wyposażenia lub części;</w:t>
            </w:r>
          </w:p>
          <w:p w14:paraId="7FB6F9D8" w14:textId="77777777" w:rsidR="00164ACC" w:rsidRPr="00FB76A9" w:rsidRDefault="00164ACC" w:rsidP="005E0F9D">
            <w:pPr>
              <w:pStyle w:val="ZPKTzmpktartykuempunktem"/>
              <w:numPr>
                <w:ilvl w:val="0"/>
                <w:numId w:val="21"/>
              </w:numPr>
              <w:spacing w:line="240" w:lineRule="auto"/>
              <w:jc w:val="left"/>
              <w:rPr>
                <w:rFonts w:ascii="Times New Roman" w:hAnsi="Times New Roman" w:cs="Times New Roman"/>
                <w:szCs w:val="24"/>
              </w:rPr>
            </w:pPr>
            <w:r w:rsidRPr="00FB76A9">
              <w:rPr>
                <w:rFonts w:ascii="Times New Roman" w:hAnsi="Times New Roman" w:cs="Times New Roman"/>
                <w:szCs w:val="24"/>
              </w:rPr>
              <w:t>liczbę oraz wagę zniszczonych pojazdów, przedmiotów wyposażenia lub części;</w:t>
            </w:r>
          </w:p>
          <w:p w14:paraId="299BBD58" w14:textId="77777777" w:rsidR="00164ACC" w:rsidRPr="00FB76A9" w:rsidRDefault="00164ACC" w:rsidP="005E0F9D">
            <w:pPr>
              <w:pStyle w:val="ZPKTzmpktartykuempunktem"/>
              <w:numPr>
                <w:ilvl w:val="0"/>
                <w:numId w:val="21"/>
              </w:numPr>
              <w:spacing w:line="240" w:lineRule="auto"/>
              <w:jc w:val="left"/>
              <w:rPr>
                <w:rFonts w:ascii="Times New Roman" w:hAnsi="Times New Roman" w:cs="Times New Roman"/>
                <w:szCs w:val="24"/>
              </w:rPr>
            </w:pPr>
            <w:r w:rsidRPr="00FB76A9">
              <w:rPr>
                <w:rFonts w:ascii="Times New Roman" w:hAnsi="Times New Roman" w:cs="Times New Roman"/>
                <w:szCs w:val="24"/>
              </w:rPr>
              <w:t>opis zastosowanej metody zniszczenia;</w:t>
            </w:r>
          </w:p>
          <w:p w14:paraId="56BBA5C5" w14:textId="77777777" w:rsidR="00164ACC" w:rsidRPr="00FB76A9" w:rsidRDefault="00164ACC" w:rsidP="005E0F9D">
            <w:pPr>
              <w:pStyle w:val="ZPKTzmpktartykuempunktem"/>
              <w:numPr>
                <w:ilvl w:val="0"/>
                <w:numId w:val="21"/>
              </w:numPr>
              <w:spacing w:line="240" w:lineRule="auto"/>
              <w:jc w:val="left"/>
              <w:rPr>
                <w:rFonts w:ascii="Times New Roman" w:hAnsi="Times New Roman" w:cs="Times New Roman"/>
                <w:szCs w:val="24"/>
              </w:rPr>
            </w:pPr>
            <w:r w:rsidRPr="00FB76A9">
              <w:rPr>
                <w:rFonts w:ascii="Times New Roman" w:hAnsi="Times New Roman" w:cs="Times New Roman"/>
                <w:szCs w:val="24"/>
              </w:rPr>
              <w:t>podpis osoby odpowiedzialnej za przeprowadzenie zniszczenia.</w:t>
            </w:r>
          </w:p>
          <w:p w14:paraId="77D3575F" w14:textId="77777777" w:rsidR="00164ACC" w:rsidRPr="00FB76A9" w:rsidRDefault="00164ACC" w:rsidP="00FD5CD5">
            <w:pPr>
              <w:pStyle w:val="ZUSTzmustartykuempunktem"/>
              <w:spacing w:line="240" w:lineRule="auto"/>
              <w:ind w:firstLine="0"/>
              <w:jc w:val="left"/>
              <w:rPr>
                <w:rFonts w:ascii="Times New Roman" w:hAnsi="Times New Roman" w:cs="Times New Roman"/>
                <w:szCs w:val="24"/>
              </w:rPr>
            </w:pPr>
            <w:r w:rsidRPr="00FB76A9">
              <w:rPr>
                <w:rFonts w:ascii="Times New Roman" w:hAnsi="Times New Roman" w:cs="Times New Roman"/>
                <w:szCs w:val="24"/>
              </w:rPr>
              <w:t>8. Protokół, o którym mowa w ust. 7, przekazywany jest w terminie 7 dni od dnia zniszczenia:</w:t>
            </w:r>
          </w:p>
          <w:p w14:paraId="01CBCB6E" w14:textId="77777777" w:rsidR="00164ACC" w:rsidRPr="00FB76A9" w:rsidRDefault="00164ACC" w:rsidP="005E0F9D">
            <w:pPr>
              <w:pStyle w:val="ZPKTzmpktartykuempunktem"/>
              <w:numPr>
                <w:ilvl w:val="0"/>
                <w:numId w:val="22"/>
              </w:numPr>
              <w:spacing w:line="240" w:lineRule="auto"/>
              <w:jc w:val="left"/>
              <w:rPr>
                <w:rFonts w:ascii="Times New Roman" w:hAnsi="Times New Roman" w:cs="Times New Roman"/>
                <w:szCs w:val="24"/>
              </w:rPr>
            </w:pPr>
            <w:r w:rsidRPr="00FB76A9">
              <w:rPr>
                <w:rFonts w:ascii="Times New Roman" w:hAnsi="Times New Roman" w:cs="Times New Roman"/>
                <w:szCs w:val="24"/>
              </w:rPr>
              <w:t>Dyrektorowi Transportowego Dozoru Technicznego jako organowi nadzoru rynku – w celu potwierdzenia wykonania decyzji,</w:t>
            </w:r>
            <w:r w:rsidRPr="00FB76A9">
              <w:rPr>
                <w:rFonts w:ascii="Times New Roman" w:eastAsiaTheme="minorHAnsi" w:hAnsi="Times New Roman" w:cs="Times New Roman"/>
                <w:szCs w:val="24"/>
              </w:rPr>
              <w:t xml:space="preserve"> o której mowa w art. 68zj ust. 1 w zakresie art. 68zk ust. 2 pkt 3 lub art. 68zk ust. 12</w:t>
            </w:r>
            <w:r w:rsidRPr="00FB76A9">
              <w:rPr>
                <w:rFonts w:ascii="Times New Roman" w:hAnsi="Times New Roman" w:cs="Times New Roman"/>
                <w:szCs w:val="24"/>
              </w:rPr>
              <w:t>;</w:t>
            </w:r>
          </w:p>
          <w:p w14:paraId="0247EE71" w14:textId="77777777" w:rsidR="00164ACC" w:rsidRPr="00FB76A9" w:rsidRDefault="00164ACC" w:rsidP="005E0F9D">
            <w:pPr>
              <w:pStyle w:val="ZPKTzmpktartykuempunktem"/>
              <w:numPr>
                <w:ilvl w:val="0"/>
                <w:numId w:val="22"/>
              </w:numPr>
              <w:spacing w:line="240" w:lineRule="auto"/>
              <w:jc w:val="left"/>
              <w:rPr>
                <w:rFonts w:ascii="Times New Roman" w:hAnsi="Times New Roman" w:cs="Times New Roman"/>
                <w:szCs w:val="24"/>
              </w:rPr>
            </w:pPr>
            <w:r w:rsidRPr="00FB76A9">
              <w:rPr>
                <w:rFonts w:ascii="Times New Roman" w:hAnsi="Times New Roman" w:cs="Times New Roman"/>
                <w:szCs w:val="24"/>
              </w:rPr>
              <w:t>podmiotowi gospodarczemu, na którego nałożono obowiązek wykonania decyzji,</w:t>
            </w:r>
            <w:r w:rsidRPr="00FB76A9">
              <w:rPr>
                <w:rFonts w:ascii="Times New Roman" w:eastAsiaTheme="minorHAnsi" w:hAnsi="Times New Roman" w:cs="Times New Roman"/>
                <w:szCs w:val="24"/>
              </w:rPr>
              <w:t xml:space="preserve"> o której mowa w art. 68zj ust. 1 w zakresie art. 68zk ust. 2 pkt 3 lub art. 68zk ust. 12</w:t>
            </w:r>
            <w:r w:rsidRPr="00FB76A9">
              <w:rPr>
                <w:rFonts w:ascii="Times New Roman" w:hAnsi="Times New Roman" w:cs="Times New Roman"/>
                <w:szCs w:val="24"/>
              </w:rPr>
              <w:t>.</w:t>
            </w:r>
          </w:p>
          <w:p w14:paraId="1C93105D"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9. Podmiot gospodarczy, o którym mowa w ust. 1, informuje Dyrektora TDT jako organ nadzoru rynku o wykonaniu decyzji, o której </w:t>
            </w:r>
            <w:r w:rsidRPr="00FB76A9">
              <w:rPr>
                <w:rFonts w:ascii="Times New Roman" w:hAnsi="Times New Roman" w:cs="Times New Roman"/>
                <w:szCs w:val="24"/>
              </w:rPr>
              <w:lastRenderedPageBreak/>
              <w:t>mowa w art. 68zj ust. 1</w:t>
            </w:r>
            <w:r w:rsidRPr="00FB76A9">
              <w:rPr>
                <w:rFonts w:ascii="Times New Roman" w:eastAsiaTheme="minorHAnsi" w:hAnsi="Times New Roman" w:cs="Times New Roman"/>
                <w:szCs w:val="24"/>
              </w:rPr>
              <w:t xml:space="preserve"> lub art. 68zk ust. 12, w zakresie </w:t>
            </w:r>
            <w:r w:rsidRPr="00FB76A9">
              <w:rPr>
                <w:rFonts w:ascii="Times New Roman" w:hAnsi="Times New Roman" w:cs="Times New Roman"/>
                <w:szCs w:val="24"/>
              </w:rPr>
              <w:t xml:space="preserve">zniszczenia pojazdu, przedmiotu wyposażenia lub części, w terminie 14 dni od dnia upływu terminu wskazanego w tej decyzji. </w:t>
            </w:r>
          </w:p>
          <w:p w14:paraId="50E789CF" w14:textId="77777777" w:rsidR="00164ACC" w:rsidRPr="00FB76A9" w:rsidRDefault="00CF3C6A" w:rsidP="00FD5CD5">
            <w:pPr>
              <w:pStyle w:val="ZUSTzmustartykuempunktem"/>
              <w:spacing w:line="240" w:lineRule="auto"/>
              <w:jc w:val="left"/>
              <w:rPr>
                <w:rFonts w:ascii="Times New Roman" w:hAnsi="Times New Roman" w:cs="Times New Roman"/>
                <w:szCs w:val="24"/>
              </w:rPr>
            </w:pPr>
            <w:r w:rsidRPr="00226CB0">
              <w:t xml:space="preserve">10. W przypadku gdy podmiot gospodarczy nie wykonał decyzji, o której mowa w art. 68zj lub art. 68zk ust. 12, </w:t>
            </w:r>
            <w:r w:rsidRPr="00226CB0">
              <w:rPr>
                <w:rFonts w:eastAsiaTheme="minorHAnsi"/>
              </w:rPr>
              <w:t>w zakresie zniszczenia w terminie określonym w tej decyzji pojazdu, przedmiotu wyposażenia lub części</w:t>
            </w:r>
            <w:r w:rsidRPr="00226CB0">
              <w:t>, Dyrektor TDT jako organ nadzoru rynku ma prawo wstępu na teren nieruchomości, obiektu, lokalu lub ich części tego podmiotu gospodarczego celem odebrania mu pojazdu, przedmiotu wyposażenia lub części objętego decyzją i dokonania ich zniszczenia na koszt tego podmiotu. Przepisy art. 68zd stosuje się odpowiednio.</w:t>
            </w:r>
          </w:p>
          <w:p w14:paraId="5D9EAE14"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11. Dyrektor TDT jako organ nadzoru rynku w drodze decyzji administracyjnej określa wysokość oraz termin uiszczenia opłaty stanowiącej równowartość kosztów zniszczenia pojazdu, wyposażenia lub części oraz innych poniesionych przez Dyrektora TDT kosztów związanych z ich zniszczeniem, w tym kosztów transportu i przechowywania. </w:t>
            </w:r>
          </w:p>
          <w:p w14:paraId="2B8913FA"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12. Opłata, o której mowa w ust. 11, stanowi przychód Dyrektora TDT jako organu nadzoru rynku. </w:t>
            </w:r>
          </w:p>
          <w:p w14:paraId="44D02813" w14:textId="77777777" w:rsidR="00164ACC" w:rsidRPr="00FB76A9" w:rsidRDefault="00164ACC"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13. Minister właściwy do spraw transportu określi, w drodze rozporządzenia, wzór protokołu ze zniszczenia pojazdu, przedmiotu wyposażenia </w:t>
            </w:r>
            <w:r w:rsidRPr="00FB76A9">
              <w:rPr>
                <w:rFonts w:ascii="Times New Roman" w:hAnsi="Times New Roman" w:cs="Times New Roman"/>
                <w:szCs w:val="24"/>
              </w:rPr>
              <w:lastRenderedPageBreak/>
              <w:t xml:space="preserve">lub części, mając na względzie jednolitość dokumentacji i danych w nich zawartych. </w:t>
            </w:r>
          </w:p>
          <w:p w14:paraId="009E3AF8" w14:textId="77777777" w:rsidR="00164ACC" w:rsidRPr="00FB76A9" w:rsidRDefault="00164ACC"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Art. 68zt. 1. Dyrektor TDT jako organ nadzoru rynku podaje do publicznej wiadomości, w tym poprzez publikację na stronie podmiotowej Transportowego Dozoru Technicznego:</w:t>
            </w:r>
          </w:p>
          <w:p w14:paraId="5148FC4E"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komunikaty i ostrzeżenia dotyczące pojazdów, przedmiotów wyposażenia lub części, które są niezgodne z wymaganiami technicznymi lub stwarzają poważne ryzyko;</w:t>
            </w:r>
          </w:p>
          <w:p w14:paraId="78042FB9" w14:textId="77777777" w:rsidR="00164ACC" w:rsidRPr="00FB76A9" w:rsidRDefault="00164ACC" w:rsidP="00FD5CD5">
            <w:pPr>
              <w:pStyle w:val="ZPKTzmpk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informacje o przeprowadzonych kontrolach i ich wynikach zawierające dane identyfikujące:</w:t>
            </w:r>
          </w:p>
          <w:p w14:paraId="53A7CD62" w14:textId="77777777" w:rsidR="00164ACC" w:rsidRPr="00FB76A9" w:rsidRDefault="00164ACC"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a)</w:t>
            </w:r>
            <w:r w:rsidRPr="00FB76A9">
              <w:rPr>
                <w:rFonts w:ascii="Times New Roman" w:hAnsi="Times New Roman" w:cs="Times New Roman"/>
                <w:szCs w:val="24"/>
              </w:rPr>
              <w:tab/>
              <w:t>podmiot gospodarczy udostępniający na rynku pojazd, przedmiot wyposażenia lub część  w zakresie nazwy i adresu siedziby,</w:t>
            </w:r>
          </w:p>
          <w:p w14:paraId="677F0822" w14:textId="77777777" w:rsidR="00164ACC" w:rsidRPr="00FB76A9" w:rsidRDefault="00164ACC"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b)</w:t>
            </w:r>
            <w:r w:rsidRPr="00FB76A9">
              <w:rPr>
                <w:rFonts w:ascii="Times New Roman" w:hAnsi="Times New Roman" w:cs="Times New Roman"/>
                <w:szCs w:val="24"/>
              </w:rPr>
              <w:tab/>
              <w:t>pojazd, przedmiot wyposażenia lub część</w:t>
            </w:r>
            <w:r w:rsidRPr="00FB76A9" w:rsidDel="00A31BBF">
              <w:rPr>
                <w:rFonts w:ascii="Times New Roman" w:hAnsi="Times New Roman" w:cs="Times New Roman"/>
                <w:szCs w:val="24"/>
              </w:rPr>
              <w:t xml:space="preserve"> </w:t>
            </w:r>
            <w:r w:rsidRPr="00FB76A9">
              <w:rPr>
                <w:rFonts w:ascii="Times New Roman" w:hAnsi="Times New Roman" w:cs="Times New Roman"/>
                <w:szCs w:val="24"/>
              </w:rPr>
              <w:t>poddany kontroli oraz ich producenta – w zakresie jego nazwy i adresu siedziby;</w:t>
            </w:r>
          </w:p>
          <w:p w14:paraId="0F67F0E6"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decyzje, o których mowa w 68zj ust. 1 lub art. 68zk ust, 12, ze wskazaniem czy decyzja jest prawomocna, pomijając informacje stanowiące tajemnice podlegające ochronie na podstawie przepisów odrębnych.</w:t>
            </w:r>
          </w:p>
          <w:p w14:paraId="2191544A" w14:textId="77777777" w:rsidR="00164ACC" w:rsidRPr="00FB76A9" w:rsidRDefault="00164ACC" w:rsidP="00FD5CD5">
            <w:pPr>
              <w:spacing w:after="0" w:line="240" w:lineRule="auto"/>
              <w:ind w:left="510" w:firstLine="510"/>
              <w:rPr>
                <w:rFonts w:ascii="Times New Roman" w:hAnsi="Times New Roman" w:cs="Times New Roman"/>
                <w:sz w:val="24"/>
                <w:szCs w:val="24"/>
              </w:rPr>
            </w:pPr>
            <w:r w:rsidRPr="00FB76A9">
              <w:rPr>
                <w:rFonts w:ascii="Times New Roman" w:hAnsi="Times New Roman" w:cs="Times New Roman"/>
                <w:sz w:val="24"/>
                <w:szCs w:val="24"/>
              </w:rPr>
              <w:t>2. W przypadku, gdy podmiotem którego dotyczy publikacja, o której mowa w ust. 1 pkt 2 lub 3, jest osoba fizyczna wykonująca działalność gospodarczą, dane identyfikujące ten podmiot, obejmują firmę i miejsce wykonywania działalności gospodarczej.</w:t>
            </w:r>
          </w:p>
          <w:p w14:paraId="5F5B5F37" w14:textId="77777777" w:rsidR="00164ACC" w:rsidRPr="00FB76A9" w:rsidRDefault="00164ACC"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3. Dyrektor TDT jako organ nadzoru rynku prowadzi wykaz pojazdów, przedmiotów wyposażenia oraz części niezgodnych z wymaganiami technicznymi lub które stwarzają poważne ryzyko, zwany dalej „wykazem niezgodności”, oraz wykaz akcji serwisowych, zwany dalej „wykazem akcji”.</w:t>
            </w:r>
          </w:p>
          <w:p w14:paraId="4F60B3FF" w14:textId="77777777" w:rsidR="00164ACC" w:rsidRPr="00FB76A9" w:rsidRDefault="00164ACC"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4. W wykazie niezgodności</w:t>
            </w:r>
            <w:r w:rsidRPr="00FB76A9" w:rsidDel="00F720AF">
              <w:rPr>
                <w:rFonts w:ascii="Times New Roman" w:hAnsi="Times New Roman" w:cs="Times New Roman"/>
                <w:szCs w:val="24"/>
              </w:rPr>
              <w:t xml:space="preserve"> </w:t>
            </w:r>
            <w:r w:rsidRPr="00FB76A9">
              <w:rPr>
                <w:rFonts w:ascii="Times New Roman" w:hAnsi="Times New Roman" w:cs="Times New Roman"/>
                <w:szCs w:val="24"/>
              </w:rPr>
              <w:t>są gromadzone:</w:t>
            </w:r>
          </w:p>
          <w:p w14:paraId="4BE61082" w14:textId="77777777" w:rsidR="00164ACC" w:rsidRPr="00FB76A9" w:rsidRDefault="00164ACC"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dane umożliwiające identyfikację pojazdu, przedmiotu wyposażenia lub części;</w:t>
            </w:r>
          </w:p>
          <w:p w14:paraId="54142105" w14:textId="77777777" w:rsidR="00164ACC" w:rsidRPr="00FB76A9" w:rsidRDefault="00164ACC"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informacje o:</w:t>
            </w:r>
          </w:p>
          <w:p w14:paraId="234395D5" w14:textId="77777777" w:rsidR="00164ACC" w:rsidRPr="00FB76A9" w:rsidRDefault="00164ACC" w:rsidP="00FD5CD5">
            <w:pPr>
              <w:pStyle w:val="ZARTzmartartykuempunktem"/>
              <w:spacing w:line="240" w:lineRule="auto"/>
              <w:ind w:left="1497" w:hanging="476"/>
              <w:jc w:val="left"/>
              <w:rPr>
                <w:rFonts w:ascii="Times New Roman" w:hAnsi="Times New Roman" w:cs="Times New Roman"/>
                <w:szCs w:val="24"/>
              </w:rPr>
            </w:pPr>
            <w:r w:rsidRPr="00FB76A9">
              <w:rPr>
                <w:rFonts w:ascii="Times New Roman" w:hAnsi="Times New Roman" w:cs="Times New Roman"/>
                <w:szCs w:val="24"/>
              </w:rPr>
              <w:t>a)</w:t>
            </w:r>
            <w:r w:rsidRPr="00FB76A9">
              <w:rPr>
                <w:rFonts w:ascii="Times New Roman" w:hAnsi="Times New Roman" w:cs="Times New Roman"/>
                <w:szCs w:val="24"/>
              </w:rPr>
              <w:tab/>
              <w:t>rodzaju i zakresie niezgodności z wymaganiami technicznymi lub stwarzanym poważnym ryzykiem przez pojazd, przedmiot wyposażenia lub część,</w:t>
            </w:r>
          </w:p>
          <w:p w14:paraId="72D7DE1F" w14:textId="77777777" w:rsidR="00164ACC" w:rsidRPr="00FB76A9" w:rsidRDefault="00164ACC" w:rsidP="00FD5CD5">
            <w:pPr>
              <w:pStyle w:val="ZARTzmartartykuempunktem"/>
              <w:spacing w:line="240" w:lineRule="auto"/>
              <w:ind w:left="1497" w:hanging="476"/>
              <w:jc w:val="left"/>
              <w:rPr>
                <w:rFonts w:ascii="Times New Roman" w:hAnsi="Times New Roman" w:cs="Times New Roman"/>
                <w:szCs w:val="24"/>
              </w:rPr>
            </w:pPr>
            <w:r w:rsidRPr="00FB76A9">
              <w:rPr>
                <w:rFonts w:ascii="Times New Roman" w:hAnsi="Times New Roman" w:cs="Times New Roman"/>
                <w:szCs w:val="24"/>
              </w:rPr>
              <w:t>b)</w:t>
            </w:r>
            <w:r w:rsidRPr="00FB76A9">
              <w:rPr>
                <w:rFonts w:ascii="Times New Roman" w:hAnsi="Times New Roman" w:cs="Times New Roman"/>
                <w:szCs w:val="24"/>
              </w:rPr>
              <w:tab/>
              <w:t>środkach naprawczych, jakie zastosowano w odniesieniu do pojazdu, przedmiotu wyposażenia lub części.</w:t>
            </w:r>
          </w:p>
          <w:p w14:paraId="5E7151FB" w14:textId="77777777" w:rsidR="00164ACC" w:rsidRPr="00FB76A9" w:rsidRDefault="00164ACC"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5. Dyrektor TDT jako organ nadzoru rynku dokonuje wpisu do wykazu niezgodności</w:t>
            </w:r>
            <w:r w:rsidRPr="00FB76A9" w:rsidDel="00F720AF">
              <w:rPr>
                <w:rFonts w:ascii="Times New Roman" w:hAnsi="Times New Roman" w:cs="Times New Roman"/>
                <w:szCs w:val="24"/>
              </w:rPr>
              <w:t xml:space="preserve"> </w:t>
            </w:r>
            <w:r w:rsidRPr="00FB76A9">
              <w:rPr>
                <w:rFonts w:ascii="Times New Roman" w:eastAsia="Times New Roman" w:hAnsi="Times New Roman" w:cs="Times New Roman"/>
                <w:color w:val="333333"/>
                <w:szCs w:val="24"/>
              </w:rPr>
              <w:t xml:space="preserve">niezwłocznie po dniu, w którym decyzja, o której mowa w 68zj ust. 1 lub art. 68zk ust. 12, stała się prawomocna, lub niezwłocznie po otrzymaniu zawiadomienia w systemie </w:t>
            </w:r>
            <w:r w:rsidRPr="00FB76A9">
              <w:rPr>
                <w:rFonts w:ascii="Times New Roman" w:hAnsi="Times New Roman" w:cs="Times New Roman"/>
                <w:szCs w:val="24"/>
              </w:rPr>
              <w:t>Safety Gate</w:t>
            </w:r>
            <w:r w:rsidRPr="00FB76A9">
              <w:rPr>
                <w:rFonts w:ascii="Times New Roman" w:eastAsia="Times New Roman" w:hAnsi="Times New Roman" w:cs="Times New Roman"/>
                <w:color w:val="333333"/>
                <w:szCs w:val="24"/>
              </w:rPr>
              <w:t xml:space="preserve"> o wydaniu prawomocnej decyzji przez organ nadzoru rynku innego państwa członkowskiego Unii Europejskiej.</w:t>
            </w:r>
          </w:p>
          <w:p w14:paraId="3C62FACD" w14:textId="77777777" w:rsidR="00164ACC" w:rsidRPr="00FB76A9" w:rsidRDefault="00164ACC"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6. Dyrektor TDT jako organ nadzoru rynku, z urzędu lub na wniosek innego organu nadzoru rynku, usuwa wpis z wykazu niezgodności, w przypadku gdy:</w:t>
            </w:r>
          </w:p>
          <w:p w14:paraId="3C3C6489" w14:textId="77777777" w:rsidR="00164ACC" w:rsidRPr="00FB76A9" w:rsidRDefault="00164ACC"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lastRenderedPageBreak/>
              <w:t>1)</w:t>
            </w:r>
            <w:r w:rsidRPr="00FB76A9">
              <w:rPr>
                <w:rFonts w:ascii="Times New Roman" w:hAnsi="Times New Roman" w:cs="Times New Roman"/>
                <w:szCs w:val="24"/>
              </w:rPr>
              <w:tab/>
              <w:t xml:space="preserve">strona postępowania, o którym mowa w art. 68zj ust. 1 lub art. 68zk ust. 12 wykaże, że wykonała decyzję, o której mowa w tym przepisie; wpis usuwa się nie wcześniej niż po upływie 3 miesięcy od dnia tego wykazania; </w:t>
            </w:r>
          </w:p>
          <w:p w14:paraId="73E9C258" w14:textId="77777777" w:rsidR="00164ACC" w:rsidRPr="00FB76A9" w:rsidRDefault="00164ACC"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podmiot gospodarczy, będący stroną postępowania, o którym mowa w art. 68zj ust. 1 lub art. 68zk ust. 12, zaprzestał prowadzenia działalności gospodarczej; wpis usuwa się nie wcześniej niż po upływie 24 miesięcy od dnia zaprzestania prowadzenia działalności gospodarczej przez ten podmiot.</w:t>
            </w:r>
          </w:p>
          <w:p w14:paraId="69D19D5B" w14:textId="77777777" w:rsidR="00164ACC" w:rsidRPr="00FB76A9" w:rsidRDefault="00164ACC"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7. Dyrektor TDT jako organ nadzoru rynku może w każdym czasie podać do publicznej wiadomości informacje zawarte w wykazie niezgodności.</w:t>
            </w:r>
          </w:p>
          <w:p w14:paraId="298EA1C6" w14:textId="77777777" w:rsidR="00164ACC" w:rsidRPr="00FB76A9" w:rsidRDefault="00164ACC" w:rsidP="00FD5CD5">
            <w:pPr>
              <w:shd w:val="clear" w:color="auto" w:fill="FFFFFF"/>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imes New Roman" w:hAnsi="Times New Roman" w:cs="Times New Roman"/>
                <w:color w:val="333333"/>
                <w:sz w:val="24"/>
                <w:szCs w:val="24"/>
                <w:lang w:eastAsia="pl-PL"/>
              </w:rPr>
              <w:t xml:space="preserve">8. </w:t>
            </w:r>
            <w:r w:rsidRPr="00FB76A9">
              <w:rPr>
                <w:rFonts w:ascii="Times New Roman" w:eastAsiaTheme="minorEastAsia" w:hAnsi="Times New Roman" w:cs="Times New Roman"/>
                <w:sz w:val="24"/>
                <w:szCs w:val="24"/>
                <w:lang w:eastAsia="pl-PL"/>
              </w:rPr>
              <w:t>Wykaz niezgodności jest prowadzony z wykorzystaniem systemu teleinformatycznego.</w:t>
            </w:r>
          </w:p>
          <w:p w14:paraId="5FE0EA1E" w14:textId="77777777" w:rsidR="00164ACC" w:rsidRPr="00FB76A9" w:rsidRDefault="00164ACC"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 xml:space="preserve">9. Każdy wpis do </w:t>
            </w:r>
            <w:r w:rsidRPr="00FB76A9">
              <w:rPr>
                <w:rFonts w:ascii="Times New Roman" w:hAnsi="Times New Roman" w:cs="Times New Roman"/>
                <w:sz w:val="24"/>
                <w:szCs w:val="24"/>
              </w:rPr>
              <w:t>wykazu niezgodności</w:t>
            </w:r>
            <w:r w:rsidRPr="00FB76A9" w:rsidDel="00F720AF">
              <w:rPr>
                <w:rFonts w:ascii="Times New Roman" w:eastAsia="Times New Roman" w:hAnsi="Times New Roman" w:cs="Times New Roman"/>
                <w:color w:val="333333"/>
                <w:sz w:val="24"/>
                <w:szCs w:val="24"/>
                <w:lang w:eastAsia="pl-PL"/>
              </w:rPr>
              <w:t xml:space="preserve"> </w:t>
            </w:r>
            <w:r w:rsidRPr="00FB76A9">
              <w:rPr>
                <w:rFonts w:ascii="Times New Roman" w:eastAsia="Times New Roman" w:hAnsi="Times New Roman" w:cs="Times New Roman"/>
                <w:color w:val="333333"/>
                <w:sz w:val="24"/>
                <w:szCs w:val="24"/>
                <w:lang w:eastAsia="pl-PL"/>
              </w:rPr>
              <w:t>dotyczy jednego pojazdu, przedmiotu wyposażenia lub części.</w:t>
            </w:r>
          </w:p>
          <w:p w14:paraId="52825BC9" w14:textId="77777777" w:rsidR="00164ACC" w:rsidRPr="00FB76A9" w:rsidRDefault="00164ACC"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10. W</w:t>
            </w:r>
            <w:r w:rsidRPr="00FB76A9">
              <w:rPr>
                <w:rFonts w:ascii="Times New Roman" w:hAnsi="Times New Roman" w:cs="Times New Roman"/>
                <w:sz w:val="24"/>
                <w:szCs w:val="24"/>
              </w:rPr>
              <w:t>ykaz niezgodności</w:t>
            </w:r>
            <w:r w:rsidRPr="00FB76A9">
              <w:rPr>
                <w:rFonts w:ascii="Times New Roman" w:eastAsia="Times New Roman" w:hAnsi="Times New Roman" w:cs="Times New Roman"/>
                <w:color w:val="333333"/>
                <w:sz w:val="24"/>
                <w:szCs w:val="24"/>
                <w:lang w:eastAsia="pl-PL"/>
              </w:rPr>
              <w:t xml:space="preserve"> umożliwia niezwłoczne wyszukanie, odczytanie oraz wydrukowanie całości albo części zapisanych danych.</w:t>
            </w:r>
          </w:p>
          <w:p w14:paraId="6E081485" w14:textId="77777777" w:rsidR="00164ACC" w:rsidRPr="00FB76A9" w:rsidRDefault="00164ACC"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11. W w</w:t>
            </w:r>
            <w:r w:rsidRPr="00FB76A9">
              <w:rPr>
                <w:rFonts w:ascii="Times New Roman" w:hAnsi="Times New Roman" w:cs="Times New Roman"/>
                <w:sz w:val="24"/>
                <w:szCs w:val="24"/>
              </w:rPr>
              <w:t>ykazie niezgodności</w:t>
            </w:r>
            <w:r w:rsidRPr="00FB76A9">
              <w:rPr>
                <w:rFonts w:ascii="Times New Roman" w:eastAsia="Times New Roman" w:hAnsi="Times New Roman" w:cs="Times New Roman"/>
                <w:color w:val="333333"/>
                <w:sz w:val="24"/>
                <w:szCs w:val="24"/>
                <w:lang w:eastAsia="pl-PL"/>
              </w:rPr>
              <w:t xml:space="preserve"> umieszcza się następujące dane:</w:t>
            </w:r>
          </w:p>
          <w:p w14:paraId="47081EBD" w14:textId="77777777" w:rsidR="00164ACC" w:rsidRPr="00FB76A9" w:rsidRDefault="00164ACC"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w:t>
            </w:r>
            <w:r w:rsidRPr="00FB76A9">
              <w:rPr>
                <w:rFonts w:ascii="Times New Roman" w:eastAsia="Times New Roman" w:hAnsi="Times New Roman" w:cs="Times New Roman"/>
                <w:color w:val="333333"/>
                <w:sz w:val="24"/>
                <w:szCs w:val="24"/>
                <w:lang w:eastAsia="pl-PL"/>
              </w:rPr>
              <w:tab/>
              <w:t>datę wpisu do w</w:t>
            </w:r>
            <w:r w:rsidRPr="00FB76A9">
              <w:rPr>
                <w:rFonts w:ascii="Times New Roman" w:hAnsi="Times New Roman" w:cs="Times New Roman"/>
                <w:sz w:val="24"/>
                <w:szCs w:val="24"/>
              </w:rPr>
              <w:t>ykazu niezgodności</w:t>
            </w:r>
            <w:r w:rsidRPr="00FB76A9">
              <w:rPr>
                <w:rFonts w:ascii="Times New Roman" w:eastAsia="Times New Roman" w:hAnsi="Times New Roman" w:cs="Times New Roman"/>
                <w:color w:val="333333"/>
                <w:sz w:val="24"/>
                <w:szCs w:val="24"/>
                <w:lang w:eastAsia="pl-PL"/>
              </w:rPr>
              <w:t>;</w:t>
            </w:r>
          </w:p>
          <w:p w14:paraId="1D900C35" w14:textId="77777777" w:rsidR="00164ACC" w:rsidRPr="00FB76A9" w:rsidRDefault="00164ACC"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2)</w:t>
            </w:r>
            <w:r w:rsidRPr="00FB76A9">
              <w:rPr>
                <w:rFonts w:ascii="Times New Roman" w:eastAsia="Times New Roman" w:hAnsi="Times New Roman" w:cs="Times New Roman"/>
                <w:color w:val="333333"/>
                <w:sz w:val="24"/>
                <w:szCs w:val="24"/>
                <w:lang w:eastAsia="pl-PL"/>
              </w:rPr>
              <w:tab/>
              <w:t>numer identyfikacyjny wpisu;</w:t>
            </w:r>
          </w:p>
          <w:p w14:paraId="3A311509" w14:textId="77777777" w:rsidR="00164ACC" w:rsidRPr="00FB76A9" w:rsidRDefault="00164ACC"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3)</w:t>
            </w:r>
            <w:r w:rsidRPr="00FB76A9">
              <w:rPr>
                <w:rFonts w:ascii="Times New Roman" w:eastAsia="Times New Roman" w:hAnsi="Times New Roman" w:cs="Times New Roman"/>
                <w:color w:val="333333"/>
                <w:sz w:val="24"/>
                <w:szCs w:val="24"/>
                <w:lang w:eastAsia="pl-PL"/>
              </w:rPr>
              <w:tab/>
              <w:t>oznaczenie decyzji, o której mowa w art. 68zj ust. 1 lub art. 68zk ust. 12;</w:t>
            </w:r>
          </w:p>
          <w:p w14:paraId="0800D490"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color w:val="333333"/>
                <w:szCs w:val="24"/>
              </w:rPr>
              <w:lastRenderedPageBreak/>
              <w:t xml:space="preserve">4)      oznaczenie pojazdu, przedmiotu wyposażenia lub części, </w:t>
            </w:r>
            <w:r w:rsidRPr="00FB76A9">
              <w:rPr>
                <w:rFonts w:ascii="Times New Roman" w:hAnsi="Times New Roman" w:cs="Times New Roman"/>
                <w:szCs w:val="24"/>
              </w:rPr>
              <w:t>w tym numer VIN lub inny numer umożliwiający identyfikację pojazdu, przedmiotu wyposażenia lub części;</w:t>
            </w:r>
          </w:p>
          <w:p w14:paraId="22E74712" w14:textId="77777777" w:rsidR="00164ACC" w:rsidRPr="00FB76A9" w:rsidRDefault="00164ACC"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5)</w:t>
            </w:r>
            <w:r w:rsidRPr="00FB76A9">
              <w:rPr>
                <w:rFonts w:ascii="Times New Roman" w:eastAsia="Times New Roman" w:hAnsi="Times New Roman" w:cs="Times New Roman"/>
                <w:color w:val="333333"/>
                <w:sz w:val="24"/>
                <w:szCs w:val="24"/>
                <w:lang w:eastAsia="pl-PL"/>
              </w:rPr>
              <w:tab/>
              <w:t>Europejski Kod Towarowy (kod EAN) wyrobu, jeżeli kod taki w przypadku danego pojazdu, przedmiotu wyposażenia lub części występuje;</w:t>
            </w:r>
          </w:p>
          <w:p w14:paraId="1D9E3E34" w14:textId="77777777" w:rsidR="00164ACC" w:rsidRPr="00FB76A9" w:rsidRDefault="00164ACC"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6)</w:t>
            </w:r>
            <w:r w:rsidRPr="00FB76A9">
              <w:rPr>
                <w:rFonts w:ascii="Times New Roman" w:eastAsia="Times New Roman" w:hAnsi="Times New Roman" w:cs="Times New Roman"/>
                <w:color w:val="333333"/>
                <w:sz w:val="24"/>
                <w:szCs w:val="24"/>
                <w:lang w:eastAsia="pl-PL"/>
              </w:rPr>
              <w:tab/>
              <w:t>kraj produkcji pojazdu, przedmiotu wyposażenia lub części;</w:t>
            </w:r>
          </w:p>
          <w:p w14:paraId="5AC5215D" w14:textId="77777777" w:rsidR="00164ACC" w:rsidRPr="00FB76A9" w:rsidRDefault="00164ACC"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7)</w:t>
            </w:r>
            <w:r w:rsidRPr="00FB76A9">
              <w:rPr>
                <w:rFonts w:ascii="Times New Roman" w:eastAsia="Times New Roman" w:hAnsi="Times New Roman" w:cs="Times New Roman"/>
                <w:color w:val="333333"/>
                <w:sz w:val="24"/>
                <w:szCs w:val="24"/>
                <w:lang w:eastAsia="pl-PL"/>
              </w:rPr>
              <w:tab/>
              <w:t>firmę lub nazwę oraz adres podmiotu gospodarczego, który wprowadził do obrotu lub udostępnił pojazd, przedmiot wyposażenia lub część na rynku Rzeczypospolitej Polskiej, wraz ze wskazaniem czy działał on jako producent, przedstawiciel producenta, importer czy dystrybutor;</w:t>
            </w:r>
          </w:p>
          <w:p w14:paraId="579DC9C5" w14:textId="77777777" w:rsidR="00164ACC" w:rsidRPr="00FB76A9" w:rsidRDefault="00164ACC"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sz w:val="24"/>
                <w:szCs w:val="24"/>
                <w:lang w:eastAsia="pl-PL"/>
              </w:rPr>
              <w:t>8)</w:t>
            </w:r>
            <w:r w:rsidRPr="00FB76A9">
              <w:rPr>
                <w:rFonts w:ascii="Times New Roman" w:eastAsia="Times New Roman" w:hAnsi="Times New Roman" w:cs="Times New Roman"/>
                <w:color w:val="333333"/>
                <w:sz w:val="24"/>
                <w:szCs w:val="24"/>
                <w:lang w:eastAsia="pl-PL"/>
              </w:rPr>
              <w:tab/>
              <w:t xml:space="preserve">opis stwierdzonych </w:t>
            </w:r>
            <w:r w:rsidRPr="00FB76A9">
              <w:rPr>
                <w:rFonts w:ascii="Times New Roman" w:hAnsi="Times New Roman" w:cs="Times New Roman"/>
                <w:sz w:val="24"/>
                <w:szCs w:val="24"/>
              </w:rPr>
              <w:t>niezgodności z wymaganiami technicznymi lub stwarzanego poważnego ryzyka przez</w:t>
            </w:r>
            <w:r w:rsidRPr="00FB76A9">
              <w:rPr>
                <w:rFonts w:ascii="Times New Roman" w:eastAsia="Times New Roman" w:hAnsi="Times New Roman" w:cs="Times New Roman"/>
                <w:color w:val="333333"/>
                <w:sz w:val="24"/>
                <w:szCs w:val="24"/>
                <w:lang w:eastAsia="pl-PL"/>
              </w:rPr>
              <w:t xml:space="preserve"> pojazd, przedmiot wyposażenia lub część;</w:t>
            </w:r>
          </w:p>
          <w:p w14:paraId="5B52745D" w14:textId="77777777" w:rsidR="00164ACC" w:rsidRPr="00FB76A9" w:rsidRDefault="00164ACC"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9)</w:t>
            </w:r>
            <w:r w:rsidRPr="00FB76A9">
              <w:rPr>
                <w:rFonts w:ascii="Times New Roman" w:eastAsia="Times New Roman" w:hAnsi="Times New Roman" w:cs="Times New Roman"/>
                <w:color w:val="333333"/>
                <w:sz w:val="24"/>
                <w:szCs w:val="24"/>
                <w:lang w:eastAsia="pl-PL"/>
              </w:rPr>
              <w:tab/>
              <w:t xml:space="preserve">określenie środków naprawczych, jakie zastosowano w odniesieniu do pojazdu, przedmiotu wyposażenia lub części </w:t>
            </w:r>
            <w:r w:rsidRPr="00FB76A9">
              <w:rPr>
                <w:rFonts w:ascii="Times New Roman" w:hAnsi="Times New Roman" w:cs="Times New Roman"/>
                <w:sz w:val="24"/>
                <w:szCs w:val="24"/>
              </w:rPr>
              <w:t>niezgodnego z wymaganiami technicznymi lub stwarzającego poważne ryzyko</w:t>
            </w:r>
            <w:r w:rsidRPr="00FB76A9">
              <w:rPr>
                <w:rFonts w:ascii="Times New Roman" w:eastAsia="Times New Roman" w:hAnsi="Times New Roman" w:cs="Times New Roman"/>
                <w:color w:val="333333"/>
                <w:sz w:val="24"/>
                <w:szCs w:val="24"/>
                <w:lang w:eastAsia="pl-PL"/>
              </w:rPr>
              <w:t>;</w:t>
            </w:r>
          </w:p>
          <w:p w14:paraId="0546FFE9" w14:textId="77777777" w:rsidR="00164ACC" w:rsidRPr="00FB76A9" w:rsidRDefault="00164ACC"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10)</w:t>
            </w:r>
            <w:r w:rsidRPr="00FB76A9">
              <w:rPr>
                <w:rFonts w:ascii="Times New Roman" w:eastAsia="Times New Roman" w:hAnsi="Times New Roman" w:cs="Times New Roman"/>
                <w:color w:val="333333"/>
                <w:sz w:val="24"/>
                <w:szCs w:val="24"/>
                <w:lang w:eastAsia="pl-PL"/>
              </w:rPr>
              <w:tab/>
              <w:t>inne informacje wynikające z decyzji, o której mowa w art. 68zj ust. 1 lub art. 68zk ust. 12, których umieszczenie w rejestrze może mieć wpływ na zapewnienie bezpieczeństwa użytkownikom końcowym.</w:t>
            </w:r>
          </w:p>
          <w:p w14:paraId="0FD4453F" w14:textId="77777777" w:rsidR="00164ACC" w:rsidRPr="00FB76A9" w:rsidRDefault="00164ACC" w:rsidP="00FD5CD5">
            <w:pPr>
              <w:shd w:val="clear" w:color="auto" w:fill="FFFFFF"/>
              <w:spacing w:after="0" w:line="240" w:lineRule="auto"/>
              <w:ind w:left="510" w:firstLine="510"/>
              <w:rPr>
                <w:rFonts w:ascii="Times New Roman" w:hAnsi="Times New Roman" w:cs="Times New Roman"/>
                <w:sz w:val="24"/>
                <w:szCs w:val="24"/>
              </w:rPr>
            </w:pPr>
            <w:r w:rsidRPr="00FB76A9">
              <w:rPr>
                <w:rFonts w:ascii="Times New Roman" w:eastAsia="Times New Roman" w:hAnsi="Times New Roman" w:cs="Times New Roman"/>
                <w:color w:val="333333"/>
                <w:sz w:val="24"/>
                <w:szCs w:val="24"/>
                <w:lang w:eastAsia="pl-PL"/>
              </w:rPr>
              <w:lastRenderedPageBreak/>
              <w:t>12. W w</w:t>
            </w:r>
            <w:r w:rsidRPr="00FB76A9">
              <w:rPr>
                <w:rFonts w:ascii="Times New Roman" w:hAnsi="Times New Roman" w:cs="Times New Roman"/>
                <w:sz w:val="24"/>
                <w:szCs w:val="24"/>
              </w:rPr>
              <w:t>ykazie niezgodności</w:t>
            </w:r>
            <w:r w:rsidRPr="00FB76A9">
              <w:rPr>
                <w:rFonts w:ascii="Times New Roman" w:eastAsia="Times New Roman" w:hAnsi="Times New Roman" w:cs="Times New Roman"/>
                <w:color w:val="333333"/>
                <w:sz w:val="24"/>
                <w:szCs w:val="24"/>
                <w:lang w:eastAsia="pl-PL"/>
              </w:rPr>
              <w:t xml:space="preserve"> mogą być umieszczane zdjęcia pojazdu, przedmiotu wyposażenia lub części, lub ich opakowania.</w:t>
            </w:r>
          </w:p>
          <w:p w14:paraId="5D712CD2" w14:textId="77777777" w:rsidR="00164ACC" w:rsidRPr="00FB76A9" w:rsidRDefault="00164ACC" w:rsidP="00FD5CD5">
            <w:pPr>
              <w:shd w:val="clear" w:color="auto" w:fill="FFFFFF"/>
              <w:spacing w:after="0" w:line="240" w:lineRule="auto"/>
              <w:ind w:left="510" w:firstLine="510"/>
              <w:rPr>
                <w:rFonts w:ascii="Times New Roman" w:hAnsi="Times New Roman" w:cs="Times New Roman"/>
                <w:sz w:val="24"/>
                <w:szCs w:val="24"/>
              </w:rPr>
            </w:pPr>
            <w:r w:rsidRPr="00FB76A9">
              <w:rPr>
                <w:rFonts w:ascii="Times New Roman" w:eastAsia="Times New Roman" w:hAnsi="Times New Roman" w:cs="Times New Roman"/>
                <w:color w:val="333333"/>
                <w:sz w:val="24"/>
                <w:szCs w:val="24"/>
                <w:lang w:eastAsia="pl-PL"/>
              </w:rPr>
              <w:t xml:space="preserve">13. </w:t>
            </w:r>
            <w:r w:rsidRPr="00FB76A9">
              <w:rPr>
                <w:rFonts w:ascii="Times New Roman" w:hAnsi="Times New Roman" w:cs="Times New Roman"/>
                <w:sz w:val="24"/>
                <w:szCs w:val="24"/>
              </w:rPr>
              <w:t>W wykazie akcji</w:t>
            </w:r>
            <w:r w:rsidRPr="00FB76A9" w:rsidDel="00F720AF">
              <w:rPr>
                <w:rFonts w:ascii="Times New Roman" w:hAnsi="Times New Roman" w:cs="Times New Roman"/>
                <w:sz w:val="24"/>
                <w:szCs w:val="24"/>
              </w:rPr>
              <w:t xml:space="preserve"> </w:t>
            </w:r>
            <w:r w:rsidRPr="00FB76A9">
              <w:rPr>
                <w:rFonts w:ascii="Times New Roman" w:hAnsi="Times New Roman" w:cs="Times New Roman"/>
                <w:sz w:val="24"/>
                <w:szCs w:val="24"/>
              </w:rPr>
              <w:t>są gromadzone:</w:t>
            </w:r>
          </w:p>
          <w:p w14:paraId="59D15133" w14:textId="77777777" w:rsidR="00164ACC" w:rsidRPr="00FB76A9" w:rsidRDefault="00164ACC"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dane umożliwiające identyfikację pojazdu:</w:t>
            </w:r>
          </w:p>
          <w:p w14:paraId="4E24F45B" w14:textId="77777777" w:rsidR="00164ACC" w:rsidRPr="00FB76A9" w:rsidRDefault="00164ACC" w:rsidP="005E0F9D">
            <w:pPr>
              <w:pStyle w:val="ZARTzmartartykuempunktem"/>
              <w:numPr>
                <w:ilvl w:val="0"/>
                <w:numId w:val="24"/>
              </w:numPr>
              <w:spacing w:line="240" w:lineRule="auto"/>
              <w:jc w:val="left"/>
              <w:rPr>
                <w:rFonts w:ascii="Times New Roman" w:hAnsi="Times New Roman" w:cs="Times New Roman"/>
                <w:szCs w:val="24"/>
              </w:rPr>
            </w:pPr>
            <w:r w:rsidRPr="00FB76A9">
              <w:rPr>
                <w:rFonts w:ascii="Times New Roman" w:hAnsi="Times New Roman" w:cs="Times New Roman"/>
                <w:szCs w:val="24"/>
              </w:rPr>
              <w:t>datę i numer wpisu do wykazu akcji;</w:t>
            </w:r>
          </w:p>
          <w:p w14:paraId="7ABF374C" w14:textId="77777777" w:rsidR="00164ACC" w:rsidRPr="00FB76A9" w:rsidRDefault="00164ACC" w:rsidP="005E0F9D">
            <w:pPr>
              <w:pStyle w:val="ZARTzmartartykuempunktem"/>
              <w:numPr>
                <w:ilvl w:val="0"/>
                <w:numId w:val="24"/>
              </w:numPr>
              <w:spacing w:line="240" w:lineRule="auto"/>
              <w:jc w:val="left"/>
              <w:rPr>
                <w:rFonts w:ascii="Times New Roman" w:hAnsi="Times New Roman" w:cs="Times New Roman"/>
                <w:szCs w:val="24"/>
              </w:rPr>
            </w:pPr>
            <w:r w:rsidRPr="00FB76A9">
              <w:rPr>
                <w:rFonts w:ascii="Times New Roman" w:hAnsi="Times New Roman" w:cs="Times New Roman"/>
                <w:szCs w:val="24"/>
              </w:rPr>
              <w:t>markę i model pojazdu;</w:t>
            </w:r>
          </w:p>
          <w:p w14:paraId="14B96290" w14:textId="77777777" w:rsidR="00164ACC" w:rsidRPr="00FB76A9" w:rsidRDefault="00164ACC" w:rsidP="005E0F9D">
            <w:pPr>
              <w:pStyle w:val="ZARTzmartartykuempunktem"/>
              <w:numPr>
                <w:ilvl w:val="0"/>
                <w:numId w:val="24"/>
              </w:numPr>
              <w:spacing w:line="240" w:lineRule="auto"/>
              <w:jc w:val="left"/>
              <w:rPr>
                <w:rFonts w:ascii="Times New Roman" w:hAnsi="Times New Roman" w:cs="Times New Roman"/>
                <w:szCs w:val="24"/>
              </w:rPr>
            </w:pPr>
            <w:r w:rsidRPr="00FB76A9">
              <w:rPr>
                <w:rFonts w:ascii="Times New Roman" w:hAnsi="Times New Roman" w:cs="Times New Roman"/>
                <w:szCs w:val="24"/>
              </w:rPr>
              <w:t>okres produkcji;</w:t>
            </w:r>
          </w:p>
          <w:p w14:paraId="2706DCD8" w14:textId="77777777" w:rsidR="00164ACC" w:rsidRPr="00FB76A9" w:rsidRDefault="00164ACC" w:rsidP="005E0F9D">
            <w:pPr>
              <w:pStyle w:val="ZARTzmartartykuempunktem"/>
              <w:numPr>
                <w:ilvl w:val="0"/>
                <w:numId w:val="24"/>
              </w:numPr>
              <w:spacing w:line="240" w:lineRule="auto"/>
              <w:jc w:val="left"/>
              <w:rPr>
                <w:rFonts w:ascii="Times New Roman" w:hAnsi="Times New Roman" w:cs="Times New Roman"/>
                <w:szCs w:val="24"/>
              </w:rPr>
            </w:pPr>
            <w:r w:rsidRPr="00FB76A9">
              <w:rPr>
                <w:rFonts w:ascii="Times New Roman" w:eastAsia="Times New Roman" w:hAnsi="Times New Roman" w:cs="Times New Roman"/>
                <w:color w:val="333333"/>
                <w:szCs w:val="24"/>
              </w:rPr>
              <w:t>numer odpowiedniego dokumentu, o którym mowa w art. 14 ust. 4 w odniesieniu do pojazdu, jeśli dotyczy;</w:t>
            </w:r>
            <w:r w:rsidRPr="00FB76A9">
              <w:rPr>
                <w:rFonts w:ascii="Times New Roman" w:hAnsi="Times New Roman" w:cs="Times New Roman"/>
                <w:szCs w:val="24"/>
              </w:rPr>
              <w:t xml:space="preserve"> </w:t>
            </w:r>
          </w:p>
          <w:p w14:paraId="4D531C97" w14:textId="77777777" w:rsidR="00164ACC" w:rsidRPr="00FB76A9" w:rsidRDefault="00164ACC" w:rsidP="005E0F9D">
            <w:pPr>
              <w:pStyle w:val="ZARTzmartartykuempunktem"/>
              <w:numPr>
                <w:ilvl w:val="0"/>
                <w:numId w:val="24"/>
              </w:numPr>
              <w:spacing w:line="240" w:lineRule="auto"/>
              <w:jc w:val="left"/>
              <w:rPr>
                <w:rFonts w:ascii="Times New Roman" w:hAnsi="Times New Roman" w:cs="Times New Roman"/>
                <w:szCs w:val="24"/>
              </w:rPr>
            </w:pPr>
            <w:r w:rsidRPr="00FB76A9">
              <w:rPr>
                <w:rFonts w:ascii="Times New Roman" w:hAnsi="Times New Roman" w:cs="Times New Roman"/>
                <w:szCs w:val="24"/>
              </w:rPr>
              <w:t>kod serwisowy producenta;</w:t>
            </w:r>
          </w:p>
          <w:p w14:paraId="087CA9B2" w14:textId="77777777" w:rsidR="00164ACC" w:rsidRPr="00FB76A9" w:rsidRDefault="00164ACC" w:rsidP="005E0F9D">
            <w:pPr>
              <w:pStyle w:val="ZARTzmartartykuempunktem"/>
              <w:numPr>
                <w:ilvl w:val="0"/>
                <w:numId w:val="24"/>
              </w:numPr>
              <w:spacing w:line="240" w:lineRule="auto"/>
              <w:jc w:val="left"/>
              <w:rPr>
                <w:rFonts w:ascii="Times New Roman" w:hAnsi="Times New Roman" w:cs="Times New Roman"/>
                <w:szCs w:val="24"/>
              </w:rPr>
            </w:pPr>
            <w:r w:rsidRPr="00FB76A9">
              <w:rPr>
                <w:rFonts w:ascii="Times New Roman" w:eastAsia="Times New Roman" w:hAnsi="Times New Roman" w:cs="Times New Roman"/>
                <w:color w:val="333333"/>
                <w:szCs w:val="24"/>
              </w:rPr>
              <w:t xml:space="preserve">opis stwierdzonych </w:t>
            </w:r>
            <w:r w:rsidRPr="00FB76A9">
              <w:rPr>
                <w:rFonts w:ascii="Times New Roman" w:hAnsi="Times New Roman" w:cs="Times New Roman"/>
                <w:szCs w:val="24"/>
              </w:rPr>
              <w:t>niezgodności z wymaganiami technicznymi lub stwarzanego poważnego ryzyka przez</w:t>
            </w:r>
            <w:r w:rsidRPr="00FB76A9">
              <w:rPr>
                <w:rFonts w:ascii="Times New Roman" w:eastAsia="Times New Roman" w:hAnsi="Times New Roman" w:cs="Times New Roman"/>
                <w:color w:val="333333"/>
                <w:szCs w:val="24"/>
              </w:rPr>
              <w:t xml:space="preserve"> pojazd; </w:t>
            </w:r>
          </w:p>
          <w:p w14:paraId="3186C72A" w14:textId="77777777" w:rsidR="00164ACC" w:rsidRPr="00FB76A9" w:rsidRDefault="00164ACC" w:rsidP="005E0F9D">
            <w:pPr>
              <w:pStyle w:val="ZARTzmartartykuempunktem"/>
              <w:numPr>
                <w:ilvl w:val="0"/>
                <w:numId w:val="24"/>
              </w:numPr>
              <w:spacing w:line="240" w:lineRule="auto"/>
              <w:jc w:val="left"/>
              <w:rPr>
                <w:rFonts w:ascii="Times New Roman" w:hAnsi="Times New Roman" w:cs="Times New Roman"/>
                <w:szCs w:val="24"/>
              </w:rPr>
            </w:pPr>
            <w:r w:rsidRPr="00FB76A9">
              <w:rPr>
                <w:rFonts w:ascii="Times New Roman" w:hAnsi="Times New Roman" w:cs="Times New Roman"/>
                <w:szCs w:val="24"/>
              </w:rPr>
              <w:t>numer referencyjny Transportowego Dozoru Technicznego oraz informację o statusie monitorowania w Transportowym Dozorze Technicznym;</w:t>
            </w:r>
          </w:p>
          <w:p w14:paraId="1A936443" w14:textId="77777777" w:rsidR="00164ACC" w:rsidRPr="00FB76A9" w:rsidRDefault="00164ACC" w:rsidP="005E0F9D">
            <w:pPr>
              <w:pStyle w:val="ZARTzmartartykuempunktem"/>
              <w:numPr>
                <w:ilvl w:val="0"/>
                <w:numId w:val="24"/>
              </w:numPr>
              <w:spacing w:line="240" w:lineRule="auto"/>
              <w:jc w:val="left"/>
              <w:rPr>
                <w:rFonts w:ascii="Times New Roman" w:hAnsi="Times New Roman" w:cs="Times New Roman"/>
                <w:szCs w:val="24"/>
              </w:rPr>
            </w:pPr>
            <w:r w:rsidRPr="00FB76A9">
              <w:rPr>
                <w:rFonts w:ascii="Times New Roman" w:hAnsi="Times New Roman" w:cs="Times New Roman"/>
                <w:szCs w:val="24"/>
              </w:rPr>
              <w:t>dodatkowe informacje dotyczące możliwych ograniczeń modeli objętych akcją serwisową, znanych incydentów, liczby potencjalnie objętych akcją serwisową pojazdów w Unii Europejskiej oraz w Polsce, a także numery VIN tych pojazdów;</w:t>
            </w:r>
          </w:p>
          <w:p w14:paraId="237A1530" w14:textId="77777777" w:rsidR="00164ACC" w:rsidRPr="00FB76A9" w:rsidRDefault="00164ACC" w:rsidP="005E0F9D">
            <w:pPr>
              <w:pStyle w:val="ZARTzmartartykuempunktem"/>
              <w:numPr>
                <w:ilvl w:val="0"/>
                <w:numId w:val="24"/>
              </w:numPr>
              <w:spacing w:line="240" w:lineRule="auto"/>
              <w:jc w:val="left"/>
              <w:rPr>
                <w:rFonts w:ascii="Times New Roman" w:hAnsi="Times New Roman" w:cs="Times New Roman"/>
                <w:szCs w:val="24"/>
              </w:rPr>
            </w:pPr>
            <w:r w:rsidRPr="00FB76A9">
              <w:rPr>
                <w:rFonts w:ascii="Times New Roman" w:hAnsi="Times New Roman" w:cs="Times New Roman"/>
                <w:szCs w:val="24"/>
              </w:rPr>
              <w:t>dane kontaktowe do producenta pojazdu w zakresie numeru telefonu, adresu strony internetowej lub adresu poczty elektronicznej;</w:t>
            </w:r>
          </w:p>
          <w:p w14:paraId="1D8BAAC8" w14:textId="77777777" w:rsidR="00164ACC" w:rsidRPr="00FB76A9" w:rsidRDefault="00164ACC" w:rsidP="005E0F9D">
            <w:pPr>
              <w:pStyle w:val="ZARTzmartartykuempunktem"/>
              <w:numPr>
                <w:ilvl w:val="0"/>
                <w:numId w:val="24"/>
              </w:numPr>
              <w:spacing w:line="240" w:lineRule="auto"/>
              <w:jc w:val="left"/>
              <w:rPr>
                <w:rFonts w:ascii="Times New Roman" w:hAnsi="Times New Roman" w:cs="Times New Roman"/>
                <w:szCs w:val="24"/>
              </w:rPr>
            </w:pPr>
            <w:r w:rsidRPr="00FB76A9">
              <w:rPr>
                <w:rFonts w:ascii="Times New Roman" w:hAnsi="Times New Roman" w:cs="Times New Roman"/>
                <w:szCs w:val="24"/>
              </w:rPr>
              <w:t>inne informacje, których umieszczenie w wykazie akcji może mieć wpływ na zapewnienie bezpieczeństwa użytkownikom końcowym;</w:t>
            </w:r>
          </w:p>
          <w:p w14:paraId="1223740E" w14:textId="77777777" w:rsidR="00164ACC" w:rsidRPr="00FB76A9" w:rsidRDefault="00164ACC"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informacje o:</w:t>
            </w:r>
          </w:p>
          <w:p w14:paraId="7527F5CE" w14:textId="77777777" w:rsidR="00164ACC" w:rsidRPr="00FB76A9" w:rsidRDefault="00164ACC" w:rsidP="00FD5CD5">
            <w:pPr>
              <w:pStyle w:val="ZARTzmartartykuempunktem"/>
              <w:spacing w:line="240" w:lineRule="auto"/>
              <w:ind w:left="1701" w:hanging="341"/>
              <w:jc w:val="left"/>
              <w:rPr>
                <w:rFonts w:ascii="Times New Roman" w:hAnsi="Times New Roman" w:cs="Times New Roman"/>
                <w:szCs w:val="24"/>
              </w:rPr>
            </w:pPr>
            <w:r w:rsidRPr="00FB76A9">
              <w:rPr>
                <w:rFonts w:ascii="Times New Roman" w:hAnsi="Times New Roman" w:cs="Times New Roman"/>
                <w:szCs w:val="24"/>
              </w:rPr>
              <w:lastRenderedPageBreak/>
              <w:t>a)</w:t>
            </w:r>
            <w:r w:rsidRPr="00FB76A9">
              <w:rPr>
                <w:rFonts w:ascii="Times New Roman" w:hAnsi="Times New Roman" w:cs="Times New Roman"/>
                <w:szCs w:val="24"/>
              </w:rPr>
              <w:tab/>
              <w:t>rodzaju i zakresie prowadzonej przez podmiot gospodarczy akcji serwisowej,</w:t>
            </w:r>
          </w:p>
          <w:p w14:paraId="190DCCEF" w14:textId="77777777" w:rsidR="00164ACC" w:rsidRPr="00FB76A9" w:rsidRDefault="00164ACC" w:rsidP="00FD5CD5">
            <w:pPr>
              <w:pStyle w:val="ZARTzmartartykuempunktem"/>
              <w:spacing w:line="240" w:lineRule="auto"/>
              <w:ind w:left="1700" w:hanging="340"/>
              <w:jc w:val="left"/>
              <w:rPr>
                <w:rFonts w:ascii="Times New Roman" w:hAnsi="Times New Roman" w:cs="Times New Roman"/>
                <w:szCs w:val="24"/>
              </w:rPr>
            </w:pPr>
            <w:r w:rsidRPr="00FB76A9">
              <w:rPr>
                <w:rFonts w:ascii="Times New Roman" w:hAnsi="Times New Roman" w:cs="Times New Roman"/>
                <w:szCs w:val="24"/>
              </w:rPr>
              <w:t>b)</w:t>
            </w:r>
            <w:r w:rsidRPr="00FB76A9">
              <w:rPr>
                <w:rFonts w:ascii="Times New Roman" w:hAnsi="Times New Roman" w:cs="Times New Roman"/>
                <w:szCs w:val="24"/>
              </w:rPr>
              <w:tab/>
              <w:t>warunkach i ograniczeniach prowadzonej przez podmiot gospodarczy akcji serwisowej.</w:t>
            </w:r>
          </w:p>
          <w:p w14:paraId="417BB248" w14:textId="77777777" w:rsidR="00164ACC" w:rsidRPr="00FB76A9" w:rsidRDefault="00164ACC" w:rsidP="00FD5CD5">
            <w:pPr>
              <w:shd w:val="clear" w:color="auto" w:fill="FFFFFF"/>
              <w:spacing w:after="0" w:line="240" w:lineRule="auto"/>
              <w:ind w:left="510" w:firstLine="510"/>
              <w:rPr>
                <w:rFonts w:ascii="Times New Roman" w:hAnsi="Times New Roman" w:cs="Times New Roman"/>
                <w:sz w:val="24"/>
                <w:szCs w:val="24"/>
              </w:rPr>
            </w:pPr>
            <w:r w:rsidRPr="00FB76A9">
              <w:rPr>
                <w:rFonts w:ascii="Times New Roman" w:eastAsia="Times New Roman" w:hAnsi="Times New Roman" w:cs="Times New Roman"/>
                <w:color w:val="333333"/>
                <w:sz w:val="24"/>
                <w:szCs w:val="24"/>
                <w:lang w:eastAsia="pl-PL"/>
              </w:rPr>
              <w:t xml:space="preserve">14. </w:t>
            </w:r>
            <w:r w:rsidRPr="00FB76A9">
              <w:rPr>
                <w:rFonts w:ascii="Times New Roman" w:hAnsi="Times New Roman" w:cs="Times New Roman"/>
                <w:sz w:val="24"/>
                <w:szCs w:val="24"/>
              </w:rPr>
              <w:t>Dyrektor TDT jako organ nadzoru rynku dokonuje wpisu do wykazu akcji</w:t>
            </w:r>
            <w:r w:rsidRPr="00FB76A9" w:rsidDel="00F720AF">
              <w:rPr>
                <w:rFonts w:ascii="Times New Roman" w:hAnsi="Times New Roman" w:cs="Times New Roman"/>
                <w:sz w:val="24"/>
                <w:szCs w:val="24"/>
              </w:rPr>
              <w:t xml:space="preserve"> </w:t>
            </w:r>
            <w:r w:rsidRPr="00FB76A9">
              <w:rPr>
                <w:rFonts w:ascii="Times New Roman" w:hAnsi="Times New Roman" w:cs="Times New Roman"/>
                <w:sz w:val="24"/>
                <w:szCs w:val="24"/>
              </w:rPr>
              <w:t>na podstawie:</w:t>
            </w:r>
          </w:p>
          <w:p w14:paraId="41735C9B" w14:textId="77777777" w:rsidR="00164ACC" w:rsidRPr="00FB76A9" w:rsidRDefault="00164ACC" w:rsidP="005E0F9D">
            <w:pPr>
              <w:pStyle w:val="ZARTzmartartykuempunktem"/>
              <w:numPr>
                <w:ilvl w:val="0"/>
                <w:numId w:val="20"/>
              </w:numPr>
              <w:suppressAutoHyphens w:val="0"/>
              <w:adjustRightInd/>
              <w:spacing w:line="240" w:lineRule="auto"/>
              <w:jc w:val="left"/>
              <w:rPr>
                <w:rFonts w:ascii="Times New Roman" w:hAnsi="Times New Roman" w:cs="Times New Roman"/>
                <w:szCs w:val="24"/>
              </w:rPr>
            </w:pPr>
            <w:r w:rsidRPr="00FB76A9">
              <w:rPr>
                <w:rFonts w:ascii="Times New Roman" w:hAnsi="Times New Roman" w:cs="Times New Roman"/>
                <w:szCs w:val="24"/>
              </w:rPr>
              <w:t>własnych działań Dyrektora TDT jako organu nadzoru rynku lub</w:t>
            </w:r>
          </w:p>
          <w:p w14:paraId="01B48818" w14:textId="77777777" w:rsidR="00164ACC" w:rsidRPr="00FB76A9" w:rsidRDefault="00164ACC" w:rsidP="005E0F9D">
            <w:pPr>
              <w:pStyle w:val="ZARTzmartartykuempunktem"/>
              <w:numPr>
                <w:ilvl w:val="0"/>
                <w:numId w:val="20"/>
              </w:numPr>
              <w:suppressAutoHyphens w:val="0"/>
              <w:adjustRightInd/>
              <w:spacing w:line="240" w:lineRule="auto"/>
              <w:jc w:val="left"/>
              <w:rPr>
                <w:rFonts w:ascii="Times New Roman" w:hAnsi="Times New Roman" w:cs="Times New Roman"/>
                <w:szCs w:val="24"/>
              </w:rPr>
            </w:pPr>
            <w:r w:rsidRPr="00FB76A9">
              <w:rPr>
                <w:rFonts w:ascii="Times New Roman" w:hAnsi="Times New Roman" w:cs="Times New Roman"/>
                <w:szCs w:val="24"/>
              </w:rPr>
              <w:t>informacji zamieszczonych w systemie Safety Gate lub</w:t>
            </w:r>
          </w:p>
          <w:p w14:paraId="05D5B5C6" w14:textId="77777777" w:rsidR="00164ACC" w:rsidRPr="00FB76A9" w:rsidRDefault="00164ACC" w:rsidP="005E0F9D">
            <w:pPr>
              <w:pStyle w:val="ZARTzmartartykuempunktem"/>
              <w:numPr>
                <w:ilvl w:val="0"/>
                <w:numId w:val="20"/>
              </w:numPr>
              <w:shd w:val="clear" w:color="auto" w:fill="FFFFFF"/>
              <w:spacing w:line="240" w:lineRule="auto"/>
              <w:jc w:val="left"/>
              <w:rPr>
                <w:rFonts w:ascii="Times New Roman" w:eastAsia="Times New Roman" w:hAnsi="Times New Roman" w:cs="Times New Roman"/>
                <w:color w:val="333333"/>
                <w:szCs w:val="24"/>
              </w:rPr>
            </w:pPr>
            <w:r w:rsidRPr="00FB76A9">
              <w:rPr>
                <w:rFonts w:ascii="Times New Roman" w:hAnsi="Times New Roman" w:cs="Times New Roman"/>
                <w:szCs w:val="24"/>
              </w:rPr>
              <w:t>informacji przekazanych przez organ udzielający homologacji lub</w:t>
            </w:r>
          </w:p>
          <w:p w14:paraId="72AB111F" w14:textId="77777777" w:rsidR="00164ACC" w:rsidRPr="00FB76A9" w:rsidRDefault="00164ACC" w:rsidP="005E0F9D">
            <w:pPr>
              <w:pStyle w:val="ZARTzmartartykuempunktem"/>
              <w:numPr>
                <w:ilvl w:val="0"/>
                <w:numId w:val="20"/>
              </w:numPr>
              <w:shd w:val="clear" w:color="auto" w:fill="FFFFFF"/>
              <w:spacing w:line="240" w:lineRule="auto"/>
              <w:jc w:val="left"/>
              <w:rPr>
                <w:rFonts w:ascii="Times New Roman" w:eastAsia="Times New Roman" w:hAnsi="Times New Roman" w:cs="Times New Roman"/>
                <w:color w:val="333333"/>
                <w:szCs w:val="24"/>
              </w:rPr>
            </w:pPr>
            <w:r w:rsidRPr="00FB76A9">
              <w:rPr>
                <w:rFonts w:ascii="Times New Roman" w:hAnsi="Times New Roman" w:cs="Times New Roman"/>
                <w:szCs w:val="24"/>
              </w:rPr>
              <w:t>informacji przekazanych przez podmiot gospodarczy.</w:t>
            </w:r>
          </w:p>
          <w:p w14:paraId="27BCB8D5" w14:textId="77777777" w:rsidR="00164ACC" w:rsidRPr="00FB76A9" w:rsidRDefault="00164ACC" w:rsidP="00FD5CD5">
            <w:pPr>
              <w:pStyle w:val="ZARTzmartartykuempunktem"/>
              <w:spacing w:line="240" w:lineRule="auto"/>
              <w:jc w:val="left"/>
              <w:rPr>
                <w:rFonts w:ascii="Times New Roman" w:hAnsi="Times New Roman" w:cs="Times New Roman"/>
                <w:szCs w:val="24"/>
              </w:rPr>
            </w:pPr>
            <w:r w:rsidRPr="00FB76A9">
              <w:rPr>
                <w:rFonts w:ascii="Times New Roman" w:eastAsia="Times New Roman" w:hAnsi="Times New Roman" w:cs="Times New Roman"/>
                <w:color w:val="333333"/>
                <w:szCs w:val="24"/>
              </w:rPr>
              <w:t xml:space="preserve">15. </w:t>
            </w:r>
            <w:r w:rsidRPr="00FB76A9">
              <w:rPr>
                <w:rFonts w:ascii="Times New Roman" w:hAnsi="Times New Roman" w:cs="Times New Roman"/>
                <w:szCs w:val="24"/>
              </w:rPr>
              <w:t>Dyrektor TDT jako organ nadzoru rynku może w każdym czasie podać do publicznej wiadomości informacje zawarte w wykazie akcji.</w:t>
            </w:r>
          </w:p>
          <w:p w14:paraId="0E0B8133" w14:textId="77777777" w:rsidR="00164ACC" w:rsidRPr="00FB76A9" w:rsidRDefault="00164ACC" w:rsidP="00FD5CD5">
            <w:pPr>
              <w:shd w:val="clear" w:color="auto" w:fill="FFFFFF"/>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imes New Roman" w:hAnsi="Times New Roman" w:cs="Times New Roman"/>
                <w:color w:val="333333"/>
                <w:sz w:val="24"/>
                <w:szCs w:val="24"/>
                <w:lang w:eastAsia="pl-PL"/>
              </w:rPr>
              <w:t xml:space="preserve">16. </w:t>
            </w:r>
            <w:r w:rsidRPr="00FB76A9">
              <w:rPr>
                <w:rFonts w:ascii="Times New Roman" w:eastAsiaTheme="minorEastAsia" w:hAnsi="Times New Roman" w:cs="Times New Roman"/>
                <w:sz w:val="24"/>
                <w:szCs w:val="24"/>
                <w:lang w:eastAsia="pl-PL"/>
              </w:rPr>
              <w:t>Wykaz akcji jest prowadzony z wykorzystaniem systemu teleinformatycznego.</w:t>
            </w:r>
          </w:p>
          <w:p w14:paraId="6A682F62" w14:textId="77777777" w:rsidR="00164ACC" w:rsidRPr="00FB76A9" w:rsidRDefault="00164ACC"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 xml:space="preserve">17. Każdy wpis do </w:t>
            </w:r>
            <w:r w:rsidRPr="00FB76A9">
              <w:rPr>
                <w:rFonts w:ascii="Times New Roman" w:hAnsi="Times New Roman" w:cs="Times New Roman"/>
                <w:sz w:val="24"/>
                <w:szCs w:val="24"/>
              </w:rPr>
              <w:t>wykazu akcji</w:t>
            </w:r>
            <w:r w:rsidRPr="00FB76A9" w:rsidDel="00F720AF">
              <w:rPr>
                <w:rFonts w:ascii="Times New Roman" w:eastAsia="Times New Roman" w:hAnsi="Times New Roman" w:cs="Times New Roman"/>
                <w:color w:val="333333"/>
                <w:sz w:val="24"/>
                <w:szCs w:val="24"/>
                <w:lang w:eastAsia="pl-PL"/>
              </w:rPr>
              <w:t xml:space="preserve"> </w:t>
            </w:r>
            <w:r w:rsidRPr="00FB76A9">
              <w:rPr>
                <w:rFonts w:ascii="Times New Roman" w:eastAsia="Times New Roman" w:hAnsi="Times New Roman" w:cs="Times New Roman"/>
                <w:color w:val="333333"/>
                <w:sz w:val="24"/>
                <w:szCs w:val="24"/>
                <w:lang w:eastAsia="pl-PL"/>
              </w:rPr>
              <w:t>dotyczy jednego pojazdu.</w:t>
            </w:r>
          </w:p>
          <w:p w14:paraId="39EEA2BC" w14:textId="77777777" w:rsidR="00164ACC" w:rsidRPr="00FB76A9" w:rsidRDefault="00164ACC"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18. Wykaz akcji umożliwia niezwłoczne wyszukanie, odczytanie oraz wydrukowanie całości albo części zapisanych danych.</w:t>
            </w:r>
          </w:p>
          <w:p w14:paraId="12E5E1DD" w14:textId="77777777" w:rsidR="00164ACC" w:rsidRPr="00FB76A9" w:rsidRDefault="00164ACC"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19. Dyrektor TDT jako organ nadzoru rynku dokonuje wpisu akcji serwisowej do w</w:t>
            </w:r>
            <w:r w:rsidRPr="00FB76A9">
              <w:rPr>
                <w:rFonts w:ascii="Times New Roman" w:hAnsi="Times New Roman" w:cs="Times New Roman"/>
                <w:sz w:val="24"/>
                <w:szCs w:val="24"/>
              </w:rPr>
              <w:t>ykazu akcji</w:t>
            </w:r>
            <w:r w:rsidRPr="00FB76A9">
              <w:rPr>
                <w:rFonts w:ascii="Times New Roman" w:eastAsia="Times New Roman" w:hAnsi="Times New Roman" w:cs="Times New Roman"/>
                <w:color w:val="333333"/>
                <w:sz w:val="24"/>
                <w:szCs w:val="24"/>
                <w:lang w:eastAsia="pl-PL"/>
              </w:rPr>
              <w:t xml:space="preserve"> niezwłocznie po dniu, w którym powziął o niej informacje.</w:t>
            </w:r>
          </w:p>
          <w:p w14:paraId="18168D6A" w14:textId="77777777" w:rsidR="00164ACC" w:rsidRPr="00FB76A9" w:rsidRDefault="00164ACC"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68zu. 1. </w:t>
            </w:r>
            <w:r w:rsidR="00E83891" w:rsidRPr="00FB76A9">
              <w:rPr>
                <w:rFonts w:ascii="Times New Roman" w:hAnsi="Times New Roman" w:cs="Times New Roman"/>
                <w:szCs w:val="24"/>
              </w:rPr>
              <w:t xml:space="preserve">Wprowadzanie do obrotu na terytorium Rzeczypospolitej Polskiej pojazdów </w:t>
            </w:r>
            <w:r w:rsidR="00E83891" w:rsidRPr="00FB76A9">
              <w:rPr>
                <w:rFonts w:ascii="Times New Roman" w:hAnsi="Times New Roman" w:cs="Times New Roman"/>
                <w:szCs w:val="24"/>
              </w:rPr>
              <w:lastRenderedPageBreak/>
              <w:t>podlega opłacie, zwanej dalej „opłatą za nadzór rynku motoryzacyjnego”.</w:t>
            </w:r>
          </w:p>
          <w:p w14:paraId="343BE2D7" w14:textId="77777777" w:rsidR="00164ACC" w:rsidRPr="00FB76A9" w:rsidRDefault="00164ACC"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Opłatę za nadzór rynku motoryzacyjnego uiszcza: </w:t>
            </w:r>
          </w:p>
          <w:p w14:paraId="787A28F2"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 xml:space="preserve">producent pojazdu niekompletnego albo kompletnego wprowadzający do obrotu na terytorium Rzeczypospolitej Polskiej ten pojazd, samodzielnie albo za pośrednictwem podmiotu gospodarczego; </w:t>
            </w:r>
          </w:p>
          <w:p w14:paraId="0181B9C3"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podmiot gospodarczy wprowadzający do obrotu na terytorium Rzeczypospolitej Polskiej pojazd niekompletny albo kompletny;</w:t>
            </w:r>
          </w:p>
          <w:p w14:paraId="68C02C67"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 xml:space="preserve">producent pojazdu wprowadzający do obrotu na terytorium Rzeczypospolitej Polskiej pojazd, który został skompletowany na terytorium innego niż Rzeczypospolita Polska państwa </w:t>
            </w:r>
          </w:p>
          <w:p w14:paraId="2F745EF6" w14:textId="77777777" w:rsidR="00164ACC" w:rsidRPr="00FB76A9" w:rsidRDefault="00164ACC" w:rsidP="00FD5CD5">
            <w:pPr>
              <w:pStyle w:val="ZCZWSPPKTzmczciwsp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objęty jednym z dokumentów, o którym mowa w art. 13 ust. 1 pkt 1, ust. 2 i 3;</w:t>
            </w:r>
          </w:p>
          <w:p w14:paraId="1E6BC5C2" w14:textId="77777777" w:rsidR="00164ACC" w:rsidRPr="00FB76A9" w:rsidRDefault="00164ACC"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w:t>
            </w:r>
            <w:r w:rsidRPr="00FB76A9">
              <w:rPr>
                <w:rFonts w:ascii="Times New Roman" w:hAnsi="Times New Roman" w:cs="Times New Roman"/>
                <w:szCs w:val="24"/>
              </w:rPr>
              <w:tab/>
              <w:t xml:space="preserve">podmiot gospodarczy wprowadzający do obrotu na terytorium Rzeczypospolitej Polskiej pojazd objęty jednym z dokumentów, o którym mowa w art. 13 ust. 3, jeżeli przed wprowadzeniem do obrotu na terytorium Rzeczypospolitej Polskiej pojazd ten był zarejestrowany w innym niż Rzeczypospolita Polska państwie. </w:t>
            </w:r>
          </w:p>
          <w:p w14:paraId="278E5468" w14:textId="77777777" w:rsidR="00164ACC" w:rsidRPr="00FB76A9" w:rsidRDefault="00164ACC"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Opłata za nadzór rynku motoryzacyjnego stanowi przychód Dyrektora TDT jako organu nadzoru rynku i jest przeznaczona na finansowanie funkcjonowania i działania Dyrektora TDT jako </w:t>
            </w:r>
            <w:r w:rsidRPr="00FB76A9">
              <w:rPr>
                <w:rFonts w:ascii="Times New Roman" w:hAnsi="Times New Roman" w:cs="Times New Roman"/>
                <w:szCs w:val="24"/>
              </w:rPr>
              <w:lastRenderedPageBreak/>
              <w:t xml:space="preserve">organu nadzoru rynku w zakresie określonym w art. 3 ust. 3. </w:t>
            </w:r>
          </w:p>
          <w:p w14:paraId="1A48E4B6" w14:textId="77777777" w:rsidR="00164ACC" w:rsidRPr="00FB76A9" w:rsidRDefault="00164ACC"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4. Stawka opłaty za nadzór rynku motoryzacyjnego wynosi:</w:t>
            </w:r>
          </w:p>
          <w:p w14:paraId="797AE62B" w14:textId="77777777" w:rsidR="00164ACC" w:rsidRPr="00FB76A9" w:rsidRDefault="00164ACC" w:rsidP="00FD5CD5">
            <w:pPr>
              <w:pStyle w:val="ZPKTzmpk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0,05% ceny netto od każdego pojazdu wprowadzonego do obrotu na terytorium Rzeczypospolitej Polskiej w danym kwartale roku kalendarzowego, który został wyprodukowany przez:</w:t>
            </w:r>
          </w:p>
          <w:p w14:paraId="7ADCE778" w14:textId="77777777" w:rsidR="00164ACC" w:rsidRPr="00FB76A9" w:rsidRDefault="00164ACC"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 </w:t>
            </w:r>
            <w:r w:rsidRPr="00FB76A9">
              <w:rPr>
                <w:rFonts w:ascii="Times New Roman" w:hAnsi="Times New Roman" w:cs="Times New Roman"/>
                <w:szCs w:val="24"/>
              </w:rPr>
              <w:tab/>
              <w:t>producenta mającego siedzibę na terytorium jednego z państw członkowskich Unii Europejskiej, albo</w:t>
            </w:r>
          </w:p>
          <w:p w14:paraId="07A8DD82" w14:textId="77777777" w:rsidR="00164ACC" w:rsidRPr="00FB76A9" w:rsidRDefault="00164ACC"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b) </w:t>
            </w:r>
            <w:r w:rsidRPr="00FB76A9">
              <w:rPr>
                <w:rFonts w:ascii="Times New Roman" w:hAnsi="Times New Roman" w:cs="Times New Roman"/>
                <w:szCs w:val="24"/>
              </w:rPr>
              <w:tab/>
              <w:t>producenta nie posiadającego siedziby na terytorium jednego z państw członkowskich Unii Europejskiej, ale posiadającego na terytorium takiego państwa co najmniej jeden zakład produkcyjny, z uwzględnieniem pkt 2 lit. b;</w:t>
            </w:r>
          </w:p>
          <w:p w14:paraId="744681E4" w14:textId="77777777" w:rsidR="00164ACC" w:rsidRPr="00FB76A9" w:rsidRDefault="00164ACC" w:rsidP="00FD5CD5">
            <w:pPr>
              <w:pStyle w:val="ZPKTzmpk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1% ceny netto od każdego pojazdu wprowadzonego do obrotu na terytorium Rzeczypospolitej Polskiej w danym kwartale roku kalendarzowego, który został wyprodukowany przez:</w:t>
            </w:r>
          </w:p>
          <w:p w14:paraId="4FF1F479" w14:textId="77777777" w:rsidR="00164ACC" w:rsidRPr="00FB76A9" w:rsidRDefault="00164ACC"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 </w:t>
            </w:r>
            <w:r w:rsidRPr="00FB76A9">
              <w:rPr>
                <w:rFonts w:ascii="Times New Roman" w:hAnsi="Times New Roman" w:cs="Times New Roman"/>
                <w:szCs w:val="24"/>
              </w:rPr>
              <w:tab/>
              <w:t>producenta nieposiadającego siedziby i zakładu produkcyjnego na terytorium jednego z państw członkowskich Unii Europejskiej, lub</w:t>
            </w:r>
          </w:p>
          <w:p w14:paraId="103CAE7C" w14:textId="77777777" w:rsidR="00164ACC" w:rsidRPr="00FB76A9" w:rsidRDefault="00164ACC"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b) </w:t>
            </w:r>
            <w:r w:rsidRPr="00FB76A9">
              <w:rPr>
                <w:rFonts w:ascii="Times New Roman" w:hAnsi="Times New Roman" w:cs="Times New Roman"/>
                <w:szCs w:val="24"/>
              </w:rPr>
              <w:tab/>
              <w:t xml:space="preserve">producenta wskazanego w art. 1 ust. 2 rozporządzenia wykonawczego Komisji (UE) 2024/2754 z dnia 29 października 2024 r. nakładającego ostateczne cło </w:t>
            </w:r>
            <w:r w:rsidRPr="00FB76A9">
              <w:rPr>
                <w:rFonts w:ascii="Times New Roman" w:hAnsi="Times New Roman" w:cs="Times New Roman"/>
                <w:szCs w:val="24"/>
              </w:rPr>
              <w:lastRenderedPageBreak/>
              <w:t xml:space="preserve">wyrównawcze na przywóz nowych pojazdów elektrycznych o napędzie akumulatorowym przeznaczonych do przewozu osób pochodzący z Chińskiej Republiki Ludowej (Dz. Urz. UE L 2024/2754 z 29.10.2024). </w:t>
            </w:r>
          </w:p>
          <w:p w14:paraId="02FE8D70" w14:textId="77777777" w:rsidR="00164ACC" w:rsidRPr="00FB76A9" w:rsidRDefault="00164ACC"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5. Cena netto wprowadzonego do obrotu na terytorium Rzeczypospolitej Polskiej pojazdu jest ustalana przez producenta lub podmioty gospodarcze, o których mowa w ust. 2, na podstawie faktury lub rachunku wystawianego w związku z pierwszą umową umożliwiającą użytkowanie albo dystrybucję tego pojazdu na terytorium Rzeczypospolitej Polskiej.</w:t>
            </w:r>
          </w:p>
          <w:p w14:paraId="7A84B29D"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68zv. 1. Podmioty, o których mowa w </w:t>
            </w:r>
            <w:r w:rsidRPr="00FB76A9">
              <w:rPr>
                <w:rFonts w:ascii="Times New Roman" w:hAnsi="Times New Roman" w:cs="Times New Roman"/>
                <w:szCs w:val="24"/>
              </w:rPr>
              <w:tab/>
              <w:t xml:space="preserve">ust. 2, bez wezwania obliczają i uiszczają opłatę za nadzór rynku motoryzacyjnego, na rachunek Dyrektora TDT jako organu nadzoru rynku za okres kwartalny, w terminie do dwudziestego dnia roboczego miesiąca następującego po zakończeniu danego kwartału. </w:t>
            </w:r>
          </w:p>
          <w:p w14:paraId="4FC52254"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Podmioty, o których mowa w art. 68zu ust. 2, przekazują Dyrektorowi TDT jako organowi nadzoru rynku, w drodze elektronicznej przez stronę podmiotową </w:t>
            </w:r>
            <w:hyperlink w:history="1">
              <w:r w:rsidRPr="00FB76A9">
                <w:rPr>
                  <w:rFonts w:ascii="Times New Roman" w:hAnsi="Times New Roman" w:cs="Times New Roman"/>
                  <w:szCs w:val="24"/>
                </w:rPr>
                <w:t>Transportowego Dozoru T</w:t>
              </w:r>
            </w:hyperlink>
            <w:r w:rsidRPr="00FB76A9">
              <w:rPr>
                <w:rFonts w:ascii="Times New Roman" w:hAnsi="Times New Roman" w:cs="Times New Roman"/>
                <w:szCs w:val="24"/>
              </w:rPr>
              <w:t>echnicznego, kwartalne informacje o wysokości obliczonych i uiszczonych opłat za nadzór rynku motoryzacyjnego, zgodnie z wzorem opublikowanym na tej stronie, za okres kwartalny, w terminie do dwudziestego dnia roboczego miesiąca następującego po zakończeniu danego kwartału.</w:t>
            </w:r>
          </w:p>
          <w:p w14:paraId="58C2D3A5"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 xml:space="preserve">3. W przypadku pojazdów wprowadzonych do obrotu na terytorium Rzeczypospolitej Polskiej przez podmioty, o których mowa w art. 68zu ust. 2, za pośrednictwem platform internetowych e-commerce, operatorzy platform przekazują Dyrektorowi TDT jako organowi nadzoru rynku, w drodze elektronicznej przez stronę podmiotową Transportowego Dozoru Technicznego, zbiorczą informację o tych podmiotach, które wprowadziły do obrotu pojazdy, pozwalającą na ustalenie przez Dyrektora TDT jako organ nadzoru rynku wysokości należnej opłaty za nadzór rynku motoryzacyjnego, zgodnie z wzorem opublikowanym na tej stronie, za okres kwartalny, w terminie do dwudziestego dnia roboczego miesiąca następującego po zakończeniu danego kwartału. </w:t>
            </w:r>
          </w:p>
          <w:p w14:paraId="453E46B2"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Podmioty, o których mowa w art. 68zu ust. 2 oraz operatorzy platform, o których mowa w ust. 3, są obowiązani przechowywać przekazane przez nich informacje przez okres 5 lat, licząc od początku roku następującego po roku obrotowym, w którym informacja została przekazana.</w:t>
            </w:r>
          </w:p>
          <w:p w14:paraId="012AE7C5"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Informacje, o których mowa w ust. 2 i 3, opatruje się kwalifikowanym podpisem elektronicznym lub podpisem zaufanym.</w:t>
            </w:r>
          </w:p>
          <w:p w14:paraId="660A2085"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6. Treść informacji, o których mowa w ust. 2 i 3, wykorzystuje się wyłącznie w celu wykonywania zadań przez Dyrektora TDT jako organ nadzoru rynku.</w:t>
            </w:r>
          </w:p>
          <w:p w14:paraId="2D8E71C0"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7. Treść informacji, o których mowa w ust. 2 i 3, stanowi tajemnicę przedsiębiorstwa w </w:t>
            </w:r>
            <w:r w:rsidRPr="00FB76A9">
              <w:rPr>
                <w:rFonts w:ascii="Times New Roman" w:hAnsi="Times New Roman" w:cs="Times New Roman"/>
                <w:szCs w:val="24"/>
              </w:rPr>
              <w:lastRenderedPageBreak/>
              <w:t>rozumieniu art. 11 ustawy z dnia 16 kwietnia 1993 r. o zwalczaniu nieuczciwej konkurencji (Dz. U. z 2026 r. poz. 85).</w:t>
            </w:r>
          </w:p>
          <w:p w14:paraId="4CAE931D"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68zw.</w:t>
            </w:r>
            <w:r w:rsidRPr="00FB76A9">
              <w:rPr>
                <w:rFonts w:ascii="Times New Roman" w:hAnsi="Times New Roman" w:cs="Times New Roman"/>
                <w:b/>
                <w:szCs w:val="24"/>
              </w:rPr>
              <w:t xml:space="preserve"> </w:t>
            </w:r>
            <w:r w:rsidRPr="00FB76A9">
              <w:rPr>
                <w:rFonts w:ascii="Times New Roman" w:hAnsi="Times New Roman" w:cs="Times New Roman"/>
                <w:szCs w:val="24"/>
              </w:rPr>
              <w:t>1. W celu dokonania kontroli poprawności złożenia informacji, o której mowa w art. 68zv ust. 2, oraz wyliczenia wysokości opłaty za nadzór rynku motoryzacyjnego, Dyrektor TDT jako organ nadzoru rynku może przeprowadzić kontrole u podmiotów, o których mowa w art. 68zu ust. 2 oraz u operatorów platform, o których mowa w art. 68zv ust. 3.</w:t>
            </w:r>
          </w:p>
          <w:p w14:paraId="604E9A7F" w14:textId="77777777" w:rsidR="00164ACC" w:rsidRPr="00FB76A9" w:rsidRDefault="00164ACC" w:rsidP="00FD5CD5">
            <w:pPr>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2. Podmioty, o których mowa w art. 68zu ust. 2, oraz operatorzy platform, o których mowa w art. 68zv ust. 3, są obowiązani okazywać w toku kontroli, o której mowa w ust. 2, informacje, o których mowa w art. 68zv ust. 2 i 3 lub faktury lub rachunki, na podstawie których wypełnione zostały te informacje w celu sprawdzenia ich poprawności. </w:t>
            </w:r>
          </w:p>
          <w:p w14:paraId="4289E79B"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W przypadku stwierdzenia przez Dyrektora TDT nieprawidłowości w ramach kontroli, o której mowa w ust. 1, Dyrektor TDT jako organ nadzoru rynku wydaje decyzję administracyjną:</w:t>
            </w:r>
          </w:p>
          <w:p w14:paraId="3F870D9C"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 ustalającą prawidłową wysokość opłaty za nadzór rynku motoryzacyjnego oraz termin jej uiszczenia lub</w:t>
            </w:r>
          </w:p>
          <w:p w14:paraId="3B21ED84"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 której może nakazać operatorowi platformy zawieszenie na platformie konta podmiotu, o którym mowa w art. 68zu ust. 2, w przypadku gdy podmiot ten nie uiścił opłaty za </w:t>
            </w:r>
            <w:r w:rsidRPr="00FB76A9">
              <w:rPr>
                <w:rFonts w:ascii="Times New Roman" w:hAnsi="Times New Roman" w:cs="Times New Roman"/>
                <w:szCs w:val="24"/>
              </w:rPr>
              <w:lastRenderedPageBreak/>
              <w:t xml:space="preserve">nadzór rynku motoryzacyjnego lub uiścił ją w niewłaściwej wysokości. </w:t>
            </w:r>
          </w:p>
          <w:p w14:paraId="1FA1C49C"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Do kontroli poprawności złożenia informacji oraz wyliczenia wysokości opłaty za nadzór rynku motoryzacyjnego, w zakresie nieuregulowanym w niniejszym artykule, stosuje się przepisy rozdziału 5 ustawy z dnia 6 marca 2018 r. – Prawo przedsiębiorców.</w:t>
            </w:r>
          </w:p>
          <w:p w14:paraId="1C005E7B" w14:textId="77777777" w:rsidR="00164ACC" w:rsidRPr="00FB76A9" w:rsidRDefault="00164ACC"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68zx. 1. Na potrzeby dokonania kontroli poprawności złożenia informacji oraz wyliczenia wysokości opłaty za nadzór rynku motoryzacyjnego, o której mowa w art. 68zu ust. 1, Szef Krajowej Administracji Skarbowej sporządza i przedkłada Dyrektorowi TDT jako organowi nadzoru rynku, w terminie do ostatniego dnia miesiąca następującego po upływie każdego kwartału, informację o importerach wprowadzających do obrotu pojazdy.</w:t>
            </w:r>
          </w:p>
          <w:p w14:paraId="553544F0" w14:textId="77777777" w:rsidR="00164ACC" w:rsidRPr="00FB76A9" w:rsidRDefault="00164ACC" w:rsidP="00FD5CD5">
            <w:pPr>
              <w:pStyle w:val="Default"/>
              <w:ind w:left="510" w:firstLine="510"/>
              <w:rPr>
                <w:color w:val="auto"/>
              </w:rPr>
            </w:pPr>
            <w:r w:rsidRPr="00FB76A9">
              <w:rPr>
                <w:color w:val="auto"/>
              </w:rPr>
              <w:t>2. Informacja, o której mowa w ust. 1, zawiera:</w:t>
            </w:r>
          </w:p>
          <w:p w14:paraId="77A28420" w14:textId="77777777" w:rsidR="00164ACC" w:rsidRPr="00FB76A9" w:rsidRDefault="00164ACC" w:rsidP="005E0F9D">
            <w:pPr>
              <w:pStyle w:val="Default"/>
              <w:numPr>
                <w:ilvl w:val="0"/>
                <w:numId w:val="23"/>
              </w:numPr>
              <w:adjustRightInd/>
              <w:rPr>
                <w:color w:val="auto"/>
              </w:rPr>
            </w:pPr>
            <w:r w:rsidRPr="00FB76A9">
              <w:rPr>
                <w:color w:val="auto"/>
              </w:rPr>
              <w:t>numer EORI importera;</w:t>
            </w:r>
          </w:p>
          <w:p w14:paraId="30B3B0C5" w14:textId="77777777" w:rsidR="00164ACC" w:rsidRPr="00FB76A9" w:rsidRDefault="00164ACC" w:rsidP="005E0F9D">
            <w:pPr>
              <w:pStyle w:val="Default"/>
              <w:numPr>
                <w:ilvl w:val="0"/>
                <w:numId w:val="23"/>
              </w:numPr>
              <w:adjustRightInd/>
              <w:rPr>
                <w:color w:val="auto"/>
              </w:rPr>
            </w:pPr>
            <w:r w:rsidRPr="00FB76A9">
              <w:rPr>
                <w:color w:val="auto"/>
              </w:rPr>
              <w:t>opis towaru ze zgłoszenia celnego i jego ilość;</w:t>
            </w:r>
          </w:p>
          <w:p w14:paraId="789133D4" w14:textId="77777777" w:rsidR="00164ACC" w:rsidRPr="00FB76A9" w:rsidRDefault="00164ACC" w:rsidP="005E0F9D">
            <w:pPr>
              <w:pStyle w:val="Default"/>
              <w:numPr>
                <w:ilvl w:val="0"/>
                <w:numId w:val="23"/>
              </w:numPr>
              <w:adjustRightInd/>
              <w:rPr>
                <w:color w:val="auto"/>
              </w:rPr>
            </w:pPr>
            <w:r w:rsidRPr="00FB76A9">
              <w:rPr>
                <w:color w:val="auto"/>
              </w:rPr>
              <w:t>kod CN pojazdu;</w:t>
            </w:r>
          </w:p>
          <w:p w14:paraId="757E4A0B" w14:textId="77777777" w:rsidR="00164ACC" w:rsidRPr="00FB76A9" w:rsidRDefault="00164ACC" w:rsidP="005E0F9D">
            <w:pPr>
              <w:pStyle w:val="Default"/>
              <w:numPr>
                <w:ilvl w:val="0"/>
                <w:numId w:val="23"/>
              </w:numPr>
              <w:rPr>
                <w:color w:val="auto"/>
              </w:rPr>
            </w:pPr>
            <w:r w:rsidRPr="00FB76A9">
              <w:rPr>
                <w:color w:val="auto"/>
              </w:rPr>
              <w:t>wartość statystyczną pojazdu.</w:t>
            </w:r>
          </w:p>
          <w:p w14:paraId="08EB75EB" w14:textId="77777777" w:rsidR="00164ACC" w:rsidRPr="00FB76A9" w:rsidRDefault="00164ACC" w:rsidP="00FD5CD5">
            <w:pPr>
              <w:spacing w:after="0" w:line="240" w:lineRule="auto"/>
              <w:ind w:left="510" w:firstLine="510"/>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3. Informacje, o których mowa w ust. 1, mogą pozostawać w zasobach elektronicznych wykorzystywanych do ich przekazywania i przetwarzania nie dłużej, niż jest to konieczne, a Dyrektor TDT jako organ nadzoru rynku zapewnia ich poufność.</w:t>
            </w:r>
          </w:p>
          <w:p w14:paraId="4C177DD4" w14:textId="77777777" w:rsidR="00164ACC" w:rsidRPr="00FB76A9" w:rsidRDefault="00CF3C6A" w:rsidP="00FD5CD5">
            <w:pPr>
              <w:pStyle w:val="ZUSTzmustartykuempunktem"/>
              <w:spacing w:line="240" w:lineRule="auto"/>
              <w:jc w:val="left"/>
              <w:rPr>
                <w:rFonts w:ascii="Times New Roman" w:hAnsi="Times New Roman" w:cs="Times New Roman"/>
                <w:szCs w:val="24"/>
              </w:rPr>
            </w:pPr>
            <w:r w:rsidRPr="004C58F1">
              <w:t xml:space="preserve">Art. 68zy. Minister właściwy do spraw informatyzacji sporządza na podstawie danych </w:t>
            </w:r>
            <w:r w:rsidRPr="004C58F1">
              <w:lastRenderedPageBreak/>
              <w:t>zawartych w ewidencji, o których mowa w art. 80b ust. 1 pkt 13 i 18 ustawy – Prawo o ruchu drogowym, i przedkłada Dyrektorowi TDT jako organowi nadzoru rynku, w terminie do 15 dnia drugiego miesiąca następującego po upływie każdego kwartału, zestawienie zarejestrowanych na terytorium Rzeczypospolitej Polskiej pojazdów w danym kwartale, zawierające w szczególności dane i informacje obejmujące rodzaj, kategorię, producenta, markę, model, numer świadectwa homologacji typu oraz datę pierwszej rejestracji w kraju każdego z pojazdów.</w:t>
            </w:r>
          </w:p>
          <w:p w14:paraId="3C431677" w14:textId="77777777" w:rsidR="00164ACC" w:rsidRPr="00FB76A9" w:rsidRDefault="00164ACC"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Art. 68zz. Zasady postępowania Dyrektora TDT jako organu nadzoru rynku w odniesieniu do pojazdów, przedmiotów wyposażenia lub części objętych procedurą celną dopuszczenia do obrotu, o której mowa w art. 25 ust. 3 rozporządzenia 2019/1020, realizowaną przez organy celne, określają przepisy art. 26–28 tego rozporządzenia. </w:t>
            </w:r>
          </w:p>
          <w:p w14:paraId="74C1B502" w14:textId="77777777" w:rsidR="00164ACC" w:rsidRDefault="00164ACC"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Art. 68zza. Przepisy niniejszego rozdziału, z wyłączeniem art. 68zl ust. 3 oraz art. 68zu, stosuje się odpowiednio do zadań Dyrektora TDT jako organu nadzoru rynku realizowanych w odniesieniu do rowerów, wózków rowerowych, hulajnóg elektrycznych oraz urządzeń transportu osobistego, a także do obowiązków podmiotów gospodarczych, które te rowery, wózki rowerowe, hulajnogi elektryczne oraz urządzenia transportu osobistego wprowadzają do obrotu na terytorium Rzeczypospolitej Polskiej.</w:t>
            </w:r>
          </w:p>
          <w:p w14:paraId="464A0F81" w14:textId="77777777" w:rsidR="008031F8" w:rsidRDefault="008031F8" w:rsidP="008031F8">
            <w:pPr>
              <w:pStyle w:val="ZROZDZODDZPRZEDMzmprzedmrozdzoddzartykuempunktem"/>
              <w:spacing w:line="240" w:lineRule="auto"/>
              <w:ind w:left="-215" w:firstLine="284"/>
              <w:jc w:val="left"/>
            </w:pPr>
            <w:r>
              <w:t xml:space="preserve">Art. 68zzb. 1. Koszty, o których mowa w art. 68zd ust. 11 i art. 68ze ust. 10, kwoty stanowiące równowartość zwrotu zapłaty, o której mowa w art. 68zp ust. 3 i 5 oraz </w:t>
            </w:r>
            <w:r>
              <w:lastRenderedPageBreak/>
              <w:t>opłaty, o których mowa wart. 68zs ust. 11 i art. 68zw ust. 3 pkt 1, wraz z odsetkami ustawowymi za opóźnienie, podlegają przymusowemu ściągnięciu w trybie określonym w ustawie z dnia 17 czerwca 1966 r. o postępowaniu egzekucyjnym w administracji (Dz. U. z 2026 r. poz. 268, 516 i 739).</w:t>
            </w:r>
          </w:p>
          <w:p w14:paraId="2241926B" w14:textId="77777777" w:rsidR="008031F8" w:rsidRPr="008031F8" w:rsidRDefault="008031F8" w:rsidP="008031F8">
            <w:pPr>
              <w:pStyle w:val="ZROZDZODDZPRZEDMzmprzedmrozdzoddzartykuempunktem"/>
              <w:spacing w:line="240" w:lineRule="auto"/>
              <w:ind w:left="-215" w:firstLine="284"/>
              <w:jc w:val="left"/>
            </w:pPr>
            <w:r>
              <w:t xml:space="preserve"> 2. Obowiązek uiszczenia kosztów i opłat, o których mowa w ust. 1, przedawnia się z upływem 5 lat, licząc od ostatniego dnia roku kalendarzowego, w którym koszty lub opłaty powinny zostać uiszczone.”</w:t>
            </w:r>
          </w:p>
        </w:tc>
        <w:tc>
          <w:tcPr>
            <w:tcW w:w="1500" w:type="dxa"/>
            <w:tcBorders>
              <w:top w:val="single" w:sz="4" w:space="0" w:color="auto"/>
              <w:left w:val="single" w:sz="4" w:space="0" w:color="auto"/>
              <w:bottom w:val="single" w:sz="4" w:space="0" w:color="auto"/>
              <w:right w:val="single" w:sz="4" w:space="0" w:color="auto"/>
            </w:tcBorders>
          </w:tcPr>
          <w:p w14:paraId="489AE272" w14:textId="77777777" w:rsidR="00164ACC" w:rsidRPr="00FB76A9" w:rsidRDefault="00164ACC" w:rsidP="00FD5CD5">
            <w:pPr>
              <w:spacing w:after="0" w:line="240" w:lineRule="auto"/>
              <w:rPr>
                <w:rFonts w:ascii="Times New Roman" w:eastAsia="Times New Roman" w:hAnsi="Times New Roman" w:cs="Times New Roman"/>
                <w:sz w:val="24"/>
                <w:szCs w:val="24"/>
                <w:lang w:eastAsia="pl-PL"/>
              </w:rPr>
            </w:pPr>
          </w:p>
        </w:tc>
      </w:tr>
      <w:tr w:rsidR="00344C09" w:rsidRPr="00FB76A9" w14:paraId="7F86A6D5" w14:textId="77777777" w:rsidTr="00F72A95">
        <w:trPr>
          <w:trHeight w:val="369"/>
        </w:trPr>
        <w:tc>
          <w:tcPr>
            <w:tcW w:w="988" w:type="dxa"/>
            <w:tcBorders>
              <w:top w:val="single" w:sz="4" w:space="0" w:color="auto"/>
              <w:left w:val="single" w:sz="4" w:space="0" w:color="auto"/>
              <w:bottom w:val="single" w:sz="4" w:space="0" w:color="auto"/>
              <w:right w:val="single" w:sz="4" w:space="0" w:color="auto"/>
            </w:tcBorders>
          </w:tcPr>
          <w:p w14:paraId="5E561AC0" w14:textId="77777777" w:rsidR="00344C09" w:rsidRPr="00FB76A9" w:rsidRDefault="00880AED"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lastRenderedPageBreak/>
              <w:t>Art. 41</w:t>
            </w:r>
          </w:p>
        </w:tc>
        <w:tc>
          <w:tcPr>
            <w:tcW w:w="5528" w:type="dxa"/>
            <w:tcBorders>
              <w:top w:val="single" w:sz="4" w:space="0" w:color="auto"/>
              <w:left w:val="single" w:sz="4" w:space="0" w:color="auto"/>
              <w:bottom w:val="single" w:sz="4" w:space="0" w:color="auto"/>
              <w:right w:val="single" w:sz="4" w:space="0" w:color="auto"/>
            </w:tcBorders>
          </w:tcPr>
          <w:p w14:paraId="284D1F61" w14:textId="77777777" w:rsidR="00880AED" w:rsidRPr="00FB76A9" w:rsidRDefault="00880AED" w:rsidP="00FD5CD5">
            <w:pPr>
              <w:pStyle w:val="CM4"/>
            </w:pPr>
            <w:r w:rsidRPr="00FB76A9">
              <w:t>Art. 41.1. W przypadku gdy organy nadzoru rynku jednego państwa członkowskiego podjęły działania zgodnie z art. 20 rozporządzenia (WE) nr 765/2008 lub mają wystarczające powody, aby sądzić, że dany pojazd, układ, komponent lub oddzielny zespół techniczny objęty zakresem niniejszego rozporządzenia stwarzają poważne zagrożenie dla zdrowia lub bezpieczeństwa osób lub innych aspektów ochrony interesów publicznych objętych zakresem niniejszego rozporządzenia, organ udzielający homologacji, który udzielił homologacji, dokonuje oceny danego pojazdu, układu, komponentu lub oddzielnego zespołu technicznego pod kątem spełniania wszystkich wymogów określonych w niniejszym rozporządzeniu. Odpowiednie podmioty gospodarcze w pełni współpracują z organami udzielającymi homologacji lub organami nadzoru rynku.</w:t>
            </w:r>
          </w:p>
          <w:p w14:paraId="31B987BC" w14:textId="77777777" w:rsidR="00880AED" w:rsidRPr="00FB76A9" w:rsidRDefault="00880AED" w:rsidP="00FD5CD5">
            <w:pPr>
              <w:pStyle w:val="CM4"/>
            </w:pPr>
            <w:r w:rsidRPr="00FB76A9">
              <w:t xml:space="preserve">W przypadku gdy w trakcie tej oceny organ udzielający homologacji, który udzielił homologacji, stwierdzi, że dany pojazd, układ, komponent lub oddzielny zespół techniczny nie spełnia wymogów określonych w </w:t>
            </w:r>
            <w:r w:rsidRPr="00FB76A9">
              <w:lastRenderedPageBreak/>
              <w:t xml:space="preserve">niniejszym rozporządzeniu, żąda on niezwłocznie od odpowiedniego podmiotu gospodarczego podjęcia wszystkich odpowiednich działań naprawczych w celu zapewnienia zgodności pojazdu, układu, komponentu lub oddzielnego zespołu technicznego z tymi wymogami, do wycofania go z obrotu lub od użytkowników w rozsądnym terminie, współmiernym do charakteru zagrożenia. </w:t>
            </w:r>
          </w:p>
          <w:p w14:paraId="3598F351" w14:textId="77777777" w:rsidR="00880AED" w:rsidRPr="00FB76A9" w:rsidRDefault="00880AED" w:rsidP="00FD5CD5">
            <w:pPr>
              <w:pStyle w:val="CM4"/>
            </w:pPr>
            <w:r w:rsidRPr="00FB76A9">
              <w:t xml:space="preserve">Do środków, o których mowa w akapicie drugim niniejszego ustępu, zastosowanie ma art. 21 rozporządzenia (WE) nr 765/2008. </w:t>
            </w:r>
          </w:p>
          <w:p w14:paraId="47BB30DC" w14:textId="77777777" w:rsidR="00880AED" w:rsidRPr="00FB76A9" w:rsidRDefault="00880AED" w:rsidP="00FD5CD5">
            <w:pPr>
              <w:pStyle w:val="CM4"/>
            </w:pPr>
            <w:r w:rsidRPr="00FB76A9">
              <w:t xml:space="preserve">2. W przypadku gdy organy udzielające homologacji uznają, że niezgodność nie ogranicza się wyłącznie do terytorium ich państwa, informują Komisję oraz pozostałe państwa członkowskie o wynikach oceny oraz działaniach wymaganych od danego podmiotu gospodarczego. </w:t>
            </w:r>
          </w:p>
          <w:p w14:paraId="734E37DE" w14:textId="77777777" w:rsidR="00880AED" w:rsidRPr="00FB76A9" w:rsidRDefault="00880AED" w:rsidP="00FD5CD5">
            <w:pPr>
              <w:pStyle w:val="CM4"/>
            </w:pPr>
            <w:r w:rsidRPr="00FB76A9">
              <w:t xml:space="preserve">3. Podmiot gospodarczy zapewnia podjęcie wszystkich odpowiednich działań naprawczych w odniesieniu do wszystkich niezgodnych z wymogami pojazdów, układów, komponentów lub oddzielnych zespołów technicznych, które wprowadził do obrotu, zarejestrował lub za które był odpowiedzialny w zakresie dopuszczenia w Unii. </w:t>
            </w:r>
          </w:p>
          <w:p w14:paraId="1AC23896" w14:textId="77777777" w:rsidR="00880AED" w:rsidRPr="00FB76A9" w:rsidRDefault="00880AED" w:rsidP="00FD5CD5">
            <w:pPr>
              <w:pStyle w:val="CM4"/>
            </w:pPr>
            <w:r w:rsidRPr="00FB76A9">
              <w:t xml:space="preserve">4. W przypadku gdy podmiot gospodarczy nie podejmie odpowiednich działań naprawczych w terminie, o którym mowa w ust. 1 akapit drugi, organy krajowe podejmują wszystkie odpowiednie środki w celu zakazania lub ograniczenia udostępniania na rynku, rejestracji lub dopuszczania niezgodnych z wymogami pojazdów, układów, komponentów lub oddzielnych zespołów technicznych na swoim rynku </w:t>
            </w:r>
            <w:r w:rsidRPr="00FB76A9">
              <w:lastRenderedPageBreak/>
              <w:t xml:space="preserve">krajowym, ich wycofania z obrotu lub od użytkowników. </w:t>
            </w:r>
          </w:p>
          <w:p w14:paraId="28018C90" w14:textId="77777777" w:rsidR="00880AED" w:rsidRPr="00FB76A9" w:rsidRDefault="00880AED" w:rsidP="00FD5CD5">
            <w:pPr>
              <w:pStyle w:val="CM4"/>
            </w:pPr>
            <w:r w:rsidRPr="00FB76A9">
              <w:t xml:space="preserve">5. Organy krajowe niezwłocznie informują Komisję i pozostałe państwa członkowskie o środkach przewidzianych w ust. 4. </w:t>
            </w:r>
          </w:p>
          <w:p w14:paraId="5E7A4162" w14:textId="77777777" w:rsidR="00880AED" w:rsidRPr="00FB76A9" w:rsidRDefault="00880AED" w:rsidP="00FD5CD5">
            <w:pPr>
              <w:pStyle w:val="CM4"/>
            </w:pPr>
            <w:r w:rsidRPr="00FB76A9">
              <w:t xml:space="preserve">Przekazane informacje obejmują wszystkie dostępne szczegóły, w szczególności dane niezbędne do identyfikacji pojazdów, układów, komponentów lub oddzielnych zespołów technicznych niespełniających wymogów, informacje na temat ich pochodzenia, charakteru występującej niezgodności i wynikającego z niej zagrożenia, rodzaju i okresu obowiązywania przyjętych środków krajowych, a także argumentów przedstawionych przez odpowiedni podmiot gospodarczy. W szczególności organy udzielające homologacji wskazują, czy niezgodność wynika z jednej z poniższych sytuacji: </w:t>
            </w:r>
          </w:p>
          <w:p w14:paraId="132B3AF9" w14:textId="77777777" w:rsidR="00880AED" w:rsidRPr="00FB76A9" w:rsidRDefault="00880AED" w:rsidP="00FD5CD5">
            <w:pPr>
              <w:pStyle w:val="CM4"/>
            </w:pPr>
            <w:r w:rsidRPr="00FB76A9">
              <w:t xml:space="preserve">a) niespełniania przez pojazdy, układy, komponenty lub oddzielne zespoły techniczne wymogów związanych ze zdrowiem lub bezpieczeństwem osób, ochroną środowiska lub innymi aspektami ochrony interesów publicznych objętymi zakresem niniejszego rozporządzenia; </w:t>
            </w:r>
          </w:p>
          <w:p w14:paraId="7C822B49" w14:textId="77777777" w:rsidR="00880AED" w:rsidRPr="00FB76A9" w:rsidRDefault="00880AED" w:rsidP="00FD5CD5">
            <w:pPr>
              <w:pStyle w:val="CM4"/>
            </w:pPr>
            <w:r w:rsidRPr="00FB76A9">
              <w:t xml:space="preserve">b) niedociągnięć w odpowiednich aktach wymienionych w załączniku </w:t>
            </w:r>
          </w:p>
          <w:p w14:paraId="28C37EA4" w14:textId="77777777" w:rsidR="00880AED" w:rsidRPr="00FB76A9" w:rsidRDefault="00880AED" w:rsidP="00FD5CD5">
            <w:pPr>
              <w:pStyle w:val="CM4"/>
            </w:pPr>
            <w:r w:rsidRPr="00FB76A9">
              <w:t xml:space="preserve">6. Państwa członkowskie w terminie jednego miesiąca informują Komisję i pozostałe państwa członkowskie o wszystkich przyjętych środkach i przekazują wszelkie dodatkowe informacje dotyczące niezgodności danych pojazdów, układów, komponentów lub oddzielnych zespołów technicznych, którymi dysponują, a w </w:t>
            </w:r>
            <w:r w:rsidRPr="00FB76A9">
              <w:lastRenderedPageBreak/>
              <w:t xml:space="preserve">przypadku sprzeciwu wobec zgłoszonego środka krajowego przedstawiają swoje zastrzeżenia. </w:t>
            </w:r>
          </w:p>
          <w:p w14:paraId="6EDE1B70" w14:textId="77777777" w:rsidR="00880AED" w:rsidRPr="00FB76A9" w:rsidRDefault="00880AED" w:rsidP="00FD5CD5">
            <w:pPr>
              <w:pStyle w:val="CM4"/>
            </w:pPr>
            <w:r w:rsidRPr="00FB76A9">
              <w:t xml:space="preserve">7. W przypadku gdy w terminie jednego miesiąca od otrzymania informacji, o których mowa w ust. 6 niniejszego artykułu, jedno spośród pozostałych państw członkowskich albo Komisja zgłosi sprzeciw wobec środka podjętego przez państwo członkowskie, Komisja poddaje ten środek ocenie zgodnie z art. 42. </w:t>
            </w:r>
          </w:p>
          <w:p w14:paraId="59CF8AED" w14:textId="77777777" w:rsidR="00344C09" w:rsidRPr="00FB76A9" w:rsidRDefault="00880AED" w:rsidP="00FD5CD5">
            <w:pPr>
              <w:spacing w:after="0" w:line="240" w:lineRule="auto"/>
              <w:rPr>
                <w:rFonts w:ascii="Times New Roman" w:eastAsia="Times New Roman" w:hAnsi="Times New Roman" w:cs="Times New Roman"/>
                <w:sz w:val="24"/>
                <w:szCs w:val="24"/>
                <w:lang w:eastAsia="pl-PL"/>
              </w:rPr>
            </w:pPr>
            <w:r w:rsidRPr="00FB76A9">
              <w:rPr>
                <w:rFonts w:ascii="Times New Roman" w:hAnsi="Times New Roman" w:cs="Times New Roman"/>
                <w:sz w:val="24"/>
                <w:szCs w:val="24"/>
              </w:rPr>
              <w:t>8. Państwa członkowskie zapewniają niezwłoczne podjęcie odpowiednich środków ograniczających w odniesieniu do danych pojazdów, układów, komponentów lub oddzielnych zespołów technicznych, takich jak ich wycofanie z obrotu.”</w:t>
            </w:r>
          </w:p>
        </w:tc>
        <w:tc>
          <w:tcPr>
            <w:tcW w:w="784" w:type="dxa"/>
            <w:gridSpan w:val="2"/>
            <w:tcBorders>
              <w:top w:val="single" w:sz="4" w:space="0" w:color="auto"/>
              <w:left w:val="single" w:sz="4" w:space="0" w:color="auto"/>
              <w:bottom w:val="single" w:sz="4" w:space="0" w:color="auto"/>
              <w:right w:val="single" w:sz="4" w:space="0" w:color="auto"/>
            </w:tcBorders>
          </w:tcPr>
          <w:p w14:paraId="0A118E07" w14:textId="77777777" w:rsidR="00344C09" w:rsidRPr="00FB76A9" w:rsidRDefault="001F12A1"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lastRenderedPageBreak/>
              <w:t>T</w:t>
            </w:r>
          </w:p>
        </w:tc>
        <w:tc>
          <w:tcPr>
            <w:tcW w:w="633" w:type="dxa"/>
            <w:tcBorders>
              <w:top w:val="single" w:sz="4" w:space="0" w:color="auto"/>
              <w:left w:val="single" w:sz="4" w:space="0" w:color="auto"/>
              <w:bottom w:val="single" w:sz="4" w:space="0" w:color="auto"/>
              <w:right w:val="single" w:sz="4" w:space="0" w:color="auto"/>
            </w:tcBorders>
          </w:tcPr>
          <w:p w14:paraId="5E82538B" w14:textId="77777777" w:rsidR="00344C09" w:rsidRPr="00FB76A9" w:rsidRDefault="00880AE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w:t>
            </w:r>
            <w:r w:rsidR="00A90AC1" w:rsidRPr="00FB76A9">
              <w:rPr>
                <w:rFonts w:ascii="Times New Roman" w:eastAsia="Times New Roman" w:hAnsi="Times New Roman" w:cs="Times New Roman"/>
                <w:sz w:val="24"/>
                <w:szCs w:val="24"/>
                <w:lang w:eastAsia="pl-PL"/>
              </w:rPr>
              <w:t>23</w:t>
            </w:r>
          </w:p>
        </w:tc>
        <w:tc>
          <w:tcPr>
            <w:tcW w:w="5562" w:type="dxa"/>
            <w:tcBorders>
              <w:top w:val="single" w:sz="4" w:space="0" w:color="auto"/>
              <w:left w:val="single" w:sz="4" w:space="0" w:color="auto"/>
              <w:bottom w:val="single" w:sz="4" w:space="0" w:color="auto"/>
              <w:right w:val="single" w:sz="4" w:space="0" w:color="auto"/>
            </w:tcBorders>
          </w:tcPr>
          <w:p w14:paraId="48CBF3C1"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„Rozdział 6</w:t>
            </w:r>
          </w:p>
          <w:p w14:paraId="53532168"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Akcje serwisowe</w:t>
            </w:r>
          </w:p>
          <w:p w14:paraId="37357B02"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Art. 70. 1. Podstawą do podjęcia akcji serwisowej na terytorium Rzeczpospolitej Polskiej w odniesieniu do pojazdów, przedmiotów wyposażenia lub części, dla których producent uzyskał świadectwo homologacji typu</w:t>
            </w:r>
            <w:r w:rsidR="00164ACC" w:rsidRPr="00FB76A9">
              <w:rPr>
                <w:rFonts w:ascii="Times New Roman" w:hAnsi="Times New Roman" w:cs="Times New Roman"/>
              </w:rPr>
              <w:t xml:space="preserve"> </w:t>
            </w:r>
            <w:r w:rsidRPr="00FB76A9">
              <w:rPr>
                <w:rFonts w:ascii="Times New Roman" w:hAnsi="Times New Roman" w:cs="Times New Roman"/>
              </w:rPr>
              <w:t>UE pojazdu, świadectwo homologacji typu UE albo świadectwo homologacji typu ONZ są:</w:t>
            </w:r>
          </w:p>
          <w:p w14:paraId="19BCC89B"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1)własne działania Dyrektora TDT jako organu nadzoru rynku, lub</w:t>
            </w:r>
          </w:p>
          <w:p w14:paraId="7A68A3B8"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2)informacje zamieszczone w systemie Safety Gate, lub</w:t>
            </w:r>
          </w:p>
          <w:p w14:paraId="1B5DB9A4"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3)informacje przekazane przez organ udzielający homologacji, lub</w:t>
            </w:r>
          </w:p>
          <w:p w14:paraId="75A77C5A"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4)informacje przekazane przez podmiot gospodarczy.</w:t>
            </w:r>
          </w:p>
          <w:p w14:paraId="355A763E"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2. W przypadku stwierdzenia przez podmiot gospodarczy we wprowadzonym do obrotu pojeździe, przedmiocie wyposażenia lub części, o którym mowa w ust. 1, ryzyka lub poważnego ryzyka dla bezpieczeństwa, ochrony zdrowia i środowiska albo niezgodność pojazdu, przedmiotu wyposażenia lub części z wymaganiami technicznymi, podmiot ten jest </w:t>
            </w:r>
            <w:r w:rsidRPr="00FB76A9">
              <w:rPr>
                <w:rFonts w:ascii="Times New Roman" w:hAnsi="Times New Roman" w:cs="Times New Roman"/>
              </w:rPr>
              <w:lastRenderedPageBreak/>
              <w:t>obowiązany niezwłocznie powiadomić o tym Dyrektora TDT jako organ nadzoru rynku oraz podjąć działania zgodnie z przepisami rozdziału XII rozporządzenia 167/2013, rozdziału XII rozporządzenia 168/2013 lub rozdziału XI rozporządzenia 2018/858 – odpowiednio do kategorii pojazdu, przedmiotu wyposażenia lub części.</w:t>
            </w:r>
          </w:p>
          <w:p w14:paraId="6A76F194"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3. Podmiot gospodarczy jest obowiązany do udostępniania użytkownikom końcowym informacji o konieczności sprawdzenia stanu technicznego pojazdu w warunkach serwisowych producenta w taki sposób, aby informacja ta była dostępna dla użytkownika końcowego na stronie podmiotowej podmiotu gospodarczego po wpisaniu numeru VIN pojazdu. Informacja dotycząca akcji serwisowej powinna zawierać co najmniej numer i krótki opis akcji serwisowej lub informację, że pojazd nie jest objęty akcją serwisową.</w:t>
            </w:r>
          </w:p>
          <w:p w14:paraId="701E986C"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4. Podmioty gospodarczy jest obowiązany do wdrożenia odpowiednich zabezpieczeń oraz mechanizmów ograniczających liczbę zapytań z jednego adresu IP albo innych równoważnych środków zapobiegających zautomatyzowanemu gromadzeniu danych. </w:t>
            </w:r>
          </w:p>
          <w:p w14:paraId="60CA6962"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5. Dyrektor TDT jako organu nadzoru rynku na podstawie powiadomienia, o którym mowa w ust. 2, występuje do ewidencji o przekazanie aktualnych informacji dotyczących użytkowników końcowych pojazdów obejmujące nazwę lub imię i nazwisko, adres siedziby albo miejsca zamieszkania w powiązaniu z </w:t>
            </w:r>
            <w:r w:rsidRPr="00FB76A9">
              <w:rPr>
                <w:rFonts w:ascii="Times New Roman" w:hAnsi="Times New Roman" w:cs="Times New Roman"/>
              </w:rPr>
              <w:lastRenderedPageBreak/>
              <w:t>numerem VIN pojazdu oraz numerem tablicy rejestracyjnej.</w:t>
            </w:r>
          </w:p>
          <w:p w14:paraId="5039C212"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6. Na podstawie danych otrzymanych z ewidencji Dyrektor TDT jako organ nadzoru rynku zawiadamia użytkowników końcowych o konieczności sprawdzenia stanu technicznego pojazdu w warunkach serwisowych producenta. </w:t>
            </w:r>
          </w:p>
          <w:p w14:paraId="52D714D7"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7. Dyrektor TDT jako organ nadzoru rynku jest obowiązany do usunięcia z systemów informatycznych danych o użytkownikach końcowych pojazdów, w odniesieniu do których została przeprowadzona akcja serwisowa, w terminie do końca pierwszego kwartału następnego roku. </w:t>
            </w:r>
          </w:p>
          <w:p w14:paraId="20474FF4"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8. Dyrektor TDT jako organ nadzoru rynku, w drodze decyzji administracyjnej, określa wysokość opłaty i termin jej uiszczenia przez podmiot gospodarczy za powiadomienie przez Dyrektora TDT jako organ nadzoru rynku użytkowników końcowych o konieczności sprawdzenia stanu technicznego pojazdu w warunkach serwisowych producenta. Opłata uiszczana jest na wskazany rachunek bankowy Transportowego Dozoru Technicznego.</w:t>
            </w:r>
          </w:p>
          <w:p w14:paraId="6AD300EE"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9. Wysokość opłaty za powiadomienie każdego użytkownika końcowego nie może przekroczyć 0,22% wysokości przeciętnego wynagrodzenia, o którym mowa w art. 68g ust. 4, od każdego powiadomienia.</w:t>
            </w:r>
          </w:p>
          <w:p w14:paraId="3BD79AA1" w14:textId="77777777" w:rsidR="00745596" w:rsidRPr="00745596" w:rsidRDefault="00745596" w:rsidP="00FD5CD5">
            <w:pPr>
              <w:pStyle w:val="ZROZDZODDZOZNzmoznrozdzoddzartykuempunktem"/>
              <w:spacing w:line="240" w:lineRule="auto"/>
              <w:ind w:left="0"/>
              <w:jc w:val="left"/>
              <w:rPr>
                <w:rFonts w:ascii="Times New Roman" w:hAnsi="Times New Roman" w:cs="Times New Roman"/>
              </w:rPr>
            </w:pPr>
            <w:r w:rsidRPr="00745596">
              <w:rPr>
                <w:rFonts w:ascii="Times New Roman" w:hAnsi="Times New Roman" w:cs="Times New Roman"/>
              </w:rPr>
              <w:t xml:space="preserve">10. Podmiot gospodarczy jest zobowiązany do informowania Dyrektora TDT jako organ nadzoru </w:t>
            </w:r>
            <w:r w:rsidRPr="00745596">
              <w:rPr>
                <w:rFonts w:ascii="Times New Roman" w:hAnsi="Times New Roman" w:cs="Times New Roman"/>
              </w:rPr>
              <w:lastRenderedPageBreak/>
              <w:t>rynku o postępie w realizacji akcji serwisowych co najmniej raz na kwartał.</w:t>
            </w:r>
          </w:p>
          <w:p w14:paraId="5953E92E" w14:textId="77777777" w:rsidR="00745596" w:rsidRPr="00745596" w:rsidRDefault="00745596" w:rsidP="00FD5CD5">
            <w:pPr>
              <w:pStyle w:val="ZROZDZODDZOZNzmoznrozdzoddzartykuempunktem"/>
              <w:spacing w:line="240" w:lineRule="auto"/>
              <w:ind w:left="0"/>
              <w:jc w:val="left"/>
              <w:rPr>
                <w:rFonts w:ascii="Times New Roman" w:hAnsi="Times New Roman" w:cs="Times New Roman"/>
              </w:rPr>
            </w:pPr>
            <w:r w:rsidRPr="00745596">
              <w:rPr>
                <w:rFonts w:ascii="Times New Roman" w:hAnsi="Times New Roman" w:cs="Times New Roman"/>
              </w:rPr>
              <w:t xml:space="preserve">11. Do opłaty, o której mowa w ust. 10, stosuje się przepisy art. 68zzb ust. 1 i 2. </w:t>
            </w:r>
          </w:p>
          <w:p w14:paraId="032569A0" w14:textId="77777777" w:rsidR="00745596" w:rsidRDefault="00745596" w:rsidP="00FD5CD5">
            <w:pPr>
              <w:pStyle w:val="ZROZDZODDZOZNzmoznrozdzoddzartykuempunktem"/>
              <w:spacing w:line="240" w:lineRule="auto"/>
              <w:ind w:left="0"/>
              <w:jc w:val="left"/>
              <w:rPr>
                <w:rFonts w:ascii="Times New Roman" w:hAnsi="Times New Roman" w:cs="Times New Roman"/>
              </w:rPr>
            </w:pPr>
          </w:p>
          <w:p w14:paraId="4D51BF6B"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Art. 71. 1. Podstawą do podjęcia akcji serwisowej na terytorium Rzeczpospolitej Polskiej w odniesieniu do pojazdów, dla których producent uzyskał świadectwo krajowej homologacji typu pojazdu, tramwaju albo trolejbusu, są działania i informacje, o których mowa w art. 70 ust. 1 pkt 1, 3 i 4.</w:t>
            </w:r>
          </w:p>
          <w:p w14:paraId="542950BA"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2. W przypadku stwierdzenia przez podmiot gospodarczy we wprowadzonym do obrotu pojeździe, o którym mowa w ust. 1, ryzyka albo poważnego ryzyka dla bezpieczeństwa, ochrony zdrowia i środowiska lub niezgodność pojazdu z wymaganiami technicznymi, podmiot ten jest obowiązany niezwłocznie powiadomić o tym Dyrektora TDT jako organ nadzoru rynku oraz podjąć działania polegające na usunięciu tych zagrożeń. </w:t>
            </w:r>
          </w:p>
          <w:p w14:paraId="500ACCC8"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3. W celu usunięcia ryzyka lub niezgodności, o których mowa w ust. 2, podmiot gospodarczy: </w:t>
            </w:r>
          </w:p>
          <w:p w14:paraId="495EECFF"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1) </w:t>
            </w:r>
            <w:r w:rsidRPr="00FB76A9">
              <w:rPr>
                <w:rFonts w:ascii="Times New Roman" w:hAnsi="Times New Roman" w:cs="Times New Roman"/>
              </w:rPr>
              <w:tab/>
              <w:t xml:space="preserve">opracowuje plan działań mających na celu usunięcie ryzyka albo poważnego ryzyka lub niezgodności z wymaganiami technicznymi, obejmujący zakres i harmonogram czynności oraz liczbę pojazdów; </w:t>
            </w:r>
          </w:p>
          <w:p w14:paraId="59B6D265"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2) </w:t>
            </w:r>
            <w:r w:rsidRPr="00FB76A9">
              <w:rPr>
                <w:rFonts w:ascii="Times New Roman" w:hAnsi="Times New Roman" w:cs="Times New Roman"/>
              </w:rPr>
              <w:tab/>
              <w:t xml:space="preserve">uzgadnia z Dyrektorem TDT jako organem nadzoru rynku plan działań, o którym mowa w pkt 1; </w:t>
            </w:r>
          </w:p>
          <w:p w14:paraId="55B24BC6"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3) </w:t>
            </w:r>
            <w:r w:rsidRPr="00FB76A9">
              <w:rPr>
                <w:rFonts w:ascii="Times New Roman" w:hAnsi="Times New Roman" w:cs="Times New Roman"/>
              </w:rPr>
              <w:tab/>
              <w:t xml:space="preserve">udostępnia użytkownikom końcowym informację o konieczności sprawdzenia stanu technicznego pojazdu w warunkach serwisowych producenta w taki sposób, aby informacja ta była </w:t>
            </w:r>
            <w:r w:rsidRPr="00FB76A9">
              <w:rPr>
                <w:rFonts w:ascii="Times New Roman" w:hAnsi="Times New Roman" w:cs="Times New Roman"/>
              </w:rPr>
              <w:lastRenderedPageBreak/>
              <w:t>dostępna dla użytkownika końcowego na stronie podmiotowej podmiotu gospodarczego po wpisaniu numeru VIN pojazdu. Informacja dotycząca akcji serwisowej powinna zawierać co najmniej numer i krótki opis akcji serwisowej lub informację, że pojazd nie jest objęty akcją serwisową.</w:t>
            </w:r>
          </w:p>
          <w:p w14:paraId="3411D807"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4. Po otrzymaniu powiadomienia, o którym mowa w ust. 2, oraz planu działań, o którym mowa w ust. 3 pkt 1, Dyrektor TDT jako organ nadzoru rynku: </w:t>
            </w:r>
          </w:p>
          <w:p w14:paraId="2B994A01"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1) </w:t>
            </w:r>
            <w:r w:rsidRPr="00FB76A9">
              <w:rPr>
                <w:rFonts w:ascii="Times New Roman" w:hAnsi="Times New Roman" w:cs="Times New Roman"/>
              </w:rPr>
              <w:tab/>
              <w:t xml:space="preserve">ocenia plan działań, a w przypadku gdy ma do niego zastrzeżenia, nakazuje podmiotowi gospodarczemu uwzględnić zastrzeżenia w planie działań lub harmonogramie czynności; </w:t>
            </w:r>
          </w:p>
          <w:p w14:paraId="32B8CA74"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2) </w:t>
            </w:r>
            <w:r w:rsidRPr="00FB76A9">
              <w:rPr>
                <w:rFonts w:ascii="Times New Roman" w:hAnsi="Times New Roman" w:cs="Times New Roman"/>
              </w:rPr>
              <w:tab/>
              <w:t xml:space="preserve">akceptuje plan działań; </w:t>
            </w:r>
          </w:p>
          <w:p w14:paraId="763B7F8E"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3) </w:t>
            </w:r>
            <w:r w:rsidRPr="00FB76A9">
              <w:rPr>
                <w:rFonts w:ascii="Times New Roman" w:hAnsi="Times New Roman" w:cs="Times New Roman"/>
              </w:rPr>
              <w:tab/>
              <w:t xml:space="preserve">określa terminy informowania go o realizacji i zakończeniu działań; </w:t>
            </w:r>
          </w:p>
          <w:p w14:paraId="63996C5C"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4)</w:t>
            </w:r>
            <w:r w:rsidRPr="00FB76A9">
              <w:rPr>
                <w:rFonts w:ascii="Times New Roman" w:hAnsi="Times New Roman" w:cs="Times New Roman"/>
              </w:rPr>
              <w:tab/>
              <w:t>zobowiązuje podmiot gospodarczy do informowania Dyrektora TDT jako organ nadzoru rynku o postępie w realizacji akcji serwisowych co najmniej raz na kwartał.</w:t>
            </w:r>
          </w:p>
          <w:p w14:paraId="0FDEF658"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5. Dyrektor TDT jako organ nadzoru rynku na podstawie powiadomienia, o którym mowa w ust. 2, występuje do ewidencji o przekazanie aktualnych informacji dotyczących użytkowników pojazdów obejmujące nazwę lub imię i nazwisko, adres siedziby albo miejsca zamieszkania w powiązaniu z numerem VIN pojazdu oraz numerem tablicy rejestracyjnej.</w:t>
            </w:r>
          </w:p>
          <w:p w14:paraId="779D372D"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6. Na podstawie danych otrzymanych z ewidencji Dyrektor TDT jako organ nadzoru rynku zawiadamia użytkowników końcowych o konieczności sprawdzenia stanu technicznego pojazdu w warunkach serwisowych producenta.</w:t>
            </w:r>
          </w:p>
          <w:p w14:paraId="655AB5CD"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lastRenderedPageBreak/>
              <w:t xml:space="preserve">7. Dyrektor TDT jako organem nadzoru rynku jest obowiązany do usunięcia z systemów informatycznych danych o użytkownikach końcowych pojazdów, w odniesieniu do których została przeprowadzona akcja serwisowa, w terminie do końca pierwszego kwartału następnego roku. </w:t>
            </w:r>
          </w:p>
          <w:p w14:paraId="63FD6E6F"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8. Dyrektor TDT jako organ nadzoru rynku, w drodze decyzji administracyjnej, określa wysokość opłaty i termin jej uiszczenia przez podmiot gospodarczy za powiadomienie przez Dyrektora TDT jako organ nadzoru rynku użytkowników końcowych o konieczności sprawdzenia stanu technicznego pojazdu w warunkach serwisowych producenta. Opłata uiszczana jest na wskazany rachunek bankowy Transportowego Dozoru Technicznego.</w:t>
            </w:r>
          </w:p>
          <w:p w14:paraId="0C8286EC"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9. Wysokość opłaty za powiadomienie każdego użytkownika końcowego nie może przekroczyć 0,22% wysokości przeciętnego wynagrodzenia, o którym mowa w art. 68g ust. 4, od każdego powiadomienia.</w:t>
            </w:r>
          </w:p>
          <w:p w14:paraId="067EC31C" w14:textId="77777777" w:rsidR="008518E2" w:rsidRPr="001F1A7B" w:rsidRDefault="008518E2" w:rsidP="00FD5CD5">
            <w:pPr>
              <w:pStyle w:val="ZUSTzmustartykuempunktem"/>
              <w:spacing w:line="240" w:lineRule="auto"/>
              <w:ind w:left="0" w:firstLine="0"/>
              <w:jc w:val="left"/>
            </w:pPr>
            <w:r w:rsidRPr="00A21A0C">
              <w:t>10. Do opłaty, o której mowa w ust. 8, stosuje się przepisy art. 68zzb ust. 1 i 2.</w:t>
            </w:r>
          </w:p>
          <w:p w14:paraId="480FC590"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11. Producent informuje Dyrektora TDT jako organ nadzoru rynku o: </w:t>
            </w:r>
          </w:p>
          <w:p w14:paraId="201B0E97"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1) </w:t>
            </w:r>
            <w:r w:rsidRPr="00FB76A9">
              <w:rPr>
                <w:rFonts w:ascii="Times New Roman" w:hAnsi="Times New Roman" w:cs="Times New Roman"/>
              </w:rPr>
              <w:tab/>
              <w:t xml:space="preserve">realizacji działań w celu usunięcia stwierdzonych zagrożeń w terminach wskazanych w harmonogramie czynności; </w:t>
            </w:r>
          </w:p>
          <w:p w14:paraId="490B7233"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2) </w:t>
            </w:r>
            <w:r w:rsidRPr="00FB76A9">
              <w:rPr>
                <w:rFonts w:ascii="Times New Roman" w:hAnsi="Times New Roman" w:cs="Times New Roman"/>
              </w:rPr>
              <w:tab/>
              <w:t xml:space="preserve">zakończeniu działań oraz przedstawia sprawozdanie z przeprowadzonych działań. </w:t>
            </w:r>
          </w:p>
          <w:p w14:paraId="5728E2F8" w14:textId="77777777" w:rsidR="00A90AC1" w:rsidRPr="00FB76A9" w:rsidRDefault="00A90AC1"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12. Koszty działań związanych z usunięciem zagrożeń ponosi producent. </w:t>
            </w:r>
          </w:p>
          <w:p w14:paraId="56983921" w14:textId="77777777" w:rsidR="00344C09" w:rsidRPr="00FB76A9" w:rsidRDefault="00A90AC1" w:rsidP="00FD5CD5">
            <w:pPr>
              <w:spacing w:after="0" w:line="240" w:lineRule="auto"/>
              <w:rPr>
                <w:rFonts w:ascii="Times New Roman" w:eastAsia="Times New Roman" w:hAnsi="Times New Roman" w:cs="Times New Roman"/>
                <w:sz w:val="24"/>
                <w:szCs w:val="24"/>
                <w:lang w:eastAsia="pl-PL"/>
              </w:rPr>
            </w:pPr>
            <w:r w:rsidRPr="00FB76A9">
              <w:rPr>
                <w:rFonts w:ascii="Times New Roman" w:hAnsi="Times New Roman" w:cs="Times New Roman"/>
                <w:sz w:val="24"/>
                <w:szCs w:val="24"/>
              </w:rPr>
              <w:t xml:space="preserve">13. Obowiązki informacyjne importerów i dystrybutorów określone odpowiednio w </w:t>
            </w:r>
            <w:r w:rsidRPr="00FB76A9">
              <w:rPr>
                <w:rFonts w:ascii="Times New Roman" w:hAnsi="Times New Roman" w:cs="Times New Roman"/>
                <w:sz w:val="24"/>
                <w:szCs w:val="24"/>
              </w:rPr>
              <w:lastRenderedPageBreak/>
              <w:t>rozporządzeniu 167/2013, rozporządzeniu 168/2013 albo rozporządzeniu 2018/858 dotyczą importerów i dystrybutorów pojazdów, przedmiotów wyposażenia lub części, które posiadają świadectwo krajowej homologacji typu pojazdu, tramwaju albo trolejbusu albo świadectwo homologacji typu ONZ.”</w:t>
            </w:r>
          </w:p>
        </w:tc>
        <w:tc>
          <w:tcPr>
            <w:tcW w:w="1500" w:type="dxa"/>
            <w:tcBorders>
              <w:top w:val="single" w:sz="4" w:space="0" w:color="auto"/>
              <w:left w:val="single" w:sz="4" w:space="0" w:color="auto"/>
              <w:bottom w:val="single" w:sz="4" w:space="0" w:color="auto"/>
              <w:right w:val="single" w:sz="4" w:space="0" w:color="auto"/>
            </w:tcBorders>
          </w:tcPr>
          <w:p w14:paraId="28D49C8D"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tc>
      </w:tr>
      <w:tr w:rsidR="00344C09" w:rsidRPr="00FB76A9" w14:paraId="0D36B3BD" w14:textId="77777777" w:rsidTr="006A0B48">
        <w:trPr>
          <w:trHeight w:val="1119"/>
        </w:trPr>
        <w:tc>
          <w:tcPr>
            <w:tcW w:w="988" w:type="dxa"/>
            <w:tcBorders>
              <w:top w:val="single" w:sz="4" w:space="0" w:color="auto"/>
              <w:left w:val="single" w:sz="4" w:space="0" w:color="auto"/>
              <w:bottom w:val="single" w:sz="4" w:space="0" w:color="auto"/>
              <w:right w:val="single" w:sz="4" w:space="0" w:color="auto"/>
            </w:tcBorders>
          </w:tcPr>
          <w:p w14:paraId="6BBB42DF" w14:textId="77777777" w:rsidR="00344C09" w:rsidRPr="00FB76A9" w:rsidRDefault="00344C09"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lastRenderedPageBreak/>
              <w:t xml:space="preserve">Art. 72 </w:t>
            </w:r>
          </w:p>
        </w:tc>
        <w:tc>
          <w:tcPr>
            <w:tcW w:w="5528" w:type="dxa"/>
            <w:tcBorders>
              <w:top w:val="single" w:sz="4" w:space="0" w:color="auto"/>
              <w:left w:val="single" w:sz="4" w:space="0" w:color="auto"/>
              <w:bottom w:val="single" w:sz="4" w:space="0" w:color="auto"/>
              <w:right w:val="single" w:sz="4" w:space="0" w:color="auto"/>
            </w:tcBorders>
          </w:tcPr>
          <w:p w14:paraId="0A014AD8" w14:textId="77777777" w:rsidR="00344C09" w:rsidRPr="00FB76A9" w:rsidRDefault="00344C09" w:rsidP="00FD5CD5">
            <w:pPr>
              <w:pStyle w:val="CM4"/>
            </w:pPr>
            <w:r w:rsidRPr="00FB76A9">
              <w:t xml:space="preserve">„1. Państwa członkowskie przewidują sankcje za naruszenie przez podmioty gospodarcze niniejszego rozporządzenia oraz aktów delegowanych lub wykonawczych przyjętych na mocy niniejszego rozporządzenia. Państwa członkowskie podejmują wszystkie środki niezbędne do zapewnienia wdrożenia tych sankcji. Sankcje te muszą być skuteczne, proporcjonalne i odstraszające. (…). </w:t>
            </w:r>
          </w:p>
          <w:p w14:paraId="6EA0EE3F" w14:textId="77777777" w:rsidR="00344C09" w:rsidRPr="00FB76A9" w:rsidRDefault="00344C09" w:rsidP="00FD5CD5">
            <w:pPr>
              <w:pStyle w:val="CM4"/>
            </w:pPr>
            <w:r w:rsidRPr="00FB76A9">
              <w:t xml:space="preserve">2. Naruszenia podlegające sankcji obejmują: </w:t>
            </w:r>
          </w:p>
          <w:p w14:paraId="2EE0E66B" w14:textId="77777777" w:rsidR="00344C09" w:rsidRPr="00FB76A9" w:rsidRDefault="00344C09" w:rsidP="00FD5CD5">
            <w:pPr>
              <w:pStyle w:val="CM4"/>
            </w:pPr>
            <w:r w:rsidRPr="00FB76A9">
              <w:t xml:space="preserve">a) składanie fałszywych oświadczeń w trakcie procedur homologacyjnych lub procedur prowadzących do wycofania od użytkowników; </w:t>
            </w:r>
          </w:p>
          <w:p w14:paraId="04F45058" w14:textId="77777777" w:rsidR="00344C09" w:rsidRPr="00FB76A9" w:rsidRDefault="00344C09" w:rsidP="00FD5CD5">
            <w:pPr>
              <w:pStyle w:val="CM4"/>
            </w:pPr>
            <w:r w:rsidRPr="00FB76A9">
              <w:t xml:space="preserve">b) fałszowanie wyników badań dotyczących homologacji typu lub zgodności w eksploatacji; </w:t>
            </w:r>
          </w:p>
          <w:p w14:paraId="2BBAFFA9" w14:textId="77777777" w:rsidR="00344C09" w:rsidRPr="00FB76A9" w:rsidRDefault="00344C09" w:rsidP="00FD5CD5">
            <w:pPr>
              <w:pStyle w:val="CM4"/>
            </w:pPr>
            <w:r w:rsidRPr="00FB76A9">
              <w:t xml:space="preserve">c) zatajenie danych lub specyfikacji technicznych, które mogłoby prowadzić do wycofania od użytkowników, odmowy lub cofnięcia homologacji typu; </w:t>
            </w:r>
          </w:p>
          <w:p w14:paraId="3FEEB902" w14:textId="77777777" w:rsidR="00344C09" w:rsidRPr="00FB76A9" w:rsidRDefault="00344C09" w:rsidP="00FD5CD5">
            <w:pPr>
              <w:pStyle w:val="CM4"/>
            </w:pPr>
            <w:r w:rsidRPr="00FB76A9">
              <w:t xml:space="preserve">d) stosowanie urządzeń ograniczających skuteczność działania; </w:t>
            </w:r>
          </w:p>
          <w:p w14:paraId="443C478F" w14:textId="77777777" w:rsidR="00344C09" w:rsidRPr="00FB76A9" w:rsidRDefault="00344C09" w:rsidP="00FD5CD5">
            <w:pPr>
              <w:spacing w:after="0" w:line="240" w:lineRule="auto"/>
              <w:rPr>
                <w:rFonts w:ascii="Times New Roman" w:hAnsi="Times New Roman" w:cs="Times New Roman"/>
                <w:sz w:val="24"/>
                <w:szCs w:val="24"/>
              </w:rPr>
            </w:pPr>
            <w:r w:rsidRPr="00FB76A9">
              <w:rPr>
                <w:rFonts w:ascii="Times New Roman" w:hAnsi="Times New Roman" w:cs="Times New Roman"/>
                <w:sz w:val="24"/>
                <w:szCs w:val="24"/>
              </w:rPr>
              <w:t>e) odmowę udzielenia dostępu do informacji;</w:t>
            </w:r>
          </w:p>
          <w:p w14:paraId="57921DE0" w14:textId="77777777" w:rsidR="00135370" w:rsidRPr="00FB76A9" w:rsidRDefault="00135370" w:rsidP="00FD5CD5">
            <w:pPr>
              <w:pStyle w:val="CM4"/>
              <w:rPr>
                <w:rFonts w:eastAsia="Times New Roman"/>
                <w:lang w:eastAsia="pl-PL"/>
              </w:rPr>
            </w:pPr>
            <w:r w:rsidRPr="00FB76A9">
              <w:t>f) udostępnianie na rynku przez podmioty gospodarcze pojazdów, układów, komponentów lub oddzielnych zespołów technicznych podlegających homologacji bez uzyskania takiej homologacji lub fałszowanie przez nie w tym celu dokumentów lub oznakowań.”</w:t>
            </w:r>
          </w:p>
        </w:tc>
        <w:tc>
          <w:tcPr>
            <w:tcW w:w="784" w:type="dxa"/>
            <w:gridSpan w:val="2"/>
            <w:tcBorders>
              <w:top w:val="single" w:sz="4" w:space="0" w:color="auto"/>
              <w:left w:val="single" w:sz="4" w:space="0" w:color="auto"/>
              <w:bottom w:val="single" w:sz="4" w:space="0" w:color="auto"/>
              <w:right w:val="single" w:sz="4" w:space="0" w:color="auto"/>
            </w:tcBorders>
          </w:tcPr>
          <w:p w14:paraId="1B910DEB"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633" w:type="dxa"/>
            <w:tcBorders>
              <w:top w:val="single" w:sz="4" w:space="0" w:color="auto"/>
              <w:left w:val="single" w:sz="4" w:space="0" w:color="auto"/>
              <w:bottom w:val="single" w:sz="4" w:space="0" w:color="auto"/>
              <w:right w:val="single" w:sz="4" w:space="0" w:color="auto"/>
            </w:tcBorders>
          </w:tcPr>
          <w:p w14:paraId="26CFA74C"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 1 pkt 6</w:t>
            </w:r>
            <w:r w:rsidR="006E2CEA" w:rsidRPr="00FB76A9">
              <w:rPr>
                <w:rFonts w:ascii="Times New Roman" w:eastAsia="Times New Roman" w:hAnsi="Times New Roman" w:cs="Times New Roman"/>
                <w:sz w:val="24"/>
                <w:szCs w:val="24"/>
                <w:lang w:eastAsia="pl-PL"/>
              </w:rPr>
              <w:t>-7</w:t>
            </w:r>
          </w:p>
          <w:p w14:paraId="0751C78F"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67616E39"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1FCE602B"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4B4C14D5"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40C80699"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54B1DF8B"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46D9A7AB"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27023299"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1A5BEB81"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5366781F"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1D1B2950"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360C92B1"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1B6465B9"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759F2061"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74AA0F96"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3B24F27E"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13778F23"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6CBAF081"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5AA966F1"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2FDF22EA"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1E4B2C0C"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44E59550"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369DE672"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629E68B9"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72245BB8"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77DF8BDD"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56059E63"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309A149B"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22155394"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2734235E"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163D9562"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539887F9"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1DA53E37"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675086E4"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1753BA8A"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0227EE38"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50EA82A8"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4FA3363B" w14:textId="77777777" w:rsidR="001F12A1" w:rsidRPr="00FB76A9" w:rsidRDefault="001F12A1" w:rsidP="00FD5CD5">
            <w:pPr>
              <w:spacing w:after="0" w:line="240" w:lineRule="auto"/>
              <w:rPr>
                <w:rFonts w:ascii="Times New Roman" w:eastAsia="Times New Roman" w:hAnsi="Times New Roman" w:cs="Times New Roman"/>
                <w:sz w:val="24"/>
                <w:szCs w:val="24"/>
                <w:lang w:eastAsia="pl-PL"/>
              </w:rPr>
            </w:pPr>
          </w:p>
          <w:p w14:paraId="4364660D" w14:textId="77777777" w:rsidR="006E2CEA" w:rsidRPr="00FB76A9" w:rsidRDefault="006E2CEA" w:rsidP="00FD5CD5">
            <w:pPr>
              <w:spacing w:after="0" w:line="240" w:lineRule="auto"/>
              <w:rPr>
                <w:rFonts w:ascii="Times New Roman" w:eastAsia="Times New Roman" w:hAnsi="Times New Roman" w:cs="Times New Roman"/>
                <w:sz w:val="24"/>
                <w:szCs w:val="24"/>
                <w:lang w:eastAsia="pl-PL"/>
              </w:rPr>
            </w:pPr>
          </w:p>
          <w:p w14:paraId="7DABDAC8" w14:textId="77777777" w:rsidR="006E2CEA" w:rsidRPr="00FB76A9" w:rsidRDefault="006E2CEA" w:rsidP="00FD5CD5">
            <w:pPr>
              <w:spacing w:after="0" w:line="240" w:lineRule="auto"/>
              <w:rPr>
                <w:rFonts w:ascii="Times New Roman" w:eastAsia="Times New Roman" w:hAnsi="Times New Roman" w:cs="Times New Roman"/>
                <w:sz w:val="24"/>
                <w:szCs w:val="24"/>
                <w:lang w:eastAsia="pl-PL"/>
              </w:rPr>
            </w:pPr>
          </w:p>
          <w:p w14:paraId="44F53799" w14:textId="77777777" w:rsidR="006E2CEA" w:rsidRPr="00FB76A9" w:rsidRDefault="006E2CEA" w:rsidP="00FD5CD5">
            <w:pPr>
              <w:spacing w:after="0" w:line="240" w:lineRule="auto"/>
              <w:rPr>
                <w:rFonts w:ascii="Times New Roman" w:eastAsia="Times New Roman" w:hAnsi="Times New Roman" w:cs="Times New Roman"/>
                <w:sz w:val="24"/>
                <w:szCs w:val="24"/>
                <w:lang w:eastAsia="pl-PL"/>
              </w:rPr>
            </w:pPr>
          </w:p>
          <w:p w14:paraId="0E62B5B0" w14:textId="77777777" w:rsidR="006E2CEA" w:rsidRPr="00FB76A9" w:rsidRDefault="006E2CEA" w:rsidP="00FD5CD5">
            <w:pPr>
              <w:spacing w:after="0" w:line="240" w:lineRule="auto"/>
              <w:rPr>
                <w:rFonts w:ascii="Times New Roman" w:eastAsia="Times New Roman" w:hAnsi="Times New Roman" w:cs="Times New Roman"/>
                <w:sz w:val="24"/>
                <w:szCs w:val="24"/>
                <w:lang w:eastAsia="pl-PL"/>
              </w:rPr>
            </w:pPr>
          </w:p>
          <w:p w14:paraId="7BE0D0E3" w14:textId="77777777" w:rsidR="006E2CEA" w:rsidRPr="00FB76A9" w:rsidRDefault="006E2CEA" w:rsidP="00FD5CD5">
            <w:pPr>
              <w:spacing w:after="0" w:line="240" w:lineRule="auto"/>
              <w:rPr>
                <w:rFonts w:ascii="Times New Roman" w:eastAsia="Times New Roman" w:hAnsi="Times New Roman" w:cs="Times New Roman"/>
                <w:sz w:val="24"/>
                <w:szCs w:val="24"/>
                <w:lang w:eastAsia="pl-PL"/>
              </w:rPr>
            </w:pPr>
          </w:p>
          <w:p w14:paraId="7ABA9E41" w14:textId="77777777" w:rsidR="006E2CEA" w:rsidRPr="00FB76A9" w:rsidRDefault="006E2CEA" w:rsidP="00FD5CD5">
            <w:pPr>
              <w:spacing w:after="0" w:line="240" w:lineRule="auto"/>
              <w:rPr>
                <w:rFonts w:ascii="Times New Roman" w:eastAsia="Times New Roman" w:hAnsi="Times New Roman" w:cs="Times New Roman"/>
                <w:sz w:val="24"/>
                <w:szCs w:val="24"/>
                <w:lang w:eastAsia="pl-PL"/>
              </w:rPr>
            </w:pPr>
          </w:p>
          <w:p w14:paraId="64562550" w14:textId="77777777" w:rsidR="006E2CEA" w:rsidRPr="00FB76A9" w:rsidRDefault="006E2CEA" w:rsidP="00FD5CD5">
            <w:pPr>
              <w:spacing w:after="0" w:line="240" w:lineRule="auto"/>
              <w:rPr>
                <w:rFonts w:ascii="Times New Roman" w:eastAsia="Times New Roman" w:hAnsi="Times New Roman" w:cs="Times New Roman"/>
                <w:sz w:val="24"/>
                <w:szCs w:val="24"/>
                <w:lang w:eastAsia="pl-PL"/>
              </w:rPr>
            </w:pPr>
          </w:p>
          <w:p w14:paraId="57E25816" w14:textId="77777777" w:rsidR="006E2CEA" w:rsidRPr="00FB76A9" w:rsidRDefault="006E2CEA" w:rsidP="00FD5CD5">
            <w:pPr>
              <w:spacing w:after="0" w:line="240" w:lineRule="auto"/>
              <w:rPr>
                <w:rFonts w:ascii="Times New Roman" w:eastAsia="Times New Roman" w:hAnsi="Times New Roman" w:cs="Times New Roman"/>
                <w:sz w:val="24"/>
                <w:szCs w:val="24"/>
                <w:lang w:eastAsia="pl-PL"/>
              </w:rPr>
            </w:pPr>
          </w:p>
          <w:p w14:paraId="215A1EA8" w14:textId="77777777" w:rsidR="006E2CEA" w:rsidRPr="00FB76A9" w:rsidRDefault="006E2CEA" w:rsidP="00FD5CD5">
            <w:pPr>
              <w:spacing w:after="0" w:line="240" w:lineRule="auto"/>
              <w:rPr>
                <w:rFonts w:ascii="Times New Roman" w:eastAsia="Times New Roman" w:hAnsi="Times New Roman" w:cs="Times New Roman"/>
                <w:sz w:val="24"/>
                <w:szCs w:val="24"/>
                <w:lang w:eastAsia="pl-PL"/>
              </w:rPr>
            </w:pPr>
          </w:p>
          <w:p w14:paraId="1956E4A1" w14:textId="77777777" w:rsidR="006E2CEA" w:rsidRPr="00FB76A9" w:rsidRDefault="006E2CEA" w:rsidP="00FD5CD5">
            <w:pPr>
              <w:spacing w:after="0" w:line="240" w:lineRule="auto"/>
              <w:rPr>
                <w:rFonts w:ascii="Times New Roman" w:eastAsia="Times New Roman" w:hAnsi="Times New Roman" w:cs="Times New Roman"/>
                <w:sz w:val="24"/>
                <w:szCs w:val="24"/>
                <w:lang w:eastAsia="pl-PL"/>
              </w:rPr>
            </w:pPr>
          </w:p>
          <w:p w14:paraId="358DC6E9" w14:textId="77777777" w:rsidR="006E2CEA" w:rsidRPr="00FB76A9" w:rsidRDefault="006E2CEA" w:rsidP="00FD5CD5">
            <w:pPr>
              <w:spacing w:after="0" w:line="240" w:lineRule="auto"/>
              <w:rPr>
                <w:rFonts w:ascii="Times New Roman" w:eastAsia="Times New Roman" w:hAnsi="Times New Roman" w:cs="Times New Roman"/>
                <w:sz w:val="24"/>
                <w:szCs w:val="24"/>
                <w:lang w:eastAsia="pl-PL"/>
              </w:rPr>
            </w:pPr>
          </w:p>
          <w:p w14:paraId="1B14AAFE" w14:textId="77777777" w:rsidR="006E2CEA" w:rsidRPr="00FB76A9" w:rsidRDefault="006E2CEA" w:rsidP="00FD5CD5">
            <w:pPr>
              <w:spacing w:after="0" w:line="240" w:lineRule="auto"/>
              <w:rPr>
                <w:rFonts w:ascii="Times New Roman" w:eastAsia="Times New Roman" w:hAnsi="Times New Roman" w:cs="Times New Roman"/>
                <w:sz w:val="24"/>
                <w:szCs w:val="24"/>
                <w:lang w:eastAsia="pl-PL"/>
              </w:rPr>
            </w:pPr>
          </w:p>
          <w:p w14:paraId="02F09DA8" w14:textId="77777777" w:rsidR="006E2CEA" w:rsidRPr="00FB76A9" w:rsidRDefault="006E2CEA" w:rsidP="00FD5CD5">
            <w:pPr>
              <w:spacing w:after="0" w:line="240" w:lineRule="auto"/>
              <w:rPr>
                <w:rFonts w:ascii="Times New Roman" w:eastAsia="Times New Roman" w:hAnsi="Times New Roman" w:cs="Times New Roman"/>
                <w:sz w:val="24"/>
                <w:szCs w:val="24"/>
                <w:lang w:eastAsia="pl-PL"/>
              </w:rPr>
            </w:pPr>
          </w:p>
          <w:p w14:paraId="63DCDF2A" w14:textId="77777777" w:rsidR="006E2CEA" w:rsidRPr="00FB76A9" w:rsidRDefault="006E2CEA" w:rsidP="00FD5CD5">
            <w:pPr>
              <w:spacing w:after="0" w:line="240" w:lineRule="auto"/>
              <w:rPr>
                <w:rFonts w:ascii="Times New Roman" w:eastAsia="Times New Roman" w:hAnsi="Times New Roman" w:cs="Times New Roman"/>
                <w:sz w:val="24"/>
                <w:szCs w:val="24"/>
                <w:lang w:eastAsia="pl-PL"/>
              </w:rPr>
            </w:pPr>
          </w:p>
          <w:p w14:paraId="2B6A43C0" w14:textId="77777777" w:rsidR="006E2CEA" w:rsidRPr="00FB76A9" w:rsidRDefault="006E2CEA" w:rsidP="00FD5CD5">
            <w:pPr>
              <w:spacing w:after="0" w:line="240" w:lineRule="auto"/>
              <w:rPr>
                <w:rFonts w:ascii="Times New Roman" w:eastAsia="Times New Roman" w:hAnsi="Times New Roman" w:cs="Times New Roman"/>
                <w:sz w:val="24"/>
                <w:szCs w:val="24"/>
                <w:lang w:eastAsia="pl-PL"/>
              </w:rPr>
            </w:pPr>
          </w:p>
          <w:p w14:paraId="26B5E00A" w14:textId="77777777" w:rsidR="006E2CEA" w:rsidRPr="00FB76A9" w:rsidRDefault="006E2CEA" w:rsidP="00FD5CD5">
            <w:pPr>
              <w:spacing w:after="0" w:line="240" w:lineRule="auto"/>
              <w:rPr>
                <w:rFonts w:ascii="Times New Roman" w:eastAsia="Times New Roman" w:hAnsi="Times New Roman" w:cs="Times New Roman"/>
                <w:sz w:val="24"/>
                <w:szCs w:val="24"/>
                <w:lang w:eastAsia="pl-PL"/>
              </w:rPr>
            </w:pPr>
          </w:p>
          <w:p w14:paraId="2A609775" w14:textId="77777777" w:rsidR="006E2CEA" w:rsidRPr="00FB76A9" w:rsidRDefault="006E2CEA" w:rsidP="00FD5CD5">
            <w:pPr>
              <w:spacing w:after="0" w:line="240" w:lineRule="auto"/>
              <w:rPr>
                <w:rFonts w:ascii="Times New Roman" w:eastAsia="Times New Roman" w:hAnsi="Times New Roman" w:cs="Times New Roman"/>
                <w:sz w:val="24"/>
                <w:szCs w:val="24"/>
                <w:lang w:eastAsia="pl-PL"/>
              </w:rPr>
            </w:pPr>
          </w:p>
          <w:p w14:paraId="569F2357" w14:textId="77777777" w:rsidR="005D3112" w:rsidRDefault="005D3112" w:rsidP="00FD5CD5">
            <w:pPr>
              <w:spacing w:after="0" w:line="240" w:lineRule="auto"/>
              <w:rPr>
                <w:rFonts w:ascii="Times New Roman" w:eastAsia="Times New Roman" w:hAnsi="Times New Roman" w:cs="Times New Roman"/>
                <w:sz w:val="24"/>
                <w:szCs w:val="24"/>
                <w:lang w:eastAsia="pl-PL"/>
              </w:rPr>
            </w:pPr>
          </w:p>
          <w:p w14:paraId="321BB785" w14:textId="77777777" w:rsidR="005D3112" w:rsidRDefault="005D3112" w:rsidP="00FD5CD5">
            <w:pPr>
              <w:spacing w:after="0" w:line="240" w:lineRule="auto"/>
              <w:rPr>
                <w:rFonts w:ascii="Times New Roman" w:eastAsia="Times New Roman" w:hAnsi="Times New Roman" w:cs="Times New Roman"/>
                <w:sz w:val="24"/>
                <w:szCs w:val="24"/>
                <w:lang w:eastAsia="pl-PL"/>
              </w:rPr>
            </w:pPr>
          </w:p>
          <w:p w14:paraId="6C5C26E8" w14:textId="77777777" w:rsidR="005D3112" w:rsidRDefault="005D3112" w:rsidP="00FD5CD5">
            <w:pPr>
              <w:spacing w:after="0" w:line="240" w:lineRule="auto"/>
              <w:rPr>
                <w:rFonts w:ascii="Times New Roman" w:eastAsia="Times New Roman" w:hAnsi="Times New Roman" w:cs="Times New Roman"/>
                <w:sz w:val="24"/>
                <w:szCs w:val="24"/>
                <w:lang w:eastAsia="pl-PL"/>
              </w:rPr>
            </w:pPr>
          </w:p>
          <w:p w14:paraId="264D77F6"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w:t>
            </w:r>
            <w:r w:rsidR="006A0B48" w:rsidRPr="00FB76A9">
              <w:rPr>
                <w:rFonts w:ascii="Times New Roman" w:eastAsia="Times New Roman" w:hAnsi="Times New Roman" w:cs="Times New Roman"/>
                <w:sz w:val="24"/>
                <w:szCs w:val="24"/>
                <w:lang w:eastAsia="pl-PL"/>
              </w:rPr>
              <w:t>24</w:t>
            </w:r>
          </w:p>
          <w:p w14:paraId="04FFDE94"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tc>
        <w:tc>
          <w:tcPr>
            <w:tcW w:w="5562" w:type="dxa"/>
            <w:tcBorders>
              <w:top w:val="single" w:sz="4" w:space="0" w:color="auto"/>
              <w:left w:val="single" w:sz="4" w:space="0" w:color="auto"/>
              <w:bottom w:val="single" w:sz="4" w:space="0" w:color="auto"/>
              <w:right w:val="single" w:sz="4" w:space="0" w:color="auto"/>
            </w:tcBorders>
          </w:tcPr>
          <w:p w14:paraId="670A8ECF" w14:textId="77777777" w:rsidR="00050C4A" w:rsidRPr="00FA7954" w:rsidRDefault="00344C09" w:rsidP="00FD5CD5">
            <w:pPr>
              <w:pStyle w:val="ZUSTzmustartykuempunktem"/>
              <w:spacing w:line="240" w:lineRule="auto"/>
              <w:ind w:left="0" w:firstLine="0"/>
              <w:jc w:val="left"/>
              <w:rPr>
                <w:rFonts w:ascii="Times New Roman" w:hAnsi="Times New Roman" w:cs="Times New Roman"/>
                <w:szCs w:val="24"/>
              </w:rPr>
            </w:pPr>
            <w:r w:rsidRPr="00FA7954">
              <w:rPr>
                <w:rFonts w:ascii="Times New Roman" w:hAnsi="Times New Roman" w:cs="Times New Roman"/>
                <w:szCs w:val="24"/>
              </w:rPr>
              <w:lastRenderedPageBreak/>
              <w:t>„</w:t>
            </w:r>
            <w:r w:rsidR="006E2CEA" w:rsidRPr="00FA7954">
              <w:rPr>
                <w:rFonts w:ascii="Times New Roman" w:hAnsi="Times New Roman" w:cs="Times New Roman"/>
                <w:szCs w:val="24"/>
              </w:rPr>
              <w:t>6) w art. 13</w:t>
            </w:r>
            <w:r w:rsidR="00050C4A" w:rsidRPr="00FA7954">
              <w:rPr>
                <w:rFonts w:ascii="Times New Roman" w:hAnsi="Times New Roman" w:cs="Times New Roman"/>
                <w:szCs w:val="24"/>
              </w:rPr>
              <w:t>:</w:t>
            </w:r>
          </w:p>
          <w:p w14:paraId="1B157A23" w14:textId="77777777" w:rsidR="006E2CEA" w:rsidRPr="00FA7954" w:rsidRDefault="00050C4A" w:rsidP="00FD5CD5">
            <w:pPr>
              <w:pStyle w:val="ZUSTzmustartykuempunktem"/>
              <w:spacing w:line="240" w:lineRule="auto"/>
              <w:ind w:left="0" w:firstLine="0"/>
              <w:jc w:val="left"/>
              <w:rPr>
                <w:rFonts w:ascii="Times New Roman" w:hAnsi="Times New Roman" w:cs="Times New Roman"/>
                <w:szCs w:val="24"/>
              </w:rPr>
            </w:pPr>
            <w:r w:rsidRPr="00FA7954">
              <w:rPr>
                <w:rFonts w:ascii="Times New Roman" w:hAnsi="Times New Roman" w:cs="Times New Roman"/>
                <w:szCs w:val="24"/>
              </w:rPr>
              <w:t>a)</w:t>
            </w:r>
            <w:r w:rsidR="006E2CEA" w:rsidRPr="00FA7954">
              <w:rPr>
                <w:rFonts w:ascii="Times New Roman" w:hAnsi="Times New Roman" w:cs="Times New Roman"/>
                <w:szCs w:val="24"/>
              </w:rPr>
              <w:t xml:space="preserve"> ust. 3 otrzymuje brzmienie:</w:t>
            </w:r>
          </w:p>
          <w:p w14:paraId="21FB4983" w14:textId="77777777" w:rsidR="006E2CEA" w:rsidRPr="00FA7954" w:rsidRDefault="00CF37BF" w:rsidP="00FD5CD5">
            <w:pPr>
              <w:pStyle w:val="ZUSTzmustartykuempunktem"/>
              <w:spacing w:line="240" w:lineRule="auto"/>
              <w:ind w:left="73" w:firstLine="0"/>
              <w:jc w:val="left"/>
              <w:rPr>
                <w:rFonts w:ascii="Times New Roman" w:hAnsi="Times New Roman" w:cs="Times New Roman"/>
                <w:szCs w:val="24"/>
              </w:rPr>
            </w:pPr>
            <w:r w:rsidRPr="00FA7954">
              <w:t>„3. Producent, przedstawiciel producenta, importer albo właściciel pojazdu, z wyjątkiem tramwaju i trolejbusu, na którego typ producent nie uzyskał dokumentu, o którym mowa w ust. 1 pkt 1, jest obowiązany uzyskać, zgodnie z odpowiednio rozporządzeniem 167/2013, rozporządzeniem 168/2013, rozporządzeniem 2018/858 albo przepisami ustawy:</w:t>
            </w:r>
          </w:p>
          <w:p w14:paraId="403FF44A" w14:textId="77777777" w:rsidR="006E2CEA" w:rsidRPr="00FA7954" w:rsidRDefault="006E2CEA" w:rsidP="00FD5CD5">
            <w:pPr>
              <w:pStyle w:val="ZUSTzmustartykuempunktem"/>
              <w:spacing w:line="240" w:lineRule="auto"/>
              <w:ind w:left="73"/>
              <w:jc w:val="left"/>
              <w:rPr>
                <w:rFonts w:ascii="Times New Roman" w:hAnsi="Times New Roman" w:cs="Times New Roman"/>
                <w:szCs w:val="24"/>
              </w:rPr>
            </w:pPr>
            <w:r w:rsidRPr="00FA7954">
              <w:rPr>
                <w:rFonts w:ascii="Times New Roman" w:hAnsi="Times New Roman" w:cs="Times New Roman"/>
                <w:szCs w:val="24"/>
              </w:rPr>
              <w:t>1)</w:t>
            </w:r>
            <w:r w:rsidRPr="00FA7954">
              <w:rPr>
                <w:rFonts w:ascii="Times New Roman" w:hAnsi="Times New Roman" w:cs="Times New Roman"/>
                <w:szCs w:val="24"/>
              </w:rPr>
              <w:tab/>
              <w:t>świadectwo krajowego indywidualnego dopuszczenia nowego pojazdu;</w:t>
            </w:r>
          </w:p>
          <w:p w14:paraId="708BA295" w14:textId="77777777" w:rsidR="006E2CEA" w:rsidRPr="00FA7954" w:rsidRDefault="006E2CEA" w:rsidP="00FD5CD5">
            <w:pPr>
              <w:pStyle w:val="ZUSTzmustartykuempunktem"/>
              <w:spacing w:line="240" w:lineRule="auto"/>
              <w:ind w:left="73"/>
              <w:jc w:val="left"/>
              <w:rPr>
                <w:rFonts w:ascii="Times New Roman" w:hAnsi="Times New Roman" w:cs="Times New Roman"/>
                <w:szCs w:val="24"/>
              </w:rPr>
            </w:pPr>
            <w:r w:rsidRPr="00FA7954">
              <w:rPr>
                <w:rFonts w:ascii="Times New Roman" w:hAnsi="Times New Roman" w:cs="Times New Roman"/>
                <w:szCs w:val="24"/>
              </w:rPr>
              <w:t>2)</w:t>
            </w:r>
            <w:r w:rsidRPr="00FA7954">
              <w:rPr>
                <w:rFonts w:ascii="Times New Roman" w:hAnsi="Times New Roman" w:cs="Times New Roman"/>
                <w:szCs w:val="24"/>
              </w:rPr>
              <w:tab/>
              <w:t>świadectwo krajowego indywidualnego dopuszczenia pojazdu niebędącego nowym pojazdem;</w:t>
            </w:r>
          </w:p>
          <w:p w14:paraId="37E916F4" w14:textId="77777777" w:rsidR="006E2CEA" w:rsidRPr="00FA7954" w:rsidRDefault="006E2CEA" w:rsidP="00FD5CD5">
            <w:pPr>
              <w:pStyle w:val="ZUSTzmustartykuempunktem"/>
              <w:spacing w:line="240" w:lineRule="auto"/>
              <w:ind w:left="73"/>
              <w:jc w:val="left"/>
              <w:rPr>
                <w:rFonts w:ascii="Times New Roman" w:hAnsi="Times New Roman" w:cs="Times New Roman"/>
                <w:szCs w:val="24"/>
              </w:rPr>
            </w:pPr>
            <w:r w:rsidRPr="00FA7954">
              <w:rPr>
                <w:rFonts w:ascii="Times New Roman" w:hAnsi="Times New Roman" w:cs="Times New Roman"/>
                <w:szCs w:val="24"/>
              </w:rPr>
              <w:t xml:space="preserve">3) </w:t>
            </w:r>
            <w:r w:rsidRPr="00FA7954">
              <w:rPr>
                <w:rFonts w:ascii="Times New Roman" w:hAnsi="Times New Roman" w:cs="Times New Roman"/>
                <w:szCs w:val="24"/>
              </w:rPr>
              <w:tab/>
              <w:t>uznanie świadectwa krajowego indywidualnego dopuszczenia pojazdu wydanego zgodnie z art. 1 ust. 1 rozporządzenia 167/2013, art. 1 ust. 1 rozporządzenia 168/2013 albo art. 45 ust. 1 rozporządzenia 2018/858 przez właściwy organ innego niż Rzeczpospolita Polska państwa członkowskiego Unii Europejskiej albo</w:t>
            </w:r>
          </w:p>
          <w:p w14:paraId="04226CFB" w14:textId="77777777" w:rsidR="006E2CEA" w:rsidRPr="00FA7954" w:rsidRDefault="006E2CEA" w:rsidP="00FD5CD5">
            <w:pPr>
              <w:pStyle w:val="ZUSTzmustartykuempunktem"/>
              <w:spacing w:line="240" w:lineRule="auto"/>
              <w:ind w:left="73" w:firstLine="0"/>
              <w:jc w:val="left"/>
              <w:rPr>
                <w:rFonts w:ascii="Times New Roman" w:hAnsi="Times New Roman" w:cs="Times New Roman"/>
                <w:szCs w:val="24"/>
              </w:rPr>
            </w:pPr>
            <w:r w:rsidRPr="00FA7954">
              <w:rPr>
                <w:rFonts w:ascii="Times New Roman" w:hAnsi="Times New Roman" w:cs="Times New Roman"/>
                <w:szCs w:val="24"/>
              </w:rPr>
              <w:t xml:space="preserve">4) </w:t>
            </w:r>
            <w:r w:rsidRPr="00FA7954">
              <w:rPr>
                <w:rFonts w:ascii="Times New Roman" w:hAnsi="Times New Roman" w:cs="Times New Roman"/>
                <w:szCs w:val="24"/>
              </w:rPr>
              <w:tab/>
              <w:t>świadectwo unijnego indywidualnego dopuszczenia pojazdu</w:t>
            </w:r>
          </w:p>
          <w:p w14:paraId="37BB8099" w14:textId="77777777" w:rsidR="006E2CEA" w:rsidRPr="00FA7954" w:rsidRDefault="006E2CEA" w:rsidP="00FD5CD5">
            <w:pPr>
              <w:pStyle w:val="ZUSTzmustartykuempunktem"/>
              <w:spacing w:line="240" w:lineRule="auto"/>
              <w:ind w:left="0" w:firstLine="0"/>
              <w:jc w:val="left"/>
              <w:rPr>
                <w:rFonts w:ascii="Times New Roman" w:hAnsi="Times New Roman" w:cs="Times New Roman"/>
                <w:szCs w:val="24"/>
              </w:rPr>
            </w:pPr>
            <w:r w:rsidRPr="00FA7954">
              <w:rPr>
                <w:rFonts w:ascii="Times New Roman" w:hAnsi="Times New Roman" w:cs="Times New Roman"/>
                <w:szCs w:val="24"/>
              </w:rPr>
              <w:t>– które potwierdza spełnienie odpowiednich warunków lub wymagań technicznych określonych dla tego pojazdu.”</w:t>
            </w:r>
          </w:p>
          <w:p w14:paraId="2F4135E4" w14:textId="77777777" w:rsidR="006E2CEA" w:rsidRPr="00FA7954" w:rsidRDefault="006E2CEA" w:rsidP="00FD5CD5">
            <w:pPr>
              <w:pStyle w:val="ZUSTzmustartykuempunktem"/>
              <w:spacing w:line="240" w:lineRule="auto"/>
              <w:ind w:left="0" w:firstLine="0"/>
              <w:jc w:val="left"/>
              <w:rPr>
                <w:rFonts w:ascii="Times New Roman" w:hAnsi="Times New Roman" w:cs="Times New Roman"/>
                <w:szCs w:val="24"/>
              </w:rPr>
            </w:pPr>
          </w:p>
          <w:p w14:paraId="73BD2A2A" w14:textId="2BC59FFA" w:rsidR="006E2CEA" w:rsidRPr="00FA7954" w:rsidRDefault="006E2CEA" w:rsidP="00FD5CD5">
            <w:pPr>
              <w:pStyle w:val="ZUSTzmustartykuempunktem"/>
              <w:spacing w:line="240" w:lineRule="auto"/>
              <w:ind w:left="0" w:firstLine="0"/>
              <w:jc w:val="left"/>
              <w:rPr>
                <w:rFonts w:ascii="Times New Roman" w:hAnsi="Times New Roman" w:cs="Times New Roman"/>
                <w:szCs w:val="24"/>
              </w:rPr>
            </w:pPr>
            <w:r w:rsidRPr="00FA7954">
              <w:rPr>
                <w:rFonts w:ascii="Times New Roman" w:hAnsi="Times New Roman" w:cs="Times New Roman"/>
                <w:szCs w:val="24"/>
              </w:rPr>
              <w:t>7) w art. 14 dodaje się ust. 4-</w:t>
            </w:r>
            <w:r w:rsidR="00164ACC" w:rsidRPr="00FA7954">
              <w:rPr>
                <w:rFonts w:ascii="Times New Roman" w:hAnsi="Times New Roman" w:cs="Times New Roman"/>
                <w:szCs w:val="24"/>
              </w:rPr>
              <w:t>1</w:t>
            </w:r>
            <w:r w:rsidR="00BB7881" w:rsidRPr="00FA7954">
              <w:rPr>
                <w:rFonts w:ascii="Times New Roman" w:hAnsi="Times New Roman" w:cs="Times New Roman"/>
                <w:szCs w:val="24"/>
              </w:rPr>
              <w:t>1</w:t>
            </w:r>
            <w:r w:rsidRPr="00FA7954">
              <w:rPr>
                <w:rFonts w:ascii="Times New Roman" w:hAnsi="Times New Roman" w:cs="Times New Roman"/>
                <w:szCs w:val="24"/>
              </w:rPr>
              <w:t xml:space="preserve"> w brzmieniu:</w:t>
            </w:r>
          </w:p>
          <w:p w14:paraId="3B079242" w14:textId="77777777" w:rsidR="00F0600B" w:rsidRPr="00FA7954" w:rsidRDefault="006E2CEA" w:rsidP="00FD5CD5">
            <w:pPr>
              <w:pStyle w:val="ZUSTzmustartykuempunktem"/>
              <w:spacing w:line="240" w:lineRule="auto"/>
              <w:ind w:left="0" w:firstLine="0"/>
              <w:jc w:val="left"/>
              <w:rPr>
                <w:rFonts w:ascii="Times New Roman" w:hAnsi="Times New Roman" w:cs="Times New Roman"/>
                <w:szCs w:val="24"/>
              </w:rPr>
            </w:pPr>
            <w:r w:rsidRPr="00FA7954">
              <w:rPr>
                <w:rFonts w:ascii="Times New Roman" w:hAnsi="Times New Roman" w:cs="Times New Roman"/>
                <w:szCs w:val="24"/>
              </w:rPr>
              <w:t xml:space="preserve">4. Zakazuje się wprowadzania do obrotu pojazdu, przedmiotu wyposażenia lub części bez wymaganego odpowiedniego: świadectwa homologacji typu UE, świadectwa homologacji typu WE, świadectwa homologacji typu ONZ, świadectwa homologacji typu EKG ONZ, świadectwa krajowej homologacji typu pojazdu dla pojazdów kategorii: C, R, S, T4.1, T4.2, świadectwa krajowej homologacji typu tramwaju, świadectwa krajowej homologacji typu trolejbusu, świadectwa homologacji typu WE dla pojazdów produkowanych w małych seriach, świadectwa krajowej homologacji typu dla pojazdów produkowanych w małych seriach, uznania świadectwa krajowej homologacji typu pojazdów produkowanych w małych seriach wydanego przez właściwy organ innego niż Rzeczpospolita Polska państwa członkowskiego Unii Europejskiej, dopuszczenia jednostkowego pojazdu, dopuszczenia indywidualnego WE pojazdu, świadectwa krajowego indywidualnego dopuszczenia nowego pojazdu, świadectwa unijnego indywidualnego dopuszczenia pojazdu, uznania świadectwa krajowego indywidualnego dopuszczenia pojazdu wydanego dla nowego pojazdu zgodnie z art. 1 ust. 1 rozporządzenia 167/2013, art. 1 ust. 1 rozporządzenia 168/2013 albo art. 45 ust. 1 rozporządzenia 2018/858 przez właściwy organ innego niż Rzeczpospolita Polska państwa członkowskiego Unii Europejskiej albo zezwolenia na wprowadzanie do obrotu przedmiotu wyposażenia lub części, które mogą stwarzać poważne zagrożenie dla </w:t>
            </w:r>
            <w:r w:rsidRPr="00FA7954">
              <w:rPr>
                <w:rFonts w:ascii="Times New Roman" w:hAnsi="Times New Roman" w:cs="Times New Roman"/>
                <w:szCs w:val="24"/>
              </w:rPr>
              <w:lastRenderedPageBreak/>
              <w:t>właściwego funkcjonowania istotnych układów, z wyłączeniem art. 13 ust. 4 i art. 68b.</w:t>
            </w:r>
            <w:r w:rsidR="006A0B48" w:rsidRPr="00FA7954">
              <w:rPr>
                <w:rFonts w:ascii="Times New Roman" w:hAnsi="Times New Roman" w:cs="Times New Roman"/>
                <w:szCs w:val="24"/>
              </w:rPr>
              <w:t>”</w:t>
            </w:r>
          </w:p>
          <w:p w14:paraId="2C82B157" w14:textId="77777777" w:rsidR="00FC3EC1" w:rsidRPr="00FA7954" w:rsidRDefault="00FC3EC1" w:rsidP="00FD5CD5">
            <w:pPr>
              <w:pStyle w:val="ZUSTzmustartykuempunktem"/>
              <w:spacing w:line="240" w:lineRule="auto"/>
              <w:ind w:left="0" w:firstLine="0"/>
              <w:jc w:val="left"/>
              <w:rPr>
                <w:rFonts w:ascii="Times New Roman" w:hAnsi="Times New Roman" w:cs="Times New Roman"/>
                <w:szCs w:val="24"/>
              </w:rPr>
            </w:pPr>
          </w:p>
          <w:p w14:paraId="2CDA1566" w14:textId="77777777" w:rsidR="005D3112" w:rsidRPr="00FA7954" w:rsidRDefault="00B56E3D" w:rsidP="00FD5CD5">
            <w:pPr>
              <w:pStyle w:val="ZROZDZODDZOZNzmoznrozdzoddzartykuempunktem"/>
              <w:spacing w:line="240" w:lineRule="auto"/>
              <w:ind w:left="0"/>
              <w:jc w:val="left"/>
              <w:rPr>
                <w:rFonts w:ascii="Times New Roman" w:hAnsi="Times New Roman" w:cs="Times New Roman"/>
              </w:rPr>
            </w:pPr>
            <w:r w:rsidRPr="00FA7954">
              <w:rPr>
                <w:rFonts w:ascii="Times New Roman" w:hAnsi="Times New Roman" w:cs="Times New Roman"/>
              </w:rPr>
              <w:t xml:space="preserve"> </w:t>
            </w:r>
            <w:r w:rsidR="005D3112" w:rsidRPr="00FA7954">
              <w:rPr>
                <w:rFonts w:ascii="Times New Roman" w:hAnsi="Times New Roman" w:cs="Times New Roman"/>
              </w:rPr>
              <w:t>„R</w:t>
            </w:r>
            <w:r w:rsidRPr="00FA7954">
              <w:rPr>
                <w:rFonts w:ascii="Times New Roman" w:hAnsi="Times New Roman" w:cs="Times New Roman"/>
              </w:rPr>
              <w:t xml:space="preserve">ozdział 6a </w:t>
            </w:r>
          </w:p>
          <w:p w14:paraId="4573A5C6" w14:textId="77777777" w:rsidR="00B56E3D" w:rsidRPr="00FA7954" w:rsidRDefault="00B56E3D" w:rsidP="00FD5CD5">
            <w:pPr>
              <w:pStyle w:val="ZROZDZODDZOZNzmoznrozdzoddzartykuempunktem"/>
              <w:spacing w:line="240" w:lineRule="auto"/>
              <w:ind w:left="0"/>
              <w:jc w:val="left"/>
              <w:rPr>
                <w:rFonts w:ascii="Times New Roman" w:hAnsi="Times New Roman" w:cs="Times New Roman"/>
              </w:rPr>
            </w:pPr>
            <w:r w:rsidRPr="00FA7954">
              <w:rPr>
                <w:rFonts w:ascii="Times New Roman" w:hAnsi="Times New Roman" w:cs="Times New Roman"/>
              </w:rPr>
              <w:t>Administracyjne kary pieniężne</w:t>
            </w:r>
          </w:p>
          <w:p w14:paraId="00AB6DDB" w14:textId="77777777" w:rsidR="008518E2" w:rsidRPr="00FA7954" w:rsidRDefault="008518E2" w:rsidP="00FD5CD5">
            <w:pPr>
              <w:pStyle w:val="ZUSTzmustartykuempunktem"/>
              <w:spacing w:line="240" w:lineRule="auto"/>
              <w:ind w:left="0" w:firstLine="0"/>
              <w:jc w:val="left"/>
              <w:rPr>
                <w:rFonts w:ascii="Times New Roman" w:hAnsi="Times New Roman" w:cs="Times New Roman"/>
                <w:szCs w:val="24"/>
              </w:rPr>
            </w:pPr>
            <w:r w:rsidRPr="00FA7954">
              <w:rPr>
                <w:rFonts w:ascii="Times New Roman" w:hAnsi="Times New Roman" w:cs="Times New Roman"/>
                <w:szCs w:val="24"/>
              </w:rPr>
              <w:t>Art. 71a. 1. Podmiot gospodarczy, który narusza zakaz, o którym mowa w art. 14 ust. 4 lub ust. 5, podlega administracyjnej karze pieniężnej do wysokości dwunastokrotności przeciętnego wynagrodzenia, o którym mowa w art. 68g ust. 4, ogłaszanego za czwarty kwartał roku poprzedzającego nałożenie kary, za każdy pojazd, przedmiot wyposażenia lub część, które wprowadził do obrotu.</w:t>
            </w:r>
          </w:p>
          <w:p w14:paraId="4BA224A1" w14:textId="77777777" w:rsidR="008518E2" w:rsidRPr="00FA7954" w:rsidRDefault="008518E2" w:rsidP="00FD5CD5">
            <w:pPr>
              <w:pStyle w:val="ZUSTzmustartykuempunktem"/>
              <w:spacing w:line="240" w:lineRule="auto"/>
              <w:ind w:left="0" w:firstLine="0"/>
              <w:jc w:val="left"/>
              <w:rPr>
                <w:rFonts w:ascii="Times New Roman" w:hAnsi="Times New Roman" w:cs="Times New Roman"/>
                <w:szCs w:val="24"/>
              </w:rPr>
            </w:pPr>
            <w:r w:rsidRPr="00FA7954">
              <w:rPr>
                <w:rFonts w:ascii="Times New Roman" w:hAnsi="Times New Roman" w:cs="Times New Roman"/>
                <w:szCs w:val="24"/>
              </w:rPr>
              <w:t xml:space="preserve">2. Podmiot gospodarczy, który narusza zakaz, o którym mowa w art. 14 ust. 6, podlega administracyjnej karze pieniężnej do wysokości dwukrotności przeciętnego wynagrodzenia, o którym mowa w art. 68g ust. 4, ogłaszanego za czwarty kwartał roku poprzedzającego nałożenie kary, za każdy rower, wózek rowerowy, hulajnogę elektrycznych lub urządzenie transportu osobistego. </w:t>
            </w:r>
          </w:p>
          <w:p w14:paraId="26640590" w14:textId="77777777" w:rsidR="008518E2" w:rsidRPr="00FA7954" w:rsidRDefault="008518E2" w:rsidP="00FD5CD5">
            <w:pPr>
              <w:pStyle w:val="ZUSTzmustartykuempunktem"/>
              <w:spacing w:line="240" w:lineRule="auto"/>
              <w:ind w:left="0" w:firstLine="0"/>
              <w:jc w:val="left"/>
              <w:rPr>
                <w:rFonts w:ascii="Times New Roman" w:hAnsi="Times New Roman" w:cs="Times New Roman"/>
                <w:szCs w:val="24"/>
              </w:rPr>
            </w:pPr>
            <w:r w:rsidRPr="00FA7954">
              <w:rPr>
                <w:rFonts w:ascii="Times New Roman" w:hAnsi="Times New Roman" w:cs="Times New Roman"/>
                <w:szCs w:val="24"/>
              </w:rPr>
              <w:t>3. Podmiot gospodarczy, który naruszył zakaz, o którym mowa w art. 14 ust. 7, podlega administracyjnej karze pieniężnej do wysokości jednokrotności przeciętnego wynagrodzenia, o którym mowa w art. 68g ust. 4, ogłaszanego za czwarty kwartał roku poprzedzającego nałożenie kary, za każdy montaż tej instalacji w pojeździe.</w:t>
            </w:r>
          </w:p>
          <w:p w14:paraId="663638C8" w14:textId="77777777" w:rsidR="008518E2" w:rsidRPr="00FA7954" w:rsidRDefault="008518E2" w:rsidP="00FD5CD5">
            <w:pPr>
              <w:pStyle w:val="ZUSTzmustartykuempunktem"/>
              <w:spacing w:line="240" w:lineRule="auto"/>
              <w:ind w:left="0" w:firstLine="0"/>
              <w:jc w:val="left"/>
              <w:rPr>
                <w:rFonts w:ascii="Times New Roman" w:hAnsi="Times New Roman" w:cs="Times New Roman"/>
                <w:szCs w:val="24"/>
              </w:rPr>
            </w:pPr>
            <w:r w:rsidRPr="00FA7954">
              <w:rPr>
                <w:rFonts w:ascii="Times New Roman" w:hAnsi="Times New Roman" w:cs="Times New Roman"/>
                <w:szCs w:val="24"/>
              </w:rPr>
              <w:t xml:space="preserve">4. Podmiot gospodarczy, który narusza zakaz, o którym mowa w art. 14 ust. 8, podlega administracyjnej karze pieniężnej do wysokości sześciokrotności przeciętnego wynagrodzenia, o którym mowa w art. 68g ust. 4, </w:t>
            </w:r>
            <w:r w:rsidRPr="00FA7954">
              <w:rPr>
                <w:rFonts w:ascii="Times New Roman" w:hAnsi="Times New Roman" w:cs="Times New Roman"/>
                <w:szCs w:val="24"/>
              </w:rPr>
              <w:lastRenderedPageBreak/>
              <w:t xml:space="preserve">ogłaszanego za czwarty kwartał roku poprzedzającego nałożenie kary, za każdy pojazd, przedmiot wyposażenia lub część, w odniesieniu do którego naruszono zakaz. </w:t>
            </w:r>
          </w:p>
          <w:p w14:paraId="492D37D5" w14:textId="77777777" w:rsidR="008518E2" w:rsidRPr="00FA7954" w:rsidRDefault="008518E2" w:rsidP="00FD5CD5">
            <w:pPr>
              <w:pStyle w:val="ZUSTzmustartykuempunktem"/>
              <w:spacing w:line="240" w:lineRule="auto"/>
              <w:ind w:left="0" w:firstLine="0"/>
              <w:jc w:val="left"/>
              <w:rPr>
                <w:rFonts w:ascii="Times New Roman" w:hAnsi="Times New Roman" w:cs="Times New Roman"/>
                <w:szCs w:val="24"/>
              </w:rPr>
            </w:pPr>
            <w:r w:rsidRPr="00FA7954">
              <w:rPr>
                <w:rFonts w:ascii="Times New Roman" w:hAnsi="Times New Roman" w:cs="Times New Roman"/>
                <w:szCs w:val="24"/>
              </w:rPr>
              <w:t xml:space="preserve">5. Producent, który narusza zakaz, o którym mowa w art. 14 ust. 9, podlega administracyjnej karze pieniężnej do wysokości sześciokrotności przeciętnego wynagrodzenia, o którym mowa w art. 68g ust. 4, ogłaszanego za czwarty kwartał roku poprzedzającego nałożenie kary. </w:t>
            </w:r>
          </w:p>
          <w:p w14:paraId="66C3C4C9" w14:textId="77777777" w:rsidR="008518E2" w:rsidRPr="00FA7954" w:rsidRDefault="008518E2" w:rsidP="00FD5CD5">
            <w:pPr>
              <w:pStyle w:val="ZUSTzmustartykuempunktem"/>
              <w:spacing w:line="240" w:lineRule="auto"/>
              <w:ind w:left="0" w:firstLine="0"/>
              <w:jc w:val="left"/>
              <w:rPr>
                <w:rFonts w:ascii="Times New Roman" w:hAnsi="Times New Roman" w:cs="Times New Roman"/>
                <w:szCs w:val="24"/>
              </w:rPr>
            </w:pPr>
            <w:r w:rsidRPr="00FA7954">
              <w:rPr>
                <w:rFonts w:ascii="Times New Roman" w:hAnsi="Times New Roman" w:cs="Times New Roman"/>
                <w:szCs w:val="24"/>
              </w:rPr>
              <w:t xml:space="preserve">6. Podmiot gospodarczy oraz  niezależny podmiot, który narusza zakaz, o którym mowa w art. 14 ust. 10, podlega administracyjnej karze pieniężnej do wysokości sześciokrotności przeciętnego wynagrodzenia, o którym mowa w art. 68g ust. 4, ogłaszanego za czwarty kwartał roku poprzedzającego nałożenie kary. </w:t>
            </w:r>
          </w:p>
          <w:p w14:paraId="7F614E20" w14:textId="77777777" w:rsidR="008518E2" w:rsidRPr="00FA7954" w:rsidRDefault="008518E2" w:rsidP="00FD5CD5">
            <w:pPr>
              <w:pStyle w:val="ZUSTzmustartykuempunktem"/>
              <w:spacing w:line="240" w:lineRule="auto"/>
              <w:ind w:left="0" w:firstLine="0"/>
              <w:jc w:val="left"/>
              <w:rPr>
                <w:rFonts w:ascii="Times New Roman" w:hAnsi="Times New Roman" w:cs="Times New Roman"/>
                <w:szCs w:val="24"/>
              </w:rPr>
            </w:pPr>
            <w:r w:rsidRPr="00FA7954">
              <w:rPr>
                <w:rFonts w:ascii="Times New Roman" w:hAnsi="Times New Roman" w:cs="Times New Roman"/>
                <w:szCs w:val="24"/>
              </w:rPr>
              <w:t>7. Podmiot gospodarczy, który narusza zakaz, o którym mowa w art. 14 ust. 11, podlega administracyjnej karze pieniężnej do wysokości sześciokrotności przeciętnego wynagrodzenia, o którym mowa w art. 68g ust. 4, ogłaszanego za czwarty kwartał roku poprzedzającego nałożenie kary.</w:t>
            </w:r>
          </w:p>
          <w:p w14:paraId="52FF0C2C" w14:textId="77777777" w:rsidR="008518E2" w:rsidRPr="00FA7954" w:rsidRDefault="008518E2" w:rsidP="00FD5CD5">
            <w:pPr>
              <w:pStyle w:val="ZUSTzmustartykuempunktem"/>
              <w:spacing w:line="240" w:lineRule="auto"/>
              <w:ind w:left="0" w:firstLine="0"/>
              <w:jc w:val="left"/>
              <w:rPr>
                <w:rFonts w:ascii="Times New Roman" w:hAnsi="Times New Roman" w:cs="Times New Roman"/>
                <w:szCs w:val="24"/>
              </w:rPr>
            </w:pPr>
            <w:r w:rsidRPr="00FA7954">
              <w:rPr>
                <w:rFonts w:ascii="Times New Roman" w:hAnsi="Times New Roman" w:cs="Times New Roman"/>
                <w:szCs w:val="24"/>
              </w:rPr>
              <w:t>Art. 71b. Podmiot gospodarczy, który:</w:t>
            </w:r>
          </w:p>
          <w:p w14:paraId="1D82D937"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1)</w:t>
            </w:r>
            <w:r w:rsidRPr="00FA7954">
              <w:rPr>
                <w:rFonts w:ascii="Times New Roman" w:hAnsi="Times New Roman" w:cs="Times New Roman"/>
                <w:szCs w:val="24"/>
              </w:rPr>
              <w:tab/>
              <w:t>nie wykonał decyzji, o której mowa w art. 68zj ust. 1, w zakresie, o którym mowa w art. 68zk ust. 1 pkt 1, podlega administracyjnej karze pieniężnej do wysokości dwukrotności przeciętnego wynagrodzenia, o którym mowa w art. 68g ust. 4, ogłaszanego za czwarty kwartał roku poprzedzającego nałożenie kary;</w:t>
            </w:r>
          </w:p>
          <w:p w14:paraId="3FD3D5AB"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2)</w:t>
            </w:r>
            <w:r w:rsidRPr="00FA7954">
              <w:rPr>
                <w:rFonts w:ascii="Times New Roman" w:hAnsi="Times New Roman" w:cs="Times New Roman"/>
                <w:szCs w:val="24"/>
              </w:rPr>
              <w:tab/>
              <w:t xml:space="preserve">nie wykonał decyzji, o której mowa w art. 68zj ust. 1, w zakresie, o którym mowa w art. </w:t>
            </w:r>
            <w:r w:rsidRPr="00FA7954">
              <w:rPr>
                <w:rFonts w:ascii="Times New Roman" w:hAnsi="Times New Roman" w:cs="Times New Roman"/>
                <w:szCs w:val="24"/>
              </w:rPr>
              <w:lastRenderedPageBreak/>
              <w:t xml:space="preserve">68zk ust. 1 pkt 2, podlega administracyjnej karze pieniężnej w wysokości równoważnej ceny sprzedaży objętego decyzją pojazdu, przedmiotu wyposażenia lub części, roweru, wózka rowerowego, hulajnogi elektrycznej oraz urządzenia transportu osobistego, użytkownikowi końcowemu z faktury lub rachunku; </w:t>
            </w:r>
          </w:p>
          <w:p w14:paraId="3CB8CDEC"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3)</w:t>
            </w:r>
            <w:r w:rsidRPr="00FA7954">
              <w:rPr>
                <w:rFonts w:ascii="Times New Roman" w:hAnsi="Times New Roman" w:cs="Times New Roman"/>
                <w:szCs w:val="24"/>
              </w:rPr>
              <w:tab/>
              <w:t xml:space="preserve">ponownie udostępnił na rynku pojazd, przedmiot wyposażenia lub cześć, rower, wózek rowerowy, hulajnogę elektryczną oraz urządzenie transportu osobistego pomimo zakazu, o którym mowa w art. 14 ust. 11, podlega administracyjnej karze pieniężnej w wysokości równoważnej cenie sprzedaży pojazdu, przedmiotu wyposażenia lub części, roweru, wózka rowerowego, hulajnogi elektrycznej lub urządzenia transportu osobistego użytkownikowi końcowemu z faktury lub rachunku.  </w:t>
            </w:r>
          </w:p>
          <w:p w14:paraId="18C0B78B" w14:textId="77777777" w:rsidR="008518E2" w:rsidRPr="00FA7954" w:rsidRDefault="008518E2" w:rsidP="00FD5CD5">
            <w:pPr>
              <w:pStyle w:val="ZUSTzmustartykuempunktem"/>
              <w:spacing w:line="240" w:lineRule="auto"/>
              <w:ind w:left="0" w:firstLine="0"/>
              <w:jc w:val="left"/>
              <w:rPr>
                <w:rFonts w:ascii="Times New Roman" w:hAnsi="Times New Roman" w:cs="Times New Roman"/>
                <w:szCs w:val="24"/>
              </w:rPr>
            </w:pPr>
            <w:r w:rsidRPr="00FA7954">
              <w:rPr>
                <w:rFonts w:ascii="Times New Roman" w:hAnsi="Times New Roman" w:cs="Times New Roman"/>
                <w:szCs w:val="24"/>
              </w:rPr>
              <w:t>Art. 71c. Podmiot gospodarczy, który wprowadził do obrotu pojazd, przedmiot wyposażenia lub część niezgodnie z wymaganiami określonymi w:</w:t>
            </w:r>
          </w:p>
          <w:p w14:paraId="344E1D0C"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1) </w:t>
            </w:r>
            <w:r w:rsidRPr="00FA7954">
              <w:rPr>
                <w:rFonts w:ascii="Times New Roman" w:hAnsi="Times New Roman" w:cs="Times New Roman"/>
                <w:szCs w:val="24"/>
              </w:rPr>
              <w:tab/>
              <w:t>art. 27 ustawy,</w:t>
            </w:r>
          </w:p>
          <w:p w14:paraId="33BD2F20"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2) </w:t>
            </w:r>
            <w:r w:rsidRPr="00FA7954">
              <w:rPr>
                <w:rFonts w:ascii="Times New Roman" w:hAnsi="Times New Roman" w:cs="Times New Roman"/>
                <w:szCs w:val="24"/>
              </w:rPr>
              <w:tab/>
              <w:t>art. 33 i art. 34 rozporządzenia 167/2013,</w:t>
            </w:r>
          </w:p>
          <w:p w14:paraId="7BC5A953"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3) </w:t>
            </w:r>
            <w:r w:rsidRPr="00FA7954">
              <w:rPr>
                <w:rFonts w:ascii="Times New Roman" w:hAnsi="Times New Roman" w:cs="Times New Roman"/>
                <w:szCs w:val="24"/>
              </w:rPr>
              <w:tab/>
              <w:t>art. 34, art. 38 i art. 39 rozporządzenia 168/2013,</w:t>
            </w:r>
          </w:p>
          <w:p w14:paraId="68FDD906"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4) </w:t>
            </w:r>
            <w:r w:rsidRPr="00FA7954">
              <w:rPr>
                <w:rFonts w:ascii="Times New Roman" w:hAnsi="Times New Roman" w:cs="Times New Roman"/>
                <w:szCs w:val="24"/>
              </w:rPr>
              <w:tab/>
              <w:t>art. 33, art. 36 i art. 38 rozporządzenia 2018/858,</w:t>
            </w:r>
          </w:p>
          <w:p w14:paraId="6D7BAF64"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7) </w:t>
            </w:r>
            <w:r w:rsidRPr="00FA7954">
              <w:rPr>
                <w:rFonts w:ascii="Times New Roman" w:hAnsi="Times New Roman" w:cs="Times New Roman"/>
                <w:szCs w:val="24"/>
              </w:rPr>
              <w:tab/>
              <w:t xml:space="preserve">art. 4 i art. 5 rozporządzenia (WE) nr 715/2007 Parlamentu Europejskiego i Rady z dnia 20 czerwca 2007 r. w sprawie homologacji typu pojazdów silnikowych w odniesieniu do emisji zanieczyszczeń pochodzących z lekkich pojazdów </w:t>
            </w:r>
            <w:r w:rsidRPr="00FA7954">
              <w:rPr>
                <w:rFonts w:ascii="Times New Roman" w:hAnsi="Times New Roman" w:cs="Times New Roman"/>
                <w:szCs w:val="24"/>
              </w:rPr>
              <w:lastRenderedPageBreak/>
              <w:t>pasażerskich i użytkowych (Euro 5 i Euro 6) oraz w sprawie dostępu do informacji dotyczących naprawy i utrzymania pojazdów (Dz. Urz. UE L 171 z 29.06.2007, str. 1, z późn. zm. )), zwanego dalej „rozporządzeniem 715/2007”,</w:t>
            </w:r>
          </w:p>
          <w:p w14:paraId="3D0484F7"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8) </w:t>
            </w:r>
            <w:r w:rsidRPr="00FA7954">
              <w:rPr>
                <w:rFonts w:ascii="Times New Roman" w:hAnsi="Times New Roman" w:cs="Times New Roman"/>
                <w:szCs w:val="24"/>
              </w:rPr>
              <w:tab/>
              <w:t>art. 4–11 rozporządzenia Parlamentu Europejskiego i Rady (UE) 2019/2144 z dnia 27 listopada 2019 r. w sprawie wymogów dotyczących homologacji typu pojazdów silnikowych i ich przyczep oraz układów, komponentów i oddzielnych zespołów technicznych przeznaczonych do tych pojazdów, w odniesieniu do ich ogólnego bezpieczeństwa oraz ochrony osób znajdujących się w pojeździe i niechronionych uczestników ruchu drogowego, zmieniającego rozporządzenie Parlamentu Europejskiego i Rady (UE) 2018/858 oraz uchylającego rozporządzenia Parlamentu Europejskiego i Rady (WE) nr 78/2009, (WE) nr 79/2009 i (WE) nr 661/2009 oraz rozporządzenia Komisji (WE) nr 631/2009, (UE) nr 406/2010, (UE) nr 672/2010, (UE) nr 1003/2010, (UE) nr 1005/2010, (UE) nr 1008/2010, (UE) nr 1009/2010, (UE) nr 19/2011, (UE) nr 109/2011, (UE) nr 458/2011, (UE) nr 65/2012, (UE) nr 130/2012, (UE) nr 347/2012, (UE) nr 351/2012, (UE) nr 1230/2012 i (UE) 2015/166 (Dz. Urz. UE L 325 z 16.12.2019, str. 1, z późn. zm. )), zwanego dalej „rozporządzeniem 2019/2144”,</w:t>
            </w:r>
          </w:p>
          <w:p w14:paraId="716DD876"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10)</w:t>
            </w:r>
            <w:r w:rsidRPr="00FA7954">
              <w:rPr>
                <w:rFonts w:ascii="Times New Roman" w:hAnsi="Times New Roman" w:cs="Times New Roman"/>
                <w:szCs w:val="24"/>
              </w:rPr>
              <w:tab/>
              <w:t xml:space="preserve"> art. 4, art. 5, art. 5a i art. 7 rozporządzenia Parlamentu Europejskiego i Rady (WE) nr 595/2009 z dnia 18 czerwca 2009 r. </w:t>
            </w:r>
            <w:r w:rsidRPr="00FA7954">
              <w:rPr>
                <w:rFonts w:ascii="Times New Roman" w:hAnsi="Times New Roman" w:cs="Times New Roman"/>
                <w:szCs w:val="24"/>
              </w:rPr>
              <w:lastRenderedPageBreak/>
              <w:t>dotyczącego homologacji typu pojazdów silnikowych i silników w odniesieniu do emisji zanieczyszczeń pochodzących z pojazdów ciężarowych o dużej ładowności (Euro VI) i zmieniającego rozporządzenie (WE) nr 715/2007 i dyrektywę 2007/46/WE oraz uchylającego dyrektywy 80/1269/EWG, 2005/55/WE i 2005/78/WE (Dz. Urz. UE L 188 z 18.07.2009, str. 1, z późn. zm. )), zwanego dalej „rozporządzeniem 595/2009”,</w:t>
            </w:r>
          </w:p>
          <w:p w14:paraId="1E1613D1"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11) </w:t>
            </w:r>
            <w:r w:rsidRPr="00FA7954">
              <w:rPr>
                <w:rFonts w:ascii="Times New Roman" w:hAnsi="Times New Roman" w:cs="Times New Roman"/>
                <w:szCs w:val="24"/>
              </w:rPr>
              <w:tab/>
              <w:t>art. 5–8 rozporządzenia Parlamentu Europejskiego i Rady (UE) nr 540/2014 z dnia 16 kwietnia 2014 r. w sprawie poziomu dźwięku pojazdów silnikowych i zamiennych układów tłumiących oraz zmieniającego dyrektywę 2007/46/WE i uchylającego dyrektywę 70/157/EWG (Dz. Urz. UE L 158 z 27.05.2014, str. 131, z późn. zm. )), zwanego dalej „rozporządzeniem 540/2014”,</w:t>
            </w:r>
          </w:p>
          <w:p w14:paraId="5002F099"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12) </w:t>
            </w:r>
            <w:r w:rsidRPr="00FA7954">
              <w:rPr>
                <w:rFonts w:ascii="Times New Roman" w:hAnsi="Times New Roman" w:cs="Times New Roman"/>
                <w:szCs w:val="24"/>
              </w:rPr>
              <w:tab/>
              <w:t>art. 4–9, art. 12 oraz art. 14</w:t>
            </w:r>
            <w:r w:rsidR="00804F0D">
              <w:rPr>
                <w:rFonts w:ascii="Times New Roman" w:hAnsi="Times New Roman" w:cs="Times New Roman"/>
                <w:szCs w:val="24"/>
              </w:rPr>
              <w:t xml:space="preserve"> ust. 1</w:t>
            </w:r>
            <w:r w:rsidRPr="00FA7954">
              <w:rPr>
                <w:rFonts w:ascii="Times New Roman" w:hAnsi="Times New Roman" w:cs="Times New Roman"/>
                <w:szCs w:val="24"/>
              </w:rPr>
              <w:t xml:space="preserve"> rozporządzenia 2024/1257,</w:t>
            </w:r>
          </w:p>
          <w:p w14:paraId="1BD4F5DA"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13) </w:t>
            </w:r>
            <w:r w:rsidRPr="00FA7954">
              <w:rPr>
                <w:rFonts w:ascii="Times New Roman" w:hAnsi="Times New Roman" w:cs="Times New Roman"/>
                <w:szCs w:val="24"/>
              </w:rPr>
              <w:tab/>
              <w:t>regulaminów ONZ</w:t>
            </w:r>
          </w:p>
          <w:p w14:paraId="53E85E9F"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 podlega administracyjnej karze pieniężnej do wysokości dwunastokrotności przeciętnego wynagrodzenia, o którym mowa w art. 68g ust. 4, ogłaszanego za czwarty kwartał roku poprzedzającego nałożenie kary, za każdy pojazd, przedmiot wyposażenia lub część, które wprowadził do obrotu. </w:t>
            </w:r>
          </w:p>
          <w:p w14:paraId="1482DCF8"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Art. 71d. Podmiot,  który naruszył obowiązek powiadomienia, o którym mowa w art. 28 ust. 1, art. 38 ust. 1, art. 51 ust. 1, art. 68zk ust. 5 lub 11, </w:t>
            </w:r>
            <w:r w:rsidRPr="00FA7954">
              <w:rPr>
                <w:rFonts w:ascii="Times New Roman" w:hAnsi="Times New Roman" w:cs="Times New Roman"/>
                <w:szCs w:val="24"/>
              </w:rPr>
              <w:lastRenderedPageBreak/>
              <w:t>art. 70 ust. 2 i art. 71 ust. 2, podlega administracyjnej karze pieniężnej do wysokości dwukrotności przeciętnego wynagrodzenia, o którym mowa w art. 68g ust. 4, ogłaszanego za czwarty kwartał roku poprzedzającego nałożenie kary, za każdy przypadek braku powiadomienia.</w:t>
            </w:r>
          </w:p>
          <w:p w14:paraId="7B63DC73"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Art. 71e. Producent, który naruszył obowiązek, o którym mowa w art. 49, podlega administracyjnej karze pieniężnej do wysokości półkrotności przeciętnego wynagrodzenia, o którym mowa w art. 68g ust. 4, ogłaszanego za czwarty kwartał roku poprzedzającego nałożenie kary, za każdy przypadek naruszenia obowiązku. </w:t>
            </w:r>
          </w:p>
          <w:p w14:paraId="410D171F"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Art. 71f. Podmiot gospodarczy, który naruszył obowiązki, o których mowa w art. 53a, podlega administracyjnej karze pieniężnej, w wysokości równoważnej cenie sprzedaży pojazdu, przedmiotu wyposażenia lub części, roweru, wózka rowerowego, hulajnogi elektrycznej lub urządzenia transportu osobistego, użytkownikowi końcowemu z faktury lub rachunku. </w:t>
            </w:r>
          </w:p>
          <w:p w14:paraId="2E3CD71B"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Art. 71g. Producent, który naruszył obowiązki w zakresie:</w:t>
            </w:r>
          </w:p>
          <w:p w14:paraId="6F14EE4A"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1)</w:t>
            </w:r>
            <w:r w:rsidRPr="00FA7954">
              <w:rPr>
                <w:rFonts w:ascii="Times New Roman" w:hAnsi="Times New Roman" w:cs="Times New Roman"/>
                <w:szCs w:val="24"/>
              </w:rPr>
              <w:tab/>
              <w:t>wyznaczenia przedstawiciela mającego siedzibę w Unii Europejskiej do celu reprezentowania przed Dyrektorem TDT, gdy producent pojazdów, przedmiotów wyposażenia lub części ma siedzibę poza Unią Europejską,</w:t>
            </w:r>
          </w:p>
          <w:p w14:paraId="110671AA"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2)</w:t>
            </w:r>
            <w:r w:rsidRPr="00FA7954">
              <w:rPr>
                <w:rFonts w:ascii="Times New Roman" w:hAnsi="Times New Roman" w:cs="Times New Roman"/>
                <w:szCs w:val="24"/>
              </w:rPr>
              <w:tab/>
              <w:t xml:space="preserve">podania nazwy, zarejestrowanej nazwy handlowej lub zarejestrowanego znaku towarowego oraz adresu w Unii Europejskiej na pojazdach, przedmiotach wyposażenia lub </w:t>
            </w:r>
            <w:r w:rsidRPr="00FA7954">
              <w:rPr>
                <w:rFonts w:ascii="Times New Roman" w:hAnsi="Times New Roman" w:cs="Times New Roman"/>
                <w:szCs w:val="24"/>
              </w:rPr>
              <w:lastRenderedPageBreak/>
              <w:t>częściach udostępnionych na rynku albo na opakowaniu lub w dokumencie dołączonym do danego przedmiotu wyposażenia lub części</w:t>
            </w:r>
          </w:p>
          <w:p w14:paraId="3F434613"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podlega administracyjnej karze pieniężnej do wysokości dwukrotności przeciętnego wynagrodzenia, o którym mowa w art. 68g ust. 4, ogłaszanego za czwarty kwartał roku poprzedzającego nałożenie kary, za każdy przypadek naruszenia obowiązku.</w:t>
            </w:r>
          </w:p>
          <w:p w14:paraId="12E40D0A"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Art. 71h. Podmiot gospodarczy, który wbrew obowiązkowi lub na żądanie Dyrektora TDT nie udostępnia informacji i dokumentacji niezbędnych do wykonywania zadań realizowanych przez Dyrektora TDT w przypadkach, o których mowa w: </w:t>
            </w:r>
          </w:p>
          <w:p w14:paraId="51D4ECB5"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1) </w:t>
            </w:r>
            <w:r w:rsidRPr="00FA7954">
              <w:rPr>
                <w:rFonts w:ascii="Times New Roman" w:hAnsi="Times New Roman" w:cs="Times New Roman"/>
                <w:szCs w:val="24"/>
              </w:rPr>
              <w:tab/>
              <w:t>art. 9 ust. 1, 2 i 4, art. 11 ust. 3, art. 12 ust. 2–4, art. 14 ust. 3 i 4, art. 29 ust. 1, art. 32 ust. 4 i 5 oraz art. 47 ust. 1–3 rozporządzenia 167/2013,</w:t>
            </w:r>
          </w:p>
          <w:p w14:paraId="7089BECE"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2) </w:t>
            </w:r>
            <w:r w:rsidRPr="00FA7954">
              <w:rPr>
                <w:rFonts w:ascii="Times New Roman" w:hAnsi="Times New Roman" w:cs="Times New Roman"/>
                <w:szCs w:val="24"/>
              </w:rPr>
              <w:tab/>
              <w:t xml:space="preserve">art. 10 ust. 1, 2 i 4, art. 12 ust. 3, art. 13 ust. 2–4, art. 34 ust. 1, art. 37 ust. 4 i 5 </w:t>
            </w:r>
          </w:p>
          <w:p w14:paraId="6F69E9FB"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oraz art. 52 ust. 2 rozporządzenia 168/2013,</w:t>
            </w:r>
          </w:p>
          <w:p w14:paraId="4D4239D8"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3) </w:t>
            </w:r>
            <w:r w:rsidRPr="00FA7954">
              <w:rPr>
                <w:rFonts w:ascii="Times New Roman" w:hAnsi="Times New Roman" w:cs="Times New Roman"/>
                <w:szCs w:val="24"/>
              </w:rPr>
              <w:tab/>
              <w:t xml:space="preserve">art. 14 ust. 1, 2 i 4, art. 17 ust. 2 i 4, art. 19 ust. </w:t>
            </w:r>
            <w:r w:rsidR="00EE28E7" w:rsidRPr="00FA7954">
              <w:rPr>
                <w:rFonts w:ascii="Times New Roman" w:hAnsi="Times New Roman" w:cs="Times New Roman"/>
                <w:szCs w:val="24"/>
              </w:rPr>
              <w:t>3</w:t>
            </w:r>
            <w:r w:rsidRPr="00FA7954">
              <w:rPr>
                <w:rFonts w:ascii="Times New Roman" w:hAnsi="Times New Roman" w:cs="Times New Roman"/>
                <w:szCs w:val="24"/>
              </w:rPr>
              <w:t xml:space="preserve">, art. 33 ust. 1 oraz art. 35 </w:t>
            </w:r>
          </w:p>
          <w:p w14:paraId="00B1F075"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ust. 4 i 5 rozporządzenia 2018/858,</w:t>
            </w:r>
          </w:p>
          <w:p w14:paraId="45627BF0"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4) </w:t>
            </w:r>
            <w:r w:rsidRPr="00FA7954">
              <w:rPr>
                <w:rFonts w:ascii="Times New Roman" w:hAnsi="Times New Roman" w:cs="Times New Roman"/>
                <w:szCs w:val="24"/>
              </w:rPr>
              <w:tab/>
              <w:t>art. 4 i art. 5 rozporządzenia 715/2007,</w:t>
            </w:r>
          </w:p>
          <w:p w14:paraId="6E39924F"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5) </w:t>
            </w:r>
            <w:r w:rsidRPr="00FA7954">
              <w:rPr>
                <w:rFonts w:ascii="Times New Roman" w:hAnsi="Times New Roman" w:cs="Times New Roman"/>
                <w:szCs w:val="24"/>
              </w:rPr>
              <w:tab/>
              <w:t>art. 4–11 rozporządzenia 2019/2144,</w:t>
            </w:r>
          </w:p>
          <w:p w14:paraId="31AECA20"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6) </w:t>
            </w:r>
            <w:r w:rsidRPr="00FA7954">
              <w:rPr>
                <w:rFonts w:ascii="Times New Roman" w:hAnsi="Times New Roman" w:cs="Times New Roman"/>
                <w:szCs w:val="24"/>
              </w:rPr>
              <w:tab/>
              <w:t>art. 4, art. 5, art. 5a i art. 7 rozporządzenia 595/2009,</w:t>
            </w:r>
          </w:p>
          <w:p w14:paraId="198CF6FC"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7) </w:t>
            </w:r>
            <w:r w:rsidRPr="00FA7954">
              <w:rPr>
                <w:rFonts w:ascii="Times New Roman" w:hAnsi="Times New Roman" w:cs="Times New Roman"/>
                <w:szCs w:val="24"/>
              </w:rPr>
              <w:tab/>
              <w:t>art. 5–8 rozporządzenia 540/2014,</w:t>
            </w:r>
          </w:p>
          <w:p w14:paraId="4FEBCE5A"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8) </w:t>
            </w:r>
            <w:r w:rsidRPr="00FA7954">
              <w:rPr>
                <w:rFonts w:ascii="Times New Roman" w:hAnsi="Times New Roman" w:cs="Times New Roman"/>
                <w:szCs w:val="24"/>
              </w:rPr>
              <w:tab/>
              <w:t xml:space="preserve">art. 4–9, art. 12 i art. 14 </w:t>
            </w:r>
            <w:r w:rsidR="00EE28E7" w:rsidRPr="00FA7954">
              <w:rPr>
                <w:rFonts w:ascii="Times New Roman" w:hAnsi="Times New Roman" w:cs="Times New Roman"/>
                <w:szCs w:val="24"/>
              </w:rPr>
              <w:t xml:space="preserve">ust. 1 </w:t>
            </w:r>
            <w:r w:rsidRPr="00FA7954">
              <w:rPr>
                <w:rFonts w:ascii="Times New Roman" w:hAnsi="Times New Roman" w:cs="Times New Roman"/>
                <w:szCs w:val="24"/>
              </w:rPr>
              <w:t>rozporządzenia 2024/1257</w:t>
            </w:r>
          </w:p>
          <w:p w14:paraId="2458445D"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lastRenderedPageBreak/>
              <w:t xml:space="preserve">9) </w:t>
            </w:r>
            <w:r w:rsidRPr="00FA7954">
              <w:rPr>
                <w:rFonts w:ascii="Times New Roman" w:hAnsi="Times New Roman" w:cs="Times New Roman"/>
                <w:szCs w:val="24"/>
              </w:rPr>
              <w:tab/>
              <w:t>regulaminów ONZ</w:t>
            </w:r>
          </w:p>
          <w:p w14:paraId="69436C50"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podlega administracyjnej karze pieniężnej do wysokości dwukrotności przeciętnego wynagrodzenia, o którym mowa w art. 68g ust. 4, ogłaszanego za czwarty kwartał roku poprzedzającego nałożenie kary, za każdy przypadek nieudostępnienia informacji lub dokumentacji.</w:t>
            </w:r>
          </w:p>
          <w:p w14:paraId="5A9F32AB"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Art. 71i. Operator platformy oraz dostawca usług społeczeństwa informacyjnego, który nie realizuje obowiązku, o którym mowa w art. 68w, albo nie realizuje obowiązku nałożonego w decyzji, o której mowa w art. 68zk ust. 6 i 8,  podlega administracyjnej karze pieniężnej do wysokości półkrotności przeciętnego wynagrodzenia, o którym mowa w art. 68g ust. 4, ogłaszanego za czwarty kwartał roku, za każdy przypadek naruszenia obowiązku. </w:t>
            </w:r>
          </w:p>
          <w:p w14:paraId="2867C2C2"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Art. 71j. Podmioty, które uniemożliwiają rozpoczęcie lub utrudniają Dyrektorowi TDT jako organowi nadzoru rynku prowadzenie czynności, o których mowa w art. 68z lub art. 68za, lub nie realizują obowiązków lub żądań, o których mowa w tych przepisach, podlegają administracyjnej karze pieniężnej do wysokości jednokrotności przeciętnego wynagrodzenia, o którym mowa w art. 68g ust. 4, ogłaszanego za czwarty kwartał roku poprzedzającego nałożenie kary.</w:t>
            </w:r>
          </w:p>
          <w:p w14:paraId="2FA750E3"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Art. 71k. 1. Służba techniczna, która narusza obowiązki określone w: </w:t>
            </w:r>
          </w:p>
          <w:p w14:paraId="40D6E816"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1)</w:t>
            </w:r>
            <w:r w:rsidRPr="00FA7954">
              <w:rPr>
                <w:rFonts w:ascii="Times New Roman" w:hAnsi="Times New Roman" w:cs="Times New Roman"/>
                <w:szCs w:val="24"/>
              </w:rPr>
              <w:tab/>
              <w:t xml:space="preserve"> art. 66 lub art. 67 rozporządzenia 167/2013,</w:t>
            </w:r>
          </w:p>
          <w:p w14:paraId="0F9262BF"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lastRenderedPageBreak/>
              <w:t>2)</w:t>
            </w:r>
            <w:r w:rsidRPr="00FA7954">
              <w:rPr>
                <w:rFonts w:ascii="Times New Roman" w:hAnsi="Times New Roman" w:cs="Times New Roman"/>
                <w:szCs w:val="24"/>
              </w:rPr>
              <w:tab/>
              <w:t xml:space="preserve"> art. 70 lub art. 71 rozporządzenia 168/2013,</w:t>
            </w:r>
          </w:p>
          <w:p w14:paraId="7DE2E930"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3)</w:t>
            </w:r>
            <w:r w:rsidRPr="00FA7954">
              <w:rPr>
                <w:rFonts w:ascii="Times New Roman" w:hAnsi="Times New Roman" w:cs="Times New Roman"/>
                <w:szCs w:val="24"/>
              </w:rPr>
              <w:tab/>
              <w:t xml:space="preserve"> art. 80 lub art. 81 rozporządzenia 2018/858</w:t>
            </w:r>
          </w:p>
          <w:p w14:paraId="0518D24C"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 podlega administracyjnej karze pieniężnej do wysokości dwukrotności przeciętnego wynagrodzenia, o którym mowa w art. 68g ust. 4, ogłaszanego za czwarty kwartał roku poprzedzającego nałożenie kary, za każde stwierdzone naruszenie. </w:t>
            </w:r>
          </w:p>
          <w:p w14:paraId="24486AD4"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2. W przypadku gdy służba techniczna:</w:t>
            </w:r>
          </w:p>
          <w:p w14:paraId="093709DB"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1)</w:t>
            </w:r>
            <w:r w:rsidRPr="00FA7954">
              <w:rPr>
                <w:rFonts w:ascii="Times New Roman" w:hAnsi="Times New Roman" w:cs="Times New Roman"/>
                <w:szCs w:val="24"/>
              </w:rPr>
              <w:tab/>
              <w:t>nie zawiadomi Dyrektora TDT o zaprzestaniu prowadzenia działalności w kategoriach działań, do których została wyznaczona w trybie określonym w art. 8,</w:t>
            </w:r>
          </w:p>
          <w:p w14:paraId="1F81CAF0"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2)</w:t>
            </w:r>
            <w:r w:rsidRPr="00FA7954">
              <w:rPr>
                <w:rFonts w:ascii="Times New Roman" w:hAnsi="Times New Roman" w:cs="Times New Roman"/>
                <w:szCs w:val="24"/>
              </w:rPr>
              <w:tab/>
              <w:t>nie przekaże Dyrektorowi TDT dokumentów lub ich kopii dotyczących wykonywanych przez nią działań w trybie wynikającym z art. 9 ust. 1,</w:t>
            </w:r>
          </w:p>
          <w:p w14:paraId="51530B64"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3)</w:t>
            </w:r>
            <w:r w:rsidRPr="00FA7954">
              <w:rPr>
                <w:rFonts w:ascii="Times New Roman" w:hAnsi="Times New Roman" w:cs="Times New Roman"/>
                <w:szCs w:val="24"/>
              </w:rPr>
              <w:tab/>
              <w:t>nie zawiadomi Dyrektora TDT o zaprzestaniu spełnienia jednego bądź kilku warunków określonych w art. 4 ust. 2 oraz w przepisach wydanych na podstawie art. 11 ust. 1,</w:t>
            </w:r>
          </w:p>
          <w:p w14:paraId="79E8C9A0"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4)</w:t>
            </w:r>
            <w:r w:rsidRPr="00FA7954">
              <w:rPr>
                <w:rFonts w:ascii="Times New Roman" w:hAnsi="Times New Roman" w:cs="Times New Roman"/>
                <w:szCs w:val="24"/>
              </w:rPr>
              <w:tab/>
              <w:t xml:space="preserve">nie realizuje działań, do których została wyznaczona zgodnie z art. 10 oraz przepisami wydanymi na podstawie art. 11 ust. 1 </w:t>
            </w:r>
          </w:p>
          <w:p w14:paraId="728BF835"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podlega administracyjnej karze pieniężnej do wysokości sześciokrotności przeciętnego wynagrodzenia, o którym mowa w art. 68g ust. 4, ogłaszanego za czwarty kwartał roku poprzedzającego nałożenie kary, za każde stwierdzone naruszenie.</w:t>
            </w:r>
          </w:p>
          <w:p w14:paraId="7EBDF778"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lastRenderedPageBreak/>
              <w:t>Art. 71l. Producent tramwaju lub producent trolejbusu, który:</w:t>
            </w:r>
          </w:p>
          <w:p w14:paraId="58CBBE4A"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1)</w:t>
            </w:r>
            <w:r w:rsidRPr="00FA7954">
              <w:rPr>
                <w:rFonts w:ascii="Times New Roman" w:hAnsi="Times New Roman" w:cs="Times New Roman"/>
                <w:szCs w:val="24"/>
              </w:rPr>
              <w:tab/>
              <w:t>wprowadza do obrotu tramwaj lub trolejbus bez wymaganego świadectwa zgodności, na podstawie świadectwa zgodności sfałszowanego lub podpisanego przez osobę nieuprawnioną,</w:t>
            </w:r>
          </w:p>
          <w:p w14:paraId="1B4FF4ED"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2)</w:t>
            </w:r>
            <w:r w:rsidRPr="00FA7954">
              <w:rPr>
                <w:rFonts w:ascii="Times New Roman" w:hAnsi="Times New Roman" w:cs="Times New Roman"/>
                <w:szCs w:val="24"/>
              </w:rPr>
              <w:tab/>
              <w:t xml:space="preserve">narusza wymogi wynikające z przepisów wydanych na podstawie art. 55 </w:t>
            </w:r>
          </w:p>
          <w:p w14:paraId="6573EBFB"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podlega administracyjnej karze pieniężnej do wysokości dwunastokrotności przeciętnego wynagrodzenia, o którym mowa w art. 68g ust. 4, ogłaszanego za czwarty kwartał roku poprzedzającego nałożenie kary, za każde wprowadzenie do obrotu tramwaju lub trolejbusu, w odniesieniu do których nie wypełnił obowiązku.</w:t>
            </w:r>
          </w:p>
          <w:p w14:paraId="2B30EBC1"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Art. 71m. Podmiot dokonujący montażu dodatkowej instalacji zasilania gazem pojazdu, który:</w:t>
            </w:r>
          </w:p>
          <w:p w14:paraId="0ED1105A"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1)</w:t>
            </w:r>
            <w:r w:rsidRPr="00FA7954">
              <w:rPr>
                <w:rFonts w:ascii="Times New Roman" w:hAnsi="Times New Roman" w:cs="Times New Roman"/>
                <w:szCs w:val="24"/>
              </w:rPr>
              <w:tab/>
              <w:t xml:space="preserve">dokonuje montażu dodatkowej instalacji zasilania gazem pojazdu bez wymaganego wyciągu ze świadectwa homologacji montażu dodatkowej instalacji zasilania gazem pojazdu oraz instrukcji montażu, na podstawie wyciągu i instrukcji sfałszowanej lub podpisanej przez osobę nieuprawnioną, </w:t>
            </w:r>
          </w:p>
          <w:p w14:paraId="056CF9E2"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2)</w:t>
            </w:r>
            <w:r w:rsidRPr="00FA7954">
              <w:rPr>
                <w:rFonts w:ascii="Times New Roman" w:hAnsi="Times New Roman" w:cs="Times New Roman"/>
                <w:szCs w:val="24"/>
              </w:rPr>
              <w:tab/>
              <w:t>narusza obowiązki, o których mowa w art. 36, art. 38 ust. 4 i art. 43,</w:t>
            </w:r>
          </w:p>
          <w:p w14:paraId="40BAF485"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3)</w:t>
            </w:r>
            <w:r w:rsidRPr="00FA7954">
              <w:rPr>
                <w:rFonts w:ascii="Times New Roman" w:hAnsi="Times New Roman" w:cs="Times New Roman"/>
                <w:szCs w:val="24"/>
              </w:rPr>
              <w:tab/>
              <w:t xml:space="preserve">narusza wymagania techniczne obowiązujące w procedurze homologacji dodatkowej instalacji zasilania gazem pojazdu oraz wymagania w zakresie tabliczki </w:t>
            </w:r>
            <w:r w:rsidRPr="00FA7954">
              <w:rPr>
                <w:rFonts w:ascii="Times New Roman" w:hAnsi="Times New Roman" w:cs="Times New Roman"/>
                <w:szCs w:val="24"/>
              </w:rPr>
              <w:lastRenderedPageBreak/>
              <w:t xml:space="preserve">informacyjnej, wynikające z przepisów wydanych na podstawie art. 58 </w:t>
            </w:r>
          </w:p>
          <w:p w14:paraId="5F436C9A"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podlega administracyjnej karze pieniężnej do wysokości jednokrotności przeciętnego wynagrodzenia, o którym mowa w art. 68g ust. 4, ogłaszanego za czwarty kwartał roku poprzedzającego nałożenie kary, za każdy montaż dodatkowej instalacji zasilania gazem pojazdu, w odniesieniu do którego nie wypełnił obowiązku.</w:t>
            </w:r>
          </w:p>
          <w:p w14:paraId="38AA4B6E"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Art. 71n. Podmiot gospodarczy, który nie realizuje obowiązku udostępnienia użytkownikom końcowym informacji o konieczności sprawdzenia stanu technicznego pojazdu w warunkach serwisowych producenta, o którym mowa w art. 70 ust. 3 lub art. 71 ust. 3 pkt 3, podlega administracyjnej karze pieniężnej do wysokości jednokrotności przeciętnego wynagrodzenia, o którym mowa w art. 68g ust. 4, ogłaszanego za czwarty kwartał roku poprzedzającego nałożenie kary, za każdy przypadek nieudostępnienia informacji dotyczącej pojazdu objętego koniecznością sprawdzenia stanu technicznego w warunkach serwisowych producenta.</w:t>
            </w:r>
          </w:p>
          <w:p w14:paraId="781C7B9F"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Art. 71o. Podmiot, o którym mowa odpowiednio w art. 68zu ust. 2 albo art. 68zv ust. 3, który:</w:t>
            </w:r>
          </w:p>
          <w:p w14:paraId="77BF7998"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1) </w:t>
            </w:r>
            <w:r w:rsidRPr="00FA7954">
              <w:rPr>
                <w:rFonts w:ascii="Times New Roman" w:hAnsi="Times New Roman" w:cs="Times New Roman"/>
                <w:szCs w:val="24"/>
              </w:rPr>
              <w:tab/>
              <w:t>nie realizuje obowiązku, o którym mowa w art. 68zv ust. 1, podlega administracyjnej karze pieniężnej do wysokości dziesięciokrotności przeciętnego wynagrodzenia, o którym mowa w art. 68g ust. 4, ogłaszanego za czwarty kwartał roku poprzedzającego nałożenie kary;</w:t>
            </w:r>
          </w:p>
          <w:p w14:paraId="07A8BFB9"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lastRenderedPageBreak/>
              <w:t xml:space="preserve">2) </w:t>
            </w:r>
            <w:r w:rsidRPr="00FA7954">
              <w:rPr>
                <w:rFonts w:ascii="Times New Roman" w:hAnsi="Times New Roman" w:cs="Times New Roman"/>
                <w:szCs w:val="24"/>
              </w:rPr>
              <w:tab/>
              <w:t>nie przekazuje informacji o wysokości obliczonych i uiszczonych opłat za nadzór rynku motoryzacyjnego w terminie, o którym mowa w art. 68zv ust. 2, podlega administracyjnej karze pieniężnej do wysokości dziesięciokrotności przeciętnego wynagrodzenia, o którym mowa w art. 68g ust. 4, ogłaszanego za czwarty kwartał roku poprzedzającego nałożenie kary;</w:t>
            </w:r>
          </w:p>
          <w:p w14:paraId="6FCFC74A"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3) </w:t>
            </w:r>
            <w:r w:rsidRPr="00FA7954">
              <w:rPr>
                <w:rFonts w:ascii="Times New Roman" w:hAnsi="Times New Roman" w:cs="Times New Roman"/>
                <w:szCs w:val="24"/>
              </w:rPr>
              <w:tab/>
              <w:t xml:space="preserve">nie przekazuje zbiorczej informacji o podmiotach wprowadzających do obrotu pojazdy w terminie, o którym mowa w art. 68zv ust. 3, podlega administracyjnej karze pieniężnej do wysokości dziesięciokrotności przeciętnego wynagrodzenia, o którym mowa w art. 68g ust. 4, ogłaszanego za czwarty kwartał roku poprzedzającego nałożenie kary; </w:t>
            </w:r>
          </w:p>
          <w:p w14:paraId="111D4CBC"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4) </w:t>
            </w:r>
            <w:r w:rsidRPr="00FA7954">
              <w:rPr>
                <w:rFonts w:ascii="Times New Roman" w:hAnsi="Times New Roman" w:cs="Times New Roman"/>
                <w:szCs w:val="24"/>
              </w:rPr>
              <w:tab/>
              <w:t>fałszuje lub zataja dane, na podstawie których wypełniona została informacja, o której mowa w art. 68zv ust. 2 lub 3, lub podaje nieprawdziwe dane w tej informacji podlega administracyjnej karze pieniężnej do wysokości dziesięciokrotności przeciętnego wynagrodzenia, o którym mowa w art. 68g ust. 4, ogłaszanego za czwarty kwartał roku poprzedzającego nałożenie kary;</w:t>
            </w:r>
          </w:p>
          <w:p w14:paraId="2C157CAC"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5) </w:t>
            </w:r>
            <w:r w:rsidRPr="00FA7954">
              <w:rPr>
                <w:rFonts w:ascii="Times New Roman" w:hAnsi="Times New Roman" w:cs="Times New Roman"/>
                <w:szCs w:val="24"/>
              </w:rPr>
              <w:tab/>
              <w:t xml:space="preserve">nie przechowuje przekazywanych Dyrektorowi TDT jako organowi nadzoru rynku informacji przez okres, o którym mowa w art. 68zv ust. 4, podlega administracyjnej karze pieniężnej do wysokości trzykrotności przeciętnego wynagrodzenia, o którym mowa w </w:t>
            </w:r>
            <w:r w:rsidRPr="00FA7954">
              <w:rPr>
                <w:rFonts w:ascii="Times New Roman" w:hAnsi="Times New Roman" w:cs="Times New Roman"/>
                <w:szCs w:val="24"/>
              </w:rPr>
              <w:lastRenderedPageBreak/>
              <w:t xml:space="preserve">art. 68g ust. 4, ogłaszanego za czwarty kwartał roku poprzedzającego nałożenie kary; </w:t>
            </w:r>
          </w:p>
          <w:p w14:paraId="4F5CAB0D"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6) </w:t>
            </w:r>
            <w:r w:rsidRPr="00FA7954">
              <w:rPr>
                <w:rFonts w:ascii="Times New Roman" w:hAnsi="Times New Roman" w:cs="Times New Roman"/>
                <w:szCs w:val="24"/>
              </w:rPr>
              <w:tab/>
              <w:t xml:space="preserve">nie okazuje informacji i  dokumentów w toku kontroli, o której mowa w art. 68zw ust. 1, podlega administracyjnej karze pieniężnej do wysokości trzykrotności przeciętnego wynagrodzenia, o którym mowa w art. 68g ust. 4, ogłaszanego za czwarty kwartał roku poprzedzającego nałożenie kary; </w:t>
            </w:r>
          </w:p>
          <w:p w14:paraId="311AE006"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7) </w:t>
            </w:r>
            <w:r w:rsidRPr="00FA7954">
              <w:rPr>
                <w:rFonts w:ascii="Times New Roman" w:hAnsi="Times New Roman" w:cs="Times New Roman"/>
                <w:szCs w:val="24"/>
              </w:rPr>
              <w:tab/>
              <w:t xml:space="preserve">przedkłada sfałszowany dokument stanowiący postawę ustalenia wysokości opłaty za nadzór rynku motoryzacyjnego, podlega administracyjnej karze pieniężnej do wysokości trzykrotności przeciętnego wynagrodzenia, o którym mowa w art. 68g ust. 4, ogłaszanego za czwarty kwartał roku poprzedzającego nałożenie kary. </w:t>
            </w:r>
          </w:p>
          <w:p w14:paraId="6F1118E6"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Art. 71p. 1. Administracyjne kary pieniężne, o których mowa w art. 71a–71o, nakłada Dyrektor TDT w drodze decyzji administracyjnej. </w:t>
            </w:r>
          </w:p>
          <w:p w14:paraId="7DF51DC5"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2. Organem wyższego stopnia w rozumieniu przepisów ustawy z dnia 14 czerwca 1960 r. – Kodeks postępowania administracyjnego w sprawach, o których mowa w ust. 1, jest minister właściwy do spraw transportu. </w:t>
            </w:r>
          </w:p>
          <w:p w14:paraId="3F841643"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3. Przy ustalaniu wysokości administracyjnych kar pieniężnych, o których mowa w art. 71a–71o, uwzględnia się:</w:t>
            </w:r>
          </w:p>
          <w:p w14:paraId="4956E061"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1)</w:t>
            </w:r>
            <w:r w:rsidRPr="00FA7954">
              <w:rPr>
                <w:rFonts w:ascii="Times New Roman" w:hAnsi="Times New Roman" w:cs="Times New Roman"/>
                <w:szCs w:val="24"/>
              </w:rPr>
              <w:tab/>
              <w:t>stopień, okoliczności i okres naruszenia obowiązków;</w:t>
            </w:r>
            <w:r w:rsidRPr="00FA7954">
              <w:rPr>
                <w:rFonts w:ascii="Times New Roman" w:hAnsi="Times New Roman" w:cs="Times New Roman"/>
                <w:szCs w:val="24"/>
              </w:rPr>
              <w:tab/>
            </w:r>
            <w:r w:rsidRPr="00FA7954">
              <w:rPr>
                <w:rFonts w:ascii="Times New Roman" w:hAnsi="Times New Roman" w:cs="Times New Roman"/>
                <w:szCs w:val="24"/>
              </w:rPr>
              <w:tab/>
            </w:r>
          </w:p>
          <w:p w14:paraId="24EAD37D"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2) </w:t>
            </w:r>
            <w:r w:rsidRPr="00FA7954">
              <w:rPr>
                <w:rFonts w:ascii="Times New Roman" w:hAnsi="Times New Roman" w:cs="Times New Roman"/>
                <w:szCs w:val="24"/>
              </w:rPr>
              <w:tab/>
              <w:t xml:space="preserve">rodzaj i charakter stwierdzonych niezgodności z wymaganiami technicznymi, </w:t>
            </w:r>
            <w:r w:rsidRPr="00FA7954">
              <w:rPr>
                <w:rFonts w:ascii="Times New Roman" w:hAnsi="Times New Roman" w:cs="Times New Roman"/>
                <w:szCs w:val="24"/>
              </w:rPr>
              <w:lastRenderedPageBreak/>
              <w:t>warunkami technicznymi, o których mowa w art. 66 ust. 1 ustawy z dnia 20 czerwca 1997 r. – Prawo o ruchu drogowym oraz określonymi w przepisach wydanych na podstawie art. 66 ust. 5 tej ustawy, lub rodzaj stwarzanego poważnego ryzyka przez pojazd, przedmiot wyposażenia lub część, rower, wózek rowerowy, hulajnogę elektryczną oraz urządzenie transportu osobistego;</w:t>
            </w:r>
          </w:p>
          <w:p w14:paraId="5FC02B9D"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3)</w:t>
            </w:r>
            <w:r w:rsidRPr="00FA7954">
              <w:rPr>
                <w:rFonts w:ascii="Times New Roman" w:hAnsi="Times New Roman" w:cs="Times New Roman"/>
                <w:szCs w:val="24"/>
              </w:rPr>
              <w:tab/>
              <w:t>liczbę udostępnionych na rynku pojazdów, przedmiotów wyposażenia lub części niezgodnych z wymaganiami technicznymi albo rowerów, wózków rowerowych, hulajnóg elektrycznych oraz urządzeń transportu osobistego niezgodnych z warunkami technicznymi, o których mowa w art. 66 ust. 1 ustawy z dnia 20 czerwca 1997 r. – Prawo o ruchu drogowym oraz określonymi w przepisach wydanych na podstawie art. 66 ust. 5 tej ustawy, w których dokonano montażu dodatkowej instalacji zasilania gazem pojazdu niezgodnie z wymaganiami, o których mowa w art. 31 ust. 2, art. 36, art. 42 i 43, wymaganiami technicznymi obowiązującymi w procedurze homologacji dodatkowej instalacji zasilania gazem pojazdu oraz wymaganiami w zakresie tabliczki informacyjnej, wynikającymi z przepisów wydanych na podstawie art. 58;</w:t>
            </w:r>
          </w:p>
          <w:p w14:paraId="6A5611A1"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4)</w:t>
            </w:r>
            <w:r w:rsidRPr="00FA7954">
              <w:rPr>
                <w:rFonts w:ascii="Times New Roman" w:hAnsi="Times New Roman" w:cs="Times New Roman"/>
                <w:szCs w:val="24"/>
              </w:rPr>
              <w:tab/>
              <w:t>uprzednie naruszenie obowiązków;</w:t>
            </w:r>
          </w:p>
          <w:p w14:paraId="02EF4767"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5)</w:t>
            </w:r>
            <w:r w:rsidRPr="00FA7954">
              <w:rPr>
                <w:rFonts w:ascii="Times New Roman" w:hAnsi="Times New Roman" w:cs="Times New Roman"/>
                <w:szCs w:val="24"/>
              </w:rPr>
              <w:tab/>
              <w:t>współpracę z Dyrektorem TDT jako organem nadzoru rynku, w tym przyczynienie się do szybkiego i sprawnego przeprowadzenia czynności wyjaśniających, kontroli, badań lub postępowań administracyjnych;</w:t>
            </w:r>
          </w:p>
          <w:p w14:paraId="3092DBD6"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lastRenderedPageBreak/>
              <w:t xml:space="preserve">6) </w:t>
            </w:r>
            <w:r w:rsidRPr="00FA7954">
              <w:rPr>
                <w:rFonts w:ascii="Times New Roman" w:hAnsi="Times New Roman" w:cs="Times New Roman"/>
                <w:szCs w:val="24"/>
              </w:rPr>
              <w:tab/>
              <w:t>zaprzestanie przez podmiot gospodarczy naruszenia obowiązków, o których mowa odpowiednio w art. 53a i art. 53b oraz potwierdzenie realizacji tych obowiązków;</w:t>
            </w:r>
          </w:p>
          <w:p w14:paraId="0D087B09"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7)</w:t>
            </w:r>
            <w:r w:rsidRPr="00FA7954">
              <w:rPr>
                <w:rFonts w:ascii="Times New Roman" w:hAnsi="Times New Roman" w:cs="Times New Roman"/>
                <w:szCs w:val="24"/>
              </w:rPr>
              <w:tab/>
              <w:t>zlecenie przez podmiot, który zamontował w pojeździe dodatkową instalację zasilania gazem pojazdu bez świadectwa homologacji montażu dodatkowej instalacji zasilania gazem pojazdu, uprawnionemu podmiotowi wymianę tej instalacji w pojeździe, na swój koszt, na instalację zgodną z takim świadectwem.</w:t>
            </w:r>
          </w:p>
          <w:p w14:paraId="1964CE08" w14:textId="77777777" w:rsidR="008518E2" w:rsidRPr="00FA7954" w:rsidRDefault="008518E2" w:rsidP="00FD5CD5">
            <w:pPr>
              <w:pStyle w:val="ZUSTzmustartykuempunktem"/>
              <w:spacing w:line="240" w:lineRule="auto"/>
              <w:jc w:val="left"/>
              <w:rPr>
                <w:rFonts w:ascii="Times New Roman" w:hAnsi="Times New Roman" w:cs="Times New Roman"/>
                <w:szCs w:val="24"/>
              </w:rPr>
            </w:pPr>
            <w:r w:rsidRPr="00FA7954">
              <w:rPr>
                <w:rFonts w:ascii="Times New Roman" w:hAnsi="Times New Roman" w:cs="Times New Roman"/>
                <w:szCs w:val="24"/>
              </w:rPr>
              <w:t xml:space="preserve">4. Przy wydawaniu decyzji o nałożeniu administracyjnej kary pieniężnej, o której mowa w art. 71a–71o, przepisu art. 189f ustawy z dnia 14 czerwca 1960 r. – Kodeks postępowania administracyjnego nie stosuje się. </w:t>
            </w:r>
          </w:p>
          <w:p w14:paraId="4B40C081" w14:textId="77777777" w:rsidR="008518E2" w:rsidRPr="00FA7954" w:rsidRDefault="009B0155" w:rsidP="00FD5CD5">
            <w:pPr>
              <w:pStyle w:val="ZUSTzmustartykuempunktem"/>
              <w:spacing w:line="240" w:lineRule="auto"/>
              <w:ind w:left="0" w:firstLine="0"/>
              <w:jc w:val="left"/>
              <w:rPr>
                <w:rFonts w:ascii="Times New Roman" w:hAnsi="Times New Roman" w:cs="Times New Roman"/>
                <w:szCs w:val="24"/>
              </w:rPr>
            </w:pPr>
            <w:r w:rsidRPr="00FA7954">
              <w:rPr>
                <w:rFonts w:ascii="Times New Roman" w:hAnsi="Times New Roman" w:cs="Times New Roman"/>
                <w:szCs w:val="24"/>
              </w:rPr>
              <w:t xml:space="preserve">         </w:t>
            </w:r>
            <w:r w:rsidR="008518E2" w:rsidRPr="00FA7954">
              <w:rPr>
                <w:rFonts w:ascii="Times New Roman" w:hAnsi="Times New Roman" w:cs="Times New Roman"/>
                <w:szCs w:val="24"/>
              </w:rPr>
              <w:t xml:space="preserve">Art. 71r. 1. Administracyjne kary pieniężne, o których mowa w art. 71a–71o, uiszcza się na rachunek Transportowego Dozoru Technicznego w terminie 14 dni od dnia, w którym decyzja o nałożeniu administracyjnej kary pieniężnej stała się ostateczna. </w:t>
            </w:r>
          </w:p>
          <w:p w14:paraId="0E25E62A" w14:textId="77777777" w:rsidR="008518E2" w:rsidRPr="00FA7954" w:rsidRDefault="008518E2" w:rsidP="00FD5CD5">
            <w:pPr>
              <w:pStyle w:val="ZUSTzmustartykuempunktem"/>
              <w:spacing w:line="240" w:lineRule="auto"/>
              <w:ind w:left="0" w:firstLine="0"/>
              <w:jc w:val="left"/>
              <w:rPr>
                <w:rFonts w:ascii="Times New Roman" w:hAnsi="Times New Roman" w:cs="Times New Roman"/>
                <w:szCs w:val="24"/>
              </w:rPr>
            </w:pPr>
            <w:r w:rsidRPr="00FA7954">
              <w:rPr>
                <w:rFonts w:ascii="Times New Roman" w:hAnsi="Times New Roman" w:cs="Times New Roman"/>
                <w:szCs w:val="24"/>
              </w:rPr>
              <w:t>2. Wpływy z administracyjnych kar pieniężnych wraz z odsetkami stanowią przychód Dyrektora TDT.</w:t>
            </w:r>
          </w:p>
          <w:p w14:paraId="5EFB8FCE" w14:textId="77777777" w:rsidR="008518E2" w:rsidRPr="00FA7954" w:rsidRDefault="008518E2" w:rsidP="00FD5CD5">
            <w:pPr>
              <w:pStyle w:val="ZUSTzmustartykuempunktem"/>
              <w:spacing w:line="240" w:lineRule="auto"/>
              <w:ind w:left="0" w:firstLine="0"/>
              <w:jc w:val="left"/>
              <w:rPr>
                <w:rFonts w:ascii="Times New Roman" w:hAnsi="Times New Roman" w:cs="Times New Roman"/>
                <w:szCs w:val="24"/>
              </w:rPr>
            </w:pPr>
            <w:r w:rsidRPr="00FA7954">
              <w:rPr>
                <w:rFonts w:ascii="Times New Roman" w:hAnsi="Times New Roman" w:cs="Times New Roman"/>
                <w:szCs w:val="24"/>
              </w:rPr>
              <w:t>Art. 71s. 1. Kary pieniężne, o których mowa w art. 71a–71o, wraz z odsetkami ustawowymi za opóźnienie, podlegają przymusowemu ściągnięciu w trybie określonym w ustawie z dnia 17 czerwca 1966 r. o postępowaniu egzekucyjnym w administracji.</w:t>
            </w:r>
          </w:p>
          <w:p w14:paraId="73C8B4AA" w14:textId="5796FB15" w:rsidR="008518E2" w:rsidRPr="00FA7954" w:rsidRDefault="008518E2" w:rsidP="005E0F9D">
            <w:pPr>
              <w:pStyle w:val="ZUSTzmustartykuempunktem"/>
              <w:numPr>
                <w:ilvl w:val="0"/>
                <w:numId w:val="11"/>
              </w:numPr>
              <w:spacing w:line="240" w:lineRule="auto"/>
              <w:jc w:val="left"/>
              <w:rPr>
                <w:rFonts w:ascii="Times New Roman" w:hAnsi="Times New Roman" w:cs="Times New Roman"/>
                <w:szCs w:val="24"/>
              </w:rPr>
            </w:pPr>
            <w:r w:rsidRPr="00FA7954">
              <w:rPr>
                <w:rFonts w:ascii="Times New Roman" w:hAnsi="Times New Roman" w:cs="Times New Roman"/>
                <w:szCs w:val="24"/>
              </w:rPr>
              <w:t xml:space="preserve">Obowiązek uiszczenia kar pieniężnych, o których mowa w ust. 1, przedawnia się z upływem 5 lat, licząc od ostatniego dnia roku </w:t>
            </w:r>
            <w:r w:rsidRPr="00FA7954">
              <w:rPr>
                <w:rFonts w:ascii="Times New Roman" w:hAnsi="Times New Roman" w:cs="Times New Roman"/>
                <w:szCs w:val="24"/>
              </w:rPr>
              <w:lastRenderedPageBreak/>
              <w:t>kalendarzowego, w którym kary powinny zostać uiszczone.”</w:t>
            </w:r>
          </w:p>
        </w:tc>
        <w:tc>
          <w:tcPr>
            <w:tcW w:w="1500" w:type="dxa"/>
            <w:tcBorders>
              <w:top w:val="single" w:sz="4" w:space="0" w:color="auto"/>
              <w:left w:val="single" w:sz="4" w:space="0" w:color="auto"/>
              <w:bottom w:val="single" w:sz="4" w:space="0" w:color="auto"/>
              <w:right w:val="single" w:sz="4" w:space="0" w:color="auto"/>
            </w:tcBorders>
          </w:tcPr>
          <w:p w14:paraId="75C7CDFF"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tc>
      </w:tr>
    </w:tbl>
    <w:p w14:paraId="069A1622" w14:textId="77777777" w:rsidR="006A0B48" w:rsidRPr="00FB76A9" w:rsidRDefault="006A0B48" w:rsidP="00FD5CD5">
      <w:pPr>
        <w:rPr>
          <w:rFonts w:ascii="Times New Roman" w:hAnsi="Times New Roman" w:cs="Times New Roman"/>
          <w:sz w:val="24"/>
          <w:szCs w:val="24"/>
        </w:rPr>
      </w:pPr>
      <w:r w:rsidRPr="00FB76A9">
        <w:rPr>
          <w:rFonts w:ascii="Times New Roman" w:hAnsi="Times New Roman" w:cs="Times New Roman"/>
          <w:sz w:val="24"/>
          <w:szCs w:val="24"/>
        </w:rPr>
        <w:lastRenderedPageBreak/>
        <w:br w:type="page"/>
      </w:r>
    </w:p>
    <w:tbl>
      <w:tblPr>
        <w:tblpPr w:leftFromText="141" w:rightFromText="141" w:vertAnchor="text" w:tblpY="1"/>
        <w:tblOverlap w:val="neve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13"/>
        <w:gridCol w:w="9482"/>
      </w:tblGrid>
      <w:tr w:rsidR="00042688" w:rsidRPr="00FB76A9" w14:paraId="55116D9D" w14:textId="77777777" w:rsidTr="000827FD">
        <w:trPr>
          <w:cantSplit/>
          <w:trHeight w:val="576"/>
        </w:trPr>
        <w:tc>
          <w:tcPr>
            <w:tcW w:w="5513" w:type="dxa"/>
            <w:tcBorders>
              <w:bottom w:val="single" w:sz="4" w:space="0" w:color="auto"/>
            </w:tcBorders>
            <w:shd w:val="clear" w:color="auto" w:fill="E0E0E0"/>
          </w:tcPr>
          <w:p w14:paraId="604FB9DE" w14:textId="77777777" w:rsidR="00042688" w:rsidRPr="00FB76A9" w:rsidRDefault="00042688" w:rsidP="00FD5CD5">
            <w:pPr>
              <w:keepNext/>
              <w:spacing w:after="0" w:line="240" w:lineRule="auto"/>
              <w:outlineLvl w:val="0"/>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lastRenderedPageBreak/>
              <w:t>TYTUŁ PROJEKTU:</w:t>
            </w:r>
          </w:p>
        </w:tc>
        <w:tc>
          <w:tcPr>
            <w:tcW w:w="9482" w:type="dxa"/>
            <w:tcBorders>
              <w:bottom w:val="single" w:sz="4" w:space="0" w:color="auto"/>
            </w:tcBorders>
          </w:tcPr>
          <w:p w14:paraId="6D9A573B" w14:textId="77777777" w:rsidR="00042688" w:rsidRPr="00FB76A9" w:rsidRDefault="00CB54D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Projekt ustawy o zmianie ustawy o systemach homologacji pojazdów oraz ich wyposażenia oraz niektórych innych ustaw (UC95)</w:t>
            </w:r>
          </w:p>
        </w:tc>
      </w:tr>
      <w:tr w:rsidR="00042688" w:rsidRPr="00FB76A9" w14:paraId="7E249FED" w14:textId="77777777" w:rsidTr="000827FD">
        <w:trPr>
          <w:cantSplit/>
          <w:trHeight w:val="576"/>
        </w:trPr>
        <w:tc>
          <w:tcPr>
            <w:tcW w:w="5513" w:type="dxa"/>
            <w:tcBorders>
              <w:bottom w:val="single" w:sz="4" w:space="0" w:color="auto"/>
            </w:tcBorders>
            <w:shd w:val="clear" w:color="auto" w:fill="E0E0E0"/>
          </w:tcPr>
          <w:p w14:paraId="18A7118E" w14:textId="77777777" w:rsidR="00042688" w:rsidRPr="00FB76A9" w:rsidRDefault="00042688"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TYTUŁ WDRAŻANEGO AKTU PRAWNEGO</w:t>
            </w:r>
          </w:p>
        </w:tc>
        <w:tc>
          <w:tcPr>
            <w:tcW w:w="9482" w:type="dxa"/>
            <w:tcBorders>
              <w:bottom w:val="single" w:sz="4" w:space="0" w:color="auto"/>
            </w:tcBorders>
          </w:tcPr>
          <w:p w14:paraId="5C592F2E" w14:textId="77777777" w:rsidR="00CB54DD" w:rsidRPr="00FB76A9" w:rsidRDefault="00CB54DD" w:rsidP="00FD5CD5">
            <w:pPr>
              <w:pStyle w:val="ODNONIKtreodnonika"/>
              <w:jc w:val="left"/>
              <w:rPr>
                <w:rFonts w:eastAsia="Times New Roman" w:cs="Times New Roman"/>
                <w:sz w:val="24"/>
                <w:szCs w:val="24"/>
              </w:rPr>
            </w:pPr>
            <w:r w:rsidRPr="00FB76A9">
              <w:rPr>
                <w:rFonts w:eastAsia="Times New Roman" w:cs="Times New Roman"/>
                <w:sz w:val="24"/>
                <w:szCs w:val="24"/>
              </w:rPr>
              <w:t xml:space="preserve">Rozporządzenie Parlamentu Europejskiego i Rady (UE) nr </w:t>
            </w:r>
            <w:r w:rsidRPr="00FB76A9">
              <w:rPr>
                <w:rFonts w:eastAsia="Times New Roman" w:cs="Times New Roman"/>
                <w:b/>
                <w:sz w:val="24"/>
                <w:szCs w:val="24"/>
              </w:rPr>
              <w:t>168/2013</w:t>
            </w:r>
            <w:r w:rsidRPr="00FB76A9">
              <w:rPr>
                <w:rFonts w:eastAsia="Times New Roman" w:cs="Times New Roman"/>
                <w:sz w:val="24"/>
                <w:szCs w:val="24"/>
              </w:rPr>
              <w:t xml:space="preserve"> z dnia 15 stycznia 2013 r.</w:t>
            </w:r>
          </w:p>
          <w:p w14:paraId="6473D332" w14:textId="77777777" w:rsidR="00CB54DD" w:rsidRPr="00FB76A9" w:rsidRDefault="00CB54DD" w:rsidP="00FD5CD5">
            <w:pPr>
              <w:pStyle w:val="ODNONIKtreodnonika"/>
              <w:jc w:val="left"/>
              <w:rPr>
                <w:rFonts w:eastAsia="Times New Roman" w:cs="Times New Roman"/>
                <w:sz w:val="24"/>
                <w:szCs w:val="24"/>
              </w:rPr>
            </w:pPr>
            <w:r w:rsidRPr="00FB76A9">
              <w:rPr>
                <w:rFonts w:eastAsia="Times New Roman" w:cs="Times New Roman"/>
                <w:sz w:val="24"/>
                <w:szCs w:val="24"/>
              </w:rPr>
              <w:t>w sprawie homologacji i nadzoru rynku pojazdów dwu– lub trzykołowych oraz czterokołowców</w:t>
            </w:r>
          </w:p>
          <w:p w14:paraId="4A7A1D0D" w14:textId="77777777" w:rsidR="00CB54DD" w:rsidRPr="00FB76A9" w:rsidRDefault="00CB54DD" w:rsidP="00FD5CD5">
            <w:pPr>
              <w:pStyle w:val="ODNONIKtreodnonika"/>
              <w:jc w:val="left"/>
              <w:rPr>
                <w:rFonts w:eastAsia="Times New Roman" w:cs="Times New Roman"/>
                <w:sz w:val="24"/>
                <w:szCs w:val="24"/>
              </w:rPr>
            </w:pPr>
            <w:r w:rsidRPr="00FB76A9">
              <w:rPr>
                <w:rFonts w:eastAsia="Times New Roman" w:cs="Times New Roman"/>
                <w:sz w:val="24"/>
                <w:szCs w:val="24"/>
              </w:rPr>
              <w:t>(Dz. Urz. UE L 60 z 02.03.2013, str. 52, Dz. Urz. UE L 53 z 21.02.2014, str. 1, Dz. Urz. UE L</w:t>
            </w:r>
          </w:p>
          <w:p w14:paraId="49B9472D" w14:textId="77777777" w:rsidR="00CB54DD" w:rsidRPr="00FB76A9" w:rsidRDefault="00CB54DD" w:rsidP="00FD5CD5">
            <w:pPr>
              <w:pStyle w:val="ODNONIKtreodnonika"/>
              <w:jc w:val="left"/>
              <w:rPr>
                <w:rFonts w:eastAsia="Times New Roman" w:cs="Times New Roman"/>
                <w:sz w:val="24"/>
                <w:szCs w:val="24"/>
              </w:rPr>
            </w:pPr>
            <w:r w:rsidRPr="00FB76A9">
              <w:rPr>
                <w:rFonts w:eastAsia="Times New Roman" w:cs="Times New Roman"/>
                <w:sz w:val="24"/>
                <w:szCs w:val="24"/>
              </w:rPr>
              <w:t>77 z 23.03.2016, str. 65, Dz. Urz. UE L 30 z 31.01.2019, str. 106, Dz. Urz. UE L 381 z</w:t>
            </w:r>
          </w:p>
          <w:p w14:paraId="63EC5FD0" w14:textId="77777777" w:rsidR="00042688" w:rsidRPr="00FB76A9" w:rsidRDefault="00CB54DD" w:rsidP="00FD5CD5">
            <w:pPr>
              <w:pStyle w:val="ODNONIKtreodnonika"/>
              <w:jc w:val="left"/>
              <w:rPr>
                <w:rFonts w:eastAsia="Times New Roman" w:cs="Times New Roman"/>
                <w:sz w:val="24"/>
                <w:szCs w:val="24"/>
              </w:rPr>
            </w:pPr>
            <w:r w:rsidRPr="00FB76A9">
              <w:rPr>
                <w:rFonts w:eastAsia="Times New Roman" w:cs="Times New Roman"/>
                <w:sz w:val="24"/>
                <w:szCs w:val="24"/>
              </w:rPr>
              <w:t>13.11.2020, str. 4 oraz Dz. Urz. UE L 2024/2838 z 07.11.2024).</w:t>
            </w:r>
          </w:p>
        </w:tc>
      </w:tr>
      <w:tr w:rsidR="008F21EC" w:rsidRPr="00FB76A9" w14:paraId="23F3BD48" w14:textId="77777777" w:rsidTr="00BC15FA">
        <w:trPr>
          <w:cantSplit/>
          <w:trHeight w:val="576"/>
        </w:trPr>
        <w:tc>
          <w:tcPr>
            <w:tcW w:w="5513" w:type="dxa"/>
            <w:shd w:val="clear" w:color="auto" w:fill="E0E0E0"/>
          </w:tcPr>
          <w:p w14:paraId="5E18407B" w14:textId="77777777" w:rsidR="008F21EC" w:rsidRPr="00FB76A9" w:rsidRDefault="008F21EC"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hAnsi="Times New Roman" w:cs="Times New Roman"/>
                <w:b/>
                <w:bCs/>
                <w:sz w:val="24"/>
                <w:szCs w:val="24"/>
              </w:rPr>
              <w:t>WYJAŚNIENIE TERMINU WEJŚCIA W ŻYCIE PROJEKTU / PROJEKTÓW</w:t>
            </w:r>
          </w:p>
        </w:tc>
        <w:tc>
          <w:tcPr>
            <w:tcW w:w="9482" w:type="dxa"/>
          </w:tcPr>
          <w:p w14:paraId="636E9269" w14:textId="77777777" w:rsidR="008F21EC" w:rsidRPr="00FB76A9" w:rsidRDefault="008F21EC" w:rsidP="00FD5CD5">
            <w:pPr>
              <w:pStyle w:val="ODNONIKtreodnonika"/>
              <w:ind w:left="89" w:firstLine="0"/>
              <w:jc w:val="left"/>
              <w:rPr>
                <w:rFonts w:eastAsia="Times New Roman" w:cs="Times New Roman"/>
                <w:sz w:val="24"/>
                <w:szCs w:val="24"/>
              </w:rPr>
            </w:pPr>
            <w:r w:rsidRPr="00FB76A9">
              <w:rPr>
                <w:rFonts w:eastAsia="Times New Roman" w:cs="Times New Roman"/>
                <w:sz w:val="24"/>
                <w:szCs w:val="24"/>
              </w:rPr>
              <w:t>Co do zasady przewiduje się, iż zgodnie z art. 1</w:t>
            </w:r>
            <w:r w:rsidR="00BC15FA">
              <w:rPr>
                <w:rFonts w:eastAsia="Times New Roman" w:cs="Times New Roman"/>
                <w:sz w:val="24"/>
                <w:szCs w:val="24"/>
              </w:rPr>
              <w:t>9</w:t>
            </w:r>
            <w:r w:rsidRPr="00FB76A9">
              <w:rPr>
                <w:rFonts w:eastAsia="Times New Roman" w:cs="Times New Roman"/>
                <w:sz w:val="24"/>
                <w:szCs w:val="24"/>
              </w:rPr>
              <w:t xml:space="preserve"> projektu, </w:t>
            </w:r>
            <w:r w:rsidRPr="00FB76A9">
              <w:rPr>
                <w:rFonts w:cs="Times New Roman"/>
                <w:sz w:val="24"/>
                <w:szCs w:val="24"/>
              </w:rPr>
              <w:t>u</w:t>
            </w:r>
            <w:r w:rsidRPr="00FB76A9">
              <w:rPr>
                <w:rFonts w:eastAsia="Times New Roman" w:cs="Times New Roman"/>
                <w:sz w:val="24"/>
                <w:szCs w:val="24"/>
              </w:rPr>
              <w:t xml:space="preserve">stawa wejdzie w życie po upływie 14 dni od dnia ogłoszenia, z wyjątkami wskazanymi w </w:t>
            </w:r>
            <w:r w:rsidR="00BC15FA">
              <w:rPr>
                <w:rFonts w:eastAsia="Times New Roman" w:cs="Times New Roman"/>
                <w:sz w:val="24"/>
                <w:szCs w:val="24"/>
              </w:rPr>
              <w:t xml:space="preserve">art. 18 </w:t>
            </w:r>
            <w:r w:rsidRPr="00FB76A9">
              <w:rPr>
                <w:rFonts w:eastAsia="Times New Roman" w:cs="Times New Roman"/>
                <w:sz w:val="24"/>
                <w:szCs w:val="24"/>
              </w:rPr>
              <w:t>pkt 1-6.</w:t>
            </w:r>
          </w:p>
        </w:tc>
      </w:tr>
      <w:tr w:rsidR="00BC15FA" w:rsidRPr="00FB76A9" w14:paraId="152EBACE" w14:textId="77777777" w:rsidTr="000827FD">
        <w:trPr>
          <w:cantSplit/>
          <w:trHeight w:val="576"/>
        </w:trPr>
        <w:tc>
          <w:tcPr>
            <w:tcW w:w="5513" w:type="dxa"/>
            <w:tcBorders>
              <w:bottom w:val="single" w:sz="4" w:space="0" w:color="auto"/>
            </w:tcBorders>
            <w:shd w:val="clear" w:color="auto" w:fill="E0E0E0"/>
          </w:tcPr>
          <w:p w14:paraId="58B145A7" w14:textId="77777777" w:rsidR="00BC15FA" w:rsidRPr="00FB76A9" w:rsidRDefault="00BC15FA" w:rsidP="00FD5CD5">
            <w:pPr>
              <w:spacing w:after="0" w:line="240" w:lineRule="auto"/>
              <w:rPr>
                <w:rFonts w:ascii="Times New Roman" w:hAnsi="Times New Roman" w:cs="Times New Roman"/>
                <w:b/>
                <w:bCs/>
                <w:sz w:val="24"/>
                <w:szCs w:val="24"/>
              </w:rPr>
            </w:pPr>
          </w:p>
        </w:tc>
        <w:tc>
          <w:tcPr>
            <w:tcW w:w="9482" w:type="dxa"/>
            <w:tcBorders>
              <w:bottom w:val="single" w:sz="4" w:space="0" w:color="auto"/>
            </w:tcBorders>
          </w:tcPr>
          <w:p w14:paraId="23C9F0FC" w14:textId="77777777" w:rsidR="00BC15FA" w:rsidRPr="00FB76A9" w:rsidRDefault="00BC15FA" w:rsidP="00FD5CD5">
            <w:pPr>
              <w:pStyle w:val="ODNONIKtreodnonika"/>
              <w:ind w:left="89" w:firstLine="0"/>
              <w:jc w:val="left"/>
              <w:rPr>
                <w:rFonts w:eastAsia="Times New Roman" w:cs="Times New Roman"/>
                <w:sz w:val="24"/>
                <w:szCs w:val="24"/>
              </w:rPr>
            </w:pPr>
          </w:p>
        </w:tc>
      </w:tr>
    </w:tbl>
    <w:tbl>
      <w:tblP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7"/>
        <w:gridCol w:w="191"/>
        <w:gridCol w:w="5381"/>
        <w:gridCol w:w="884"/>
        <w:gridCol w:w="48"/>
        <w:gridCol w:w="715"/>
        <w:gridCol w:w="42"/>
        <w:gridCol w:w="5433"/>
        <w:gridCol w:w="1504"/>
      </w:tblGrid>
      <w:tr w:rsidR="006C3486" w:rsidRPr="00FB76A9" w14:paraId="486246DC" w14:textId="77777777" w:rsidTr="00344C09">
        <w:trPr>
          <w:trHeight w:val="151"/>
        </w:trPr>
        <w:tc>
          <w:tcPr>
            <w:tcW w:w="797" w:type="dxa"/>
            <w:shd w:val="clear" w:color="auto" w:fill="D9D9D9"/>
          </w:tcPr>
          <w:p w14:paraId="3CC140B6" w14:textId="77777777" w:rsidR="006C3486" w:rsidRPr="00FB76A9" w:rsidRDefault="006C348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Jedn. red. </w:t>
            </w:r>
          </w:p>
        </w:tc>
        <w:tc>
          <w:tcPr>
            <w:tcW w:w="5572" w:type="dxa"/>
            <w:gridSpan w:val="2"/>
            <w:shd w:val="clear" w:color="auto" w:fill="D9D9D9"/>
          </w:tcPr>
          <w:p w14:paraId="5CDC51B8" w14:textId="77777777" w:rsidR="006C3486" w:rsidRPr="00FB76A9" w:rsidRDefault="006C348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Treść przepisu UE </w:t>
            </w:r>
          </w:p>
        </w:tc>
        <w:tc>
          <w:tcPr>
            <w:tcW w:w="884" w:type="dxa"/>
            <w:shd w:val="clear" w:color="auto" w:fill="D9D9D9"/>
          </w:tcPr>
          <w:p w14:paraId="0B37E440" w14:textId="77777777" w:rsidR="006C3486" w:rsidRPr="00FB76A9" w:rsidRDefault="006C348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Konieczność</w:t>
            </w:r>
          </w:p>
          <w:p w14:paraId="7A3C2E02" w14:textId="77777777" w:rsidR="006C3486" w:rsidRPr="00FB76A9" w:rsidRDefault="006C348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wdrożenia</w:t>
            </w:r>
          </w:p>
          <w:p w14:paraId="71BDFCDB" w14:textId="77777777" w:rsidR="006C3486" w:rsidRPr="00FB76A9" w:rsidRDefault="006C3486" w:rsidP="00FD5CD5">
            <w:pPr>
              <w:spacing w:after="0" w:line="240" w:lineRule="auto"/>
              <w:rPr>
                <w:rFonts w:ascii="Times New Roman" w:eastAsia="Times New Roman" w:hAnsi="Times New Roman" w:cs="Times New Roman"/>
                <w:sz w:val="24"/>
                <w:szCs w:val="24"/>
                <w:lang w:eastAsia="pl-PL"/>
              </w:rPr>
            </w:pPr>
          </w:p>
          <w:p w14:paraId="209A60C3" w14:textId="77777777" w:rsidR="006C3486" w:rsidRPr="00FB76A9" w:rsidRDefault="006C348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sz w:val="24"/>
                <w:szCs w:val="24"/>
                <w:lang w:eastAsia="pl-PL"/>
              </w:rPr>
              <w:t xml:space="preserve"> T / N</w:t>
            </w:r>
          </w:p>
        </w:tc>
        <w:tc>
          <w:tcPr>
            <w:tcW w:w="805" w:type="dxa"/>
            <w:gridSpan w:val="3"/>
            <w:shd w:val="clear" w:color="auto" w:fill="D9D9D9"/>
          </w:tcPr>
          <w:p w14:paraId="5D7ECE69" w14:textId="77777777" w:rsidR="006C3486" w:rsidRPr="00FB76A9" w:rsidRDefault="006C348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Jedn. red. (*) </w:t>
            </w:r>
          </w:p>
        </w:tc>
        <w:tc>
          <w:tcPr>
            <w:tcW w:w="5433" w:type="dxa"/>
            <w:shd w:val="clear" w:color="auto" w:fill="D9D9D9"/>
          </w:tcPr>
          <w:p w14:paraId="64C18D79" w14:textId="77777777" w:rsidR="006C3486" w:rsidRPr="00FB76A9" w:rsidRDefault="006C348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Treść przepisu/ów projektu (*)</w:t>
            </w:r>
          </w:p>
        </w:tc>
        <w:tc>
          <w:tcPr>
            <w:tcW w:w="1504" w:type="dxa"/>
            <w:shd w:val="clear" w:color="auto" w:fill="D9D9D9"/>
          </w:tcPr>
          <w:p w14:paraId="705D5A68" w14:textId="77777777" w:rsidR="006C3486" w:rsidRPr="00FB76A9" w:rsidRDefault="006C348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Uzasadnienie uwzględnienia w projekcie przepisów wykraczających poza minimalne wymogi  prawa UE (**)</w:t>
            </w:r>
          </w:p>
        </w:tc>
      </w:tr>
      <w:tr w:rsidR="00344C09" w:rsidRPr="00FB76A9" w14:paraId="696269B3" w14:textId="77777777" w:rsidTr="00145342">
        <w:trPr>
          <w:trHeight w:val="983"/>
        </w:trPr>
        <w:tc>
          <w:tcPr>
            <w:tcW w:w="988" w:type="dxa"/>
            <w:gridSpan w:val="2"/>
            <w:tcBorders>
              <w:top w:val="single" w:sz="4" w:space="0" w:color="auto"/>
              <w:left w:val="single" w:sz="4" w:space="0" w:color="auto"/>
              <w:bottom w:val="single" w:sz="4" w:space="0" w:color="auto"/>
              <w:right w:val="single" w:sz="4" w:space="0" w:color="auto"/>
            </w:tcBorders>
          </w:tcPr>
          <w:p w14:paraId="7D454228" w14:textId="77777777" w:rsidR="00344C09" w:rsidRPr="00FB76A9" w:rsidRDefault="00880AED"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 xml:space="preserve">Art. 1 </w:t>
            </w:r>
            <w:r w:rsidR="00FA7954">
              <w:rPr>
                <w:rFonts w:ascii="Times New Roman" w:eastAsia="Times New Roman" w:hAnsi="Times New Roman" w:cs="Times New Roman"/>
                <w:b/>
                <w:sz w:val="24"/>
                <w:szCs w:val="24"/>
                <w:lang w:eastAsia="pl-PL"/>
              </w:rPr>
              <w:t>ust. 1</w:t>
            </w:r>
          </w:p>
        </w:tc>
        <w:tc>
          <w:tcPr>
            <w:tcW w:w="5381" w:type="dxa"/>
            <w:tcBorders>
              <w:top w:val="single" w:sz="4" w:space="0" w:color="auto"/>
              <w:left w:val="single" w:sz="4" w:space="0" w:color="auto"/>
              <w:bottom w:val="single" w:sz="4" w:space="0" w:color="auto"/>
              <w:right w:val="single" w:sz="4" w:space="0" w:color="auto"/>
            </w:tcBorders>
          </w:tcPr>
          <w:p w14:paraId="6507E95F" w14:textId="77777777" w:rsidR="00FA7954" w:rsidRDefault="00880AED" w:rsidP="00FA7954">
            <w:pPr>
              <w:pStyle w:val="CM4"/>
            </w:pPr>
            <w:r w:rsidRPr="00FB76A9">
              <w:t>„</w:t>
            </w:r>
            <w:r w:rsidR="00FA7954">
              <w:t xml:space="preserve"> </w:t>
            </w:r>
            <w:r w:rsidR="00FA7954" w:rsidRPr="00FA7954">
              <w:t>Niniejsze rozporządzenie ustanawia wymogi administracyjne i wymagania techniczne w zakresie homologacji typu wszystkich nowych pojazdów, układów, komponentów i oddzielnych zespołów technicznych, o których mowa w art. 2 ust. 1.</w:t>
            </w:r>
          </w:p>
          <w:p w14:paraId="7B90D0A1" w14:textId="77777777" w:rsidR="00FA7954" w:rsidRPr="00FA7954" w:rsidRDefault="00FA7954" w:rsidP="00FA7954"/>
          <w:p w14:paraId="7DA098A3" w14:textId="77777777" w:rsidR="00344C09" w:rsidRPr="00FB76A9" w:rsidRDefault="00880AED" w:rsidP="00FD5CD5">
            <w:pPr>
              <w:pStyle w:val="CM4"/>
              <w:rPr>
                <w:rFonts w:eastAsia="Times New Roman"/>
                <w:lang w:eastAsia="pl-PL"/>
              </w:rPr>
            </w:pPr>
            <w:r w:rsidRPr="00FB76A9">
              <w:t xml:space="preserve">Niniejsze rozporządzenie nie ma zastosowania do homologacji pojedynczych pojazdów. Jednakże państwa członkowskie udzielające takich </w:t>
            </w:r>
            <w:r w:rsidRPr="00FB76A9">
              <w:lastRenderedPageBreak/>
              <w:t>indywidualnych homologacje uznają wszelkie homologacje typu pojazdów, układów, komponentów i oddzielnych zespołów technicznych udzielone na mocy niniejszego rozporządzenia zamiast homologacji udzielonych na mocy odpowiednich przepisów krajowych.”</w:t>
            </w:r>
          </w:p>
        </w:tc>
        <w:tc>
          <w:tcPr>
            <w:tcW w:w="932" w:type="dxa"/>
            <w:gridSpan w:val="2"/>
            <w:tcBorders>
              <w:top w:val="single" w:sz="4" w:space="0" w:color="auto"/>
              <w:left w:val="single" w:sz="4" w:space="0" w:color="auto"/>
              <w:bottom w:val="single" w:sz="4" w:space="0" w:color="auto"/>
              <w:right w:val="single" w:sz="4" w:space="0" w:color="auto"/>
            </w:tcBorders>
          </w:tcPr>
          <w:p w14:paraId="150C91A4" w14:textId="77777777" w:rsidR="00344C09" w:rsidRPr="00FB76A9" w:rsidRDefault="00AF3B7B"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lastRenderedPageBreak/>
              <w:t>T</w:t>
            </w:r>
          </w:p>
        </w:tc>
        <w:tc>
          <w:tcPr>
            <w:tcW w:w="715" w:type="dxa"/>
            <w:tcBorders>
              <w:top w:val="single" w:sz="4" w:space="0" w:color="auto"/>
              <w:left w:val="single" w:sz="4" w:space="0" w:color="auto"/>
              <w:bottom w:val="single" w:sz="4" w:space="0" w:color="auto"/>
              <w:right w:val="single" w:sz="4" w:space="0" w:color="auto"/>
            </w:tcBorders>
          </w:tcPr>
          <w:p w14:paraId="1E3BEDC3" w14:textId="77777777" w:rsidR="00542A2F" w:rsidRPr="00FB76A9" w:rsidRDefault="00542A2F"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 xml:space="preserve">Art. 1 pkt 3 lit. </w:t>
            </w:r>
            <w:r w:rsidR="008F21EC" w:rsidRPr="00FB76A9">
              <w:rPr>
                <w:rFonts w:ascii="Times New Roman" w:eastAsia="Times New Roman" w:hAnsi="Times New Roman" w:cs="Times New Roman"/>
                <w:sz w:val="24"/>
                <w:szCs w:val="24"/>
                <w:lang w:val="en-GB" w:eastAsia="pl-PL"/>
              </w:rPr>
              <w:t>c</w:t>
            </w:r>
          </w:p>
          <w:p w14:paraId="7C1D199E" w14:textId="77777777" w:rsidR="00542A2F" w:rsidRPr="00FB76A9" w:rsidRDefault="00542A2F" w:rsidP="00FD5CD5">
            <w:pPr>
              <w:spacing w:after="0" w:line="240" w:lineRule="auto"/>
              <w:rPr>
                <w:rFonts w:ascii="Times New Roman" w:eastAsia="Times New Roman" w:hAnsi="Times New Roman" w:cs="Times New Roman"/>
                <w:sz w:val="24"/>
                <w:szCs w:val="24"/>
                <w:lang w:val="en-GB" w:eastAsia="pl-PL"/>
              </w:rPr>
            </w:pPr>
          </w:p>
          <w:p w14:paraId="036CC30E" w14:textId="77777777" w:rsidR="00542A2F" w:rsidRPr="00FB76A9" w:rsidRDefault="00542A2F" w:rsidP="00FD5CD5">
            <w:pPr>
              <w:spacing w:after="0" w:line="240" w:lineRule="auto"/>
              <w:rPr>
                <w:rFonts w:ascii="Times New Roman" w:eastAsia="Times New Roman" w:hAnsi="Times New Roman" w:cs="Times New Roman"/>
                <w:sz w:val="24"/>
                <w:szCs w:val="24"/>
                <w:lang w:val="en-GB" w:eastAsia="pl-PL"/>
              </w:rPr>
            </w:pPr>
          </w:p>
          <w:p w14:paraId="7E839EEA" w14:textId="77777777" w:rsidR="00542A2F" w:rsidRPr="00FB76A9" w:rsidRDefault="00542A2F" w:rsidP="00FD5CD5">
            <w:pPr>
              <w:spacing w:after="0" w:line="240" w:lineRule="auto"/>
              <w:rPr>
                <w:rFonts w:ascii="Times New Roman" w:eastAsia="Times New Roman" w:hAnsi="Times New Roman" w:cs="Times New Roman"/>
                <w:sz w:val="24"/>
                <w:szCs w:val="24"/>
                <w:lang w:val="en-GB" w:eastAsia="pl-PL"/>
              </w:rPr>
            </w:pPr>
          </w:p>
          <w:p w14:paraId="1A746501" w14:textId="77777777" w:rsidR="00542A2F" w:rsidRPr="00FB76A9" w:rsidRDefault="00542A2F" w:rsidP="00FD5CD5">
            <w:pPr>
              <w:spacing w:after="0" w:line="240" w:lineRule="auto"/>
              <w:rPr>
                <w:rFonts w:ascii="Times New Roman" w:eastAsia="Times New Roman" w:hAnsi="Times New Roman" w:cs="Times New Roman"/>
                <w:sz w:val="24"/>
                <w:szCs w:val="24"/>
                <w:lang w:val="en-GB" w:eastAsia="pl-PL"/>
              </w:rPr>
            </w:pPr>
          </w:p>
          <w:p w14:paraId="7E53A3B6" w14:textId="77777777" w:rsidR="00542A2F" w:rsidRPr="00FB76A9" w:rsidRDefault="00542A2F" w:rsidP="00FD5CD5">
            <w:pPr>
              <w:spacing w:after="0" w:line="240" w:lineRule="auto"/>
              <w:rPr>
                <w:rFonts w:ascii="Times New Roman" w:eastAsia="Times New Roman" w:hAnsi="Times New Roman" w:cs="Times New Roman"/>
                <w:sz w:val="24"/>
                <w:szCs w:val="24"/>
                <w:lang w:val="en-GB" w:eastAsia="pl-PL"/>
              </w:rPr>
            </w:pPr>
          </w:p>
          <w:p w14:paraId="69BC80D7" w14:textId="77777777" w:rsidR="00542A2F" w:rsidRPr="00FB76A9" w:rsidRDefault="00542A2F" w:rsidP="00FD5CD5">
            <w:pPr>
              <w:spacing w:after="0" w:line="240" w:lineRule="auto"/>
              <w:rPr>
                <w:rFonts w:ascii="Times New Roman" w:eastAsia="Times New Roman" w:hAnsi="Times New Roman" w:cs="Times New Roman"/>
                <w:sz w:val="24"/>
                <w:szCs w:val="24"/>
                <w:lang w:val="en-GB" w:eastAsia="pl-PL"/>
              </w:rPr>
            </w:pPr>
          </w:p>
          <w:p w14:paraId="7FA79E87" w14:textId="77777777" w:rsidR="00542A2F" w:rsidRPr="00FB76A9" w:rsidRDefault="00542A2F" w:rsidP="00FD5CD5">
            <w:pPr>
              <w:spacing w:after="0" w:line="240" w:lineRule="auto"/>
              <w:rPr>
                <w:rFonts w:ascii="Times New Roman" w:eastAsia="Times New Roman" w:hAnsi="Times New Roman" w:cs="Times New Roman"/>
                <w:sz w:val="24"/>
                <w:szCs w:val="24"/>
                <w:lang w:val="en-GB" w:eastAsia="pl-PL"/>
              </w:rPr>
            </w:pPr>
          </w:p>
          <w:p w14:paraId="5C79ACDC" w14:textId="77777777" w:rsidR="00542A2F" w:rsidRPr="00FB76A9" w:rsidRDefault="00542A2F" w:rsidP="00FD5CD5">
            <w:pPr>
              <w:spacing w:after="0" w:line="240" w:lineRule="auto"/>
              <w:rPr>
                <w:rFonts w:ascii="Times New Roman" w:eastAsia="Times New Roman" w:hAnsi="Times New Roman" w:cs="Times New Roman"/>
                <w:sz w:val="24"/>
                <w:szCs w:val="24"/>
                <w:lang w:val="en-GB" w:eastAsia="pl-PL"/>
              </w:rPr>
            </w:pPr>
          </w:p>
          <w:p w14:paraId="42E94BAA" w14:textId="77777777" w:rsidR="00542A2F" w:rsidRPr="00FB76A9" w:rsidRDefault="006C2FDC"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 xml:space="preserve">Art. 1 pkt 3 lit. </w:t>
            </w:r>
            <w:r w:rsidR="00145342" w:rsidRPr="00FB76A9">
              <w:rPr>
                <w:rFonts w:ascii="Times New Roman" w:eastAsia="Times New Roman" w:hAnsi="Times New Roman" w:cs="Times New Roman"/>
                <w:sz w:val="24"/>
                <w:szCs w:val="24"/>
                <w:lang w:val="en-GB" w:eastAsia="pl-PL"/>
              </w:rPr>
              <w:t>d</w:t>
            </w:r>
          </w:p>
          <w:p w14:paraId="0B088723" w14:textId="77777777" w:rsidR="006C2FDC" w:rsidRPr="00FB76A9" w:rsidRDefault="006C2FDC" w:rsidP="00FD5CD5">
            <w:pPr>
              <w:spacing w:after="0" w:line="240" w:lineRule="auto"/>
              <w:rPr>
                <w:rFonts w:ascii="Times New Roman" w:eastAsia="Times New Roman" w:hAnsi="Times New Roman" w:cs="Times New Roman"/>
                <w:sz w:val="24"/>
                <w:szCs w:val="24"/>
                <w:lang w:val="en-GB" w:eastAsia="pl-PL"/>
              </w:rPr>
            </w:pPr>
          </w:p>
          <w:p w14:paraId="6134FD0A" w14:textId="77777777" w:rsidR="006C2FDC" w:rsidRPr="00FB76A9" w:rsidRDefault="006C2FDC" w:rsidP="00FD5CD5">
            <w:pPr>
              <w:spacing w:after="0" w:line="240" w:lineRule="auto"/>
              <w:rPr>
                <w:rFonts w:ascii="Times New Roman" w:eastAsia="Times New Roman" w:hAnsi="Times New Roman" w:cs="Times New Roman"/>
                <w:sz w:val="24"/>
                <w:szCs w:val="24"/>
                <w:lang w:val="en-GB" w:eastAsia="pl-PL"/>
              </w:rPr>
            </w:pPr>
          </w:p>
          <w:p w14:paraId="48DC52BB" w14:textId="77777777" w:rsidR="006C2FDC" w:rsidRPr="00FB76A9" w:rsidRDefault="006C2FDC" w:rsidP="00FD5CD5">
            <w:pPr>
              <w:spacing w:after="0" w:line="240" w:lineRule="auto"/>
              <w:rPr>
                <w:rFonts w:ascii="Times New Roman" w:eastAsia="Times New Roman" w:hAnsi="Times New Roman" w:cs="Times New Roman"/>
                <w:sz w:val="24"/>
                <w:szCs w:val="24"/>
                <w:lang w:val="en-GB" w:eastAsia="pl-PL"/>
              </w:rPr>
            </w:pPr>
          </w:p>
          <w:p w14:paraId="475EB191" w14:textId="77777777" w:rsidR="006C2FDC" w:rsidRPr="00FB76A9" w:rsidRDefault="006C2FDC" w:rsidP="00FD5CD5">
            <w:pPr>
              <w:spacing w:after="0" w:line="240" w:lineRule="auto"/>
              <w:rPr>
                <w:rFonts w:ascii="Times New Roman" w:eastAsia="Times New Roman" w:hAnsi="Times New Roman" w:cs="Times New Roman"/>
                <w:sz w:val="24"/>
                <w:szCs w:val="24"/>
                <w:lang w:val="en-GB" w:eastAsia="pl-PL"/>
              </w:rPr>
            </w:pPr>
          </w:p>
          <w:p w14:paraId="16CED528"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w:t>
            </w:r>
            <w:r w:rsidR="00145342" w:rsidRPr="00FB76A9">
              <w:rPr>
                <w:rFonts w:ascii="Times New Roman" w:eastAsia="Times New Roman" w:hAnsi="Times New Roman" w:cs="Times New Roman"/>
                <w:sz w:val="24"/>
                <w:szCs w:val="24"/>
                <w:lang w:eastAsia="pl-PL"/>
              </w:rPr>
              <w:t>6</w:t>
            </w:r>
          </w:p>
          <w:p w14:paraId="17D40BF7"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3CDBD18E"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580311B8"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08CBB795"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0A4E8CA6"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027674A8"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1565F4ED"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0371DBCE"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420A1EB0"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19483043"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01704A84"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4BE76B11"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08033F1A"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7F9871CD"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1652CFDE"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01FD3E03"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6B409BB4"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w:t>
            </w:r>
            <w:r w:rsidR="00145342" w:rsidRPr="00FB76A9">
              <w:rPr>
                <w:rFonts w:ascii="Times New Roman" w:eastAsia="Times New Roman" w:hAnsi="Times New Roman" w:cs="Times New Roman"/>
                <w:sz w:val="24"/>
                <w:szCs w:val="24"/>
                <w:lang w:eastAsia="pl-PL"/>
              </w:rPr>
              <w:t>21</w:t>
            </w:r>
          </w:p>
        </w:tc>
        <w:tc>
          <w:tcPr>
            <w:tcW w:w="5475" w:type="dxa"/>
            <w:gridSpan w:val="2"/>
            <w:tcBorders>
              <w:top w:val="single" w:sz="4" w:space="0" w:color="auto"/>
              <w:left w:val="single" w:sz="4" w:space="0" w:color="auto"/>
              <w:bottom w:val="single" w:sz="4" w:space="0" w:color="auto"/>
              <w:right w:val="single" w:sz="4" w:space="0" w:color="auto"/>
            </w:tcBorders>
          </w:tcPr>
          <w:p w14:paraId="28A24573" w14:textId="77777777" w:rsidR="00145342" w:rsidRPr="00FB76A9" w:rsidRDefault="00542A2F" w:rsidP="00FD5CD5">
            <w:pPr>
              <w:pStyle w:val="ZLITPKTzmpktliter"/>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lastRenderedPageBreak/>
              <w:t xml:space="preserve">„pkt </w:t>
            </w:r>
            <w:r w:rsidR="00145342" w:rsidRPr="00FB76A9">
              <w:rPr>
                <w:rFonts w:ascii="Times New Roman" w:hAnsi="Times New Roman" w:cs="Times New Roman"/>
                <w:szCs w:val="24"/>
              </w:rPr>
              <w:t>23 otrzymuje brzmienie:</w:t>
            </w:r>
          </w:p>
          <w:p w14:paraId="744F1D53" w14:textId="77777777" w:rsidR="00542A2F" w:rsidRPr="00FB76A9" w:rsidRDefault="00145342" w:rsidP="00FD5CD5">
            <w:pPr>
              <w:pStyle w:val="ZLITPKTzmpktliter"/>
              <w:spacing w:line="240" w:lineRule="auto"/>
              <w:ind w:left="208" w:firstLine="0"/>
              <w:jc w:val="left"/>
              <w:rPr>
                <w:rFonts w:ascii="Times New Roman" w:hAnsi="Times New Roman" w:cs="Times New Roman"/>
                <w:szCs w:val="24"/>
              </w:rPr>
            </w:pPr>
            <w:r w:rsidRPr="00FB76A9">
              <w:rPr>
                <w:rFonts w:ascii="Times New Roman" w:hAnsi="Times New Roman" w:cs="Times New Roman"/>
                <w:szCs w:val="24"/>
              </w:rPr>
              <w:t>23) procedurze krajowego indywidualnego dopuszczenia pojazdu – rozumie się przez to procedurę potwierdzenia spełnienia przez dany pojazd odpowiednich warunków lub wymagań technicznych, o których mowa odpowiednio w art. 1 ust. 1 rozporządzenia 167/2013, art. 1 ust. 1 rozporządzenia 168/2013, art. 45 ust. 1 rozporządzenia 2018/858 oraz przepisach wydanych na podstawie art. 68r ust. 1</w:t>
            </w:r>
            <w:r w:rsidR="00542A2F" w:rsidRPr="00FB76A9">
              <w:rPr>
                <w:rFonts w:ascii="Times New Roman" w:hAnsi="Times New Roman" w:cs="Times New Roman"/>
                <w:szCs w:val="24"/>
              </w:rPr>
              <w:t>,”</w:t>
            </w:r>
          </w:p>
          <w:p w14:paraId="1A24DD1C" w14:textId="77777777" w:rsidR="006C2FDC" w:rsidRPr="00FB76A9" w:rsidRDefault="006C2FDC" w:rsidP="00FD5CD5">
            <w:pPr>
              <w:pStyle w:val="ZLITPKTzmpktliter"/>
              <w:spacing w:line="240" w:lineRule="auto"/>
              <w:ind w:left="208" w:firstLine="0"/>
              <w:jc w:val="left"/>
              <w:rPr>
                <w:rFonts w:ascii="Times New Roman" w:hAnsi="Times New Roman" w:cs="Times New Roman"/>
                <w:szCs w:val="24"/>
              </w:rPr>
            </w:pPr>
          </w:p>
          <w:p w14:paraId="13433AA4" w14:textId="77777777" w:rsidR="006C2FDC" w:rsidRPr="00FB76A9" w:rsidRDefault="006C2FDC" w:rsidP="00FD5CD5">
            <w:pPr>
              <w:pStyle w:val="LITlitera"/>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„pkt 33 otrzymuje brzmienie: </w:t>
            </w:r>
          </w:p>
          <w:p w14:paraId="152D534A" w14:textId="77777777" w:rsidR="006C2FDC" w:rsidRPr="00FB76A9" w:rsidRDefault="006C2FDC" w:rsidP="00FD5CD5">
            <w:pPr>
              <w:pStyle w:val="ZLITPKTzmpktliter"/>
              <w:spacing w:line="240" w:lineRule="auto"/>
              <w:ind w:left="208" w:firstLine="0"/>
              <w:jc w:val="left"/>
              <w:rPr>
                <w:rFonts w:ascii="Times New Roman" w:hAnsi="Times New Roman" w:cs="Times New Roman"/>
                <w:szCs w:val="24"/>
              </w:rPr>
            </w:pPr>
            <w:r w:rsidRPr="00FB76A9">
              <w:rPr>
                <w:rFonts w:ascii="Times New Roman" w:hAnsi="Times New Roman" w:cs="Times New Roman"/>
                <w:szCs w:val="24"/>
              </w:rPr>
              <w:t>„</w:t>
            </w:r>
            <w:r w:rsidR="00145342" w:rsidRPr="00FB76A9">
              <w:rPr>
                <w:rFonts w:ascii="Times New Roman" w:hAnsi="Times New Roman" w:cs="Times New Roman"/>
                <w:szCs w:val="24"/>
              </w:rPr>
              <w:t>świadectwie krajowego indywidualnego dopuszczenia nowego pojazdu – rozumie się przez to dokument stwierdzający spełnienie wymagań procedury określonej w przepisach wydanych na podstawie art. 68r ust. 1;”</w:t>
            </w:r>
          </w:p>
          <w:p w14:paraId="06E0E9B8" w14:textId="77777777" w:rsidR="00145342" w:rsidRPr="00FB76A9" w:rsidRDefault="00145342" w:rsidP="00FD5CD5">
            <w:pPr>
              <w:pStyle w:val="ZLITPKTzmpktliter"/>
              <w:spacing w:line="240" w:lineRule="auto"/>
              <w:ind w:left="208" w:firstLine="0"/>
              <w:jc w:val="left"/>
              <w:rPr>
                <w:rFonts w:ascii="Times New Roman" w:hAnsi="Times New Roman" w:cs="Times New Roman"/>
                <w:szCs w:val="24"/>
              </w:rPr>
            </w:pPr>
          </w:p>
          <w:p w14:paraId="7D72F548" w14:textId="77777777" w:rsidR="00145342" w:rsidRPr="00FB76A9" w:rsidRDefault="00145342" w:rsidP="00FD5CD5">
            <w:pPr>
              <w:pStyle w:val="PKTpunkt"/>
              <w:keepNext/>
              <w:spacing w:line="240" w:lineRule="auto"/>
              <w:jc w:val="left"/>
              <w:rPr>
                <w:rFonts w:ascii="Times New Roman" w:hAnsi="Times New Roman" w:cs="Times New Roman"/>
                <w:szCs w:val="24"/>
              </w:rPr>
            </w:pPr>
            <w:r w:rsidRPr="00FB76A9">
              <w:rPr>
                <w:rFonts w:ascii="Times New Roman" w:hAnsi="Times New Roman" w:cs="Times New Roman"/>
                <w:szCs w:val="24"/>
              </w:rPr>
              <w:t>6</w:t>
            </w:r>
            <w:r w:rsidR="00344C09" w:rsidRPr="00FB76A9">
              <w:rPr>
                <w:rFonts w:ascii="Times New Roman" w:hAnsi="Times New Roman" w:cs="Times New Roman"/>
                <w:szCs w:val="24"/>
              </w:rPr>
              <w:t xml:space="preserve">) </w:t>
            </w:r>
            <w:r w:rsidRPr="00FB76A9">
              <w:rPr>
                <w:rFonts w:ascii="Times New Roman" w:hAnsi="Times New Roman" w:cs="Times New Roman"/>
                <w:szCs w:val="24"/>
              </w:rPr>
              <w:t>) w art. 13 ust. 3 otrzymuje brzmienie:</w:t>
            </w:r>
          </w:p>
          <w:p w14:paraId="3E38C943" w14:textId="77777777" w:rsidR="00145342" w:rsidRPr="00FB76A9" w:rsidRDefault="00CF37BF" w:rsidP="00FD5CD5">
            <w:pPr>
              <w:pStyle w:val="PKTpunkt"/>
              <w:keepNext/>
              <w:spacing w:line="240" w:lineRule="auto"/>
              <w:jc w:val="left"/>
              <w:rPr>
                <w:rFonts w:ascii="Times New Roman" w:hAnsi="Times New Roman" w:cs="Times New Roman"/>
                <w:szCs w:val="24"/>
              </w:rPr>
            </w:pPr>
            <w:r w:rsidRPr="001F1A7B">
              <w:t>„3. Producent, przedstawiciel producenta, importer</w:t>
            </w:r>
            <w:r>
              <w:t xml:space="preserve"> </w:t>
            </w:r>
            <w:r w:rsidRPr="008518E2">
              <w:t>albo właściciel pojazdu, z wyjątkiem tramwaju i trolejbusu, na którego typ producent</w:t>
            </w:r>
            <w:r w:rsidRPr="001F1A7B">
              <w:t xml:space="preserve"> nie uzyskał dokumentu, o którym mowa w ust. 1 pkt 1, jest obowiązany uzyskać, zgodnie z odpowiednio rozporządzeniem 167/2013, rozporządzeniem 168/2013, rozporządzeniem 2018/858 albo przepisami ustawy:</w:t>
            </w:r>
          </w:p>
          <w:p w14:paraId="238DDDCB" w14:textId="77777777" w:rsidR="00145342" w:rsidRPr="00FB76A9" w:rsidRDefault="00145342" w:rsidP="00FD5CD5">
            <w:pPr>
              <w:pStyle w:val="PKTpunkt"/>
              <w:keepNext/>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świadectwo krajowego indywidualnego dopuszczenia nowego pojazdu;</w:t>
            </w:r>
          </w:p>
          <w:p w14:paraId="14826F0B" w14:textId="77777777" w:rsidR="00145342" w:rsidRPr="00FB76A9" w:rsidRDefault="00145342" w:rsidP="00FD5CD5">
            <w:pPr>
              <w:pStyle w:val="PKTpunkt"/>
              <w:keepNext/>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świadectwo krajowego indywidualnego dopuszczenia pojazdu niebędącego nowym pojazdem;</w:t>
            </w:r>
          </w:p>
          <w:p w14:paraId="6AEAB89C" w14:textId="77777777" w:rsidR="00145342" w:rsidRPr="00FB76A9" w:rsidRDefault="00145342" w:rsidP="00FD5CD5">
            <w:pPr>
              <w:pStyle w:val="PKTpunkt"/>
              <w:keepNext/>
              <w:spacing w:line="240" w:lineRule="auto"/>
              <w:jc w:val="left"/>
              <w:rPr>
                <w:rFonts w:ascii="Times New Roman" w:hAnsi="Times New Roman" w:cs="Times New Roman"/>
                <w:szCs w:val="24"/>
              </w:rPr>
            </w:pPr>
            <w:r w:rsidRPr="00FB76A9">
              <w:rPr>
                <w:rFonts w:ascii="Times New Roman" w:hAnsi="Times New Roman" w:cs="Times New Roman"/>
                <w:szCs w:val="24"/>
              </w:rPr>
              <w:t>(…)</w:t>
            </w:r>
          </w:p>
          <w:p w14:paraId="49B91AAE" w14:textId="77777777" w:rsidR="00145342" w:rsidRPr="00FB76A9" w:rsidRDefault="00145342"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 xml:space="preserve">– które potwierdza spełnienie odpowiednich warunków lub wymagań technicznych określonych dla tego pojazdu.”, </w:t>
            </w:r>
          </w:p>
          <w:p w14:paraId="5D414F2A"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„Rozdział 4a</w:t>
            </w:r>
          </w:p>
          <w:p w14:paraId="2D86E2D0"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Indywidualne dopuszczenie pojazdu</w:t>
            </w:r>
          </w:p>
          <w:p w14:paraId="2AB81643"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Art. 68a. 1. Spełnienie odpowiednich warunków lub wymagań technicznych przez dany pojazd </w:t>
            </w:r>
            <w:r w:rsidRPr="00FB76A9">
              <w:rPr>
                <w:rFonts w:ascii="Times New Roman" w:hAnsi="Times New Roman" w:cs="Times New Roman"/>
              </w:rPr>
              <w:lastRenderedPageBreak/>
              <w:t xml:space="preserve">potwierdza się w procedurze indywidualnego dopuszczenia pojazdu. </w:t>
            </w:r>
          </w:p>
          <w:p w14:paraId="733AD3DD"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2. Indywidualne dopuszczenie pojazdu może nastąpić w formie:         </w:t>
            </w:r>
          </w:p>
          <w:p w14:paraId="32DEC916"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w:t>
            </w:r>
          </w:p>
          <w:p w14:paraId="27D517F3"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2) krajowego indywidualnego dopuszczenia:</w:t>
            </w:r>
          </w:p>
          <w:p w14:paraId="35049FA4"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a) nowego pojazdu,</w:t>
            </w:r>
          </w:p>
          <w:p w14:paraId="0D6D32AB"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 (…)</w:t>
            </w:r>
          </w:p>
          <w:p w14:paraId="313D86AA"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4. Krajowemu indywidualnemu dopuszczeniu nowego pojazdu podlega nowy pojazd, o którym mowa w art. 4 rozporządzenia 167/2013, art. 4 rozporządzenia 168/2013 oraz art. 4 ust. 1 rozporządzenia 2018/858, z wyjątkiem pojazdu, o którym mowa w art. 2 ust. 3 i 4 tego rozporządzenia:</w:t>
            </w:r>
          </w:p>
          <w:p w14:paraId="2063F89C"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1) </w:t>
            </w:r>
            <w:r w:rsidRPr="00FB76A9">
              <w:rPr>
                <w:rFonts w:ascii="Times New Roman" w:hAnsi="Times New Roman" w:cs="Times New Roman"/>
              </w:rPr>
              <w:tab/>
              <w:t>przed wprowadzeniem do obrotu na terytorium Rzeczypospolitej Polskiej, na którego typ producent nie uzyskał świadectwa homologacji typu UE pojazdu, świadectwa homologacji typu ONZ, świadectwa krajowej homologacji typu pojazdu albo świadectwa krajowej homologacji typu pojazdów produkowanych w małych seriach;</w:t>
            </w:r>
          </w:p>
          <w:p w14:paraId="36452BC6"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2) </w:t>
            </w:r>
            <w:r w:rsidRPr="00FB76A9">
              <w:rPr>
                <w:rFonts w:ascii="Times New Roman" w:hAnsi="Times New Roman" w:cs="Times New Roman"/>
              </w:rPr>
              <w:tab/>
              <w:t xml:space="preserve">na którego typ zostało wydane świadectwo homologacji typu UE pojazdu, świadectwo homologacji typu ONZ, świadectwo krajowej homologacji typu pojazdu albo świadectwo krajowej homologacji typu pojazdów produkowanych w małych seriach i w którym to pojeździe, w jego przedmiocie wyposażenia lub części przed rejestracją zostały wprowadzone zmiany wpływające na zmianę warunków </w:t>
            </w:r>
            <w:r w:rsidRPr="00FB76A9">
              <w:rPr>
                <w:rFonts w:ascii="Times New Roman" w:hAnsi="Times New Roman" w:cs="Times New Roman"/>
              </w:rPr>
              <w:lastRenderedPageBreak/>
              <w:t>stanowiących podstawę do wydania świadectwa homologacji typu tego pojazdu.</w:t>
            </w:r>
          </w:p>
          <w:p w14:paraId="16AD2020"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5. Krajowemu indywidualnemu dopuszczeniu nowego pojazdu podlega także:</w:t>
            </w:r>
          </w:p>
          <w:p w14:paraId="0AB63343"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1) pojazd, w odniesieniu do którego od chwili jego pierwszej rejestracji w państwie pochodzenia niebędącym państwem członkowskim Unii Europejskiej do chwili złożenia wniosku o uzyskanie krajowego indywidualnego dopuszczenia nowego pojazdu nie upłynęło więcej niż 12 miesięcy albo pojazd, który posiada przebieg nie większy niż 10 000 km, jeśli istnieje możliwość odczytania przebiegu w pojeździe, nawet w przypadku upływu tych 12 miesięcy;</w:t>
            </w:r>
          </w:p>
          <w:p w14:paraId="0AD93755"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w:t>
            </w:r>
          </w:p>
          <w:p w14:paraId="4A2C6EE0"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Art. 68c. 1. Dyrektor TDT, w drodze decyzji administracyjnej, za opłatą, na wniosek producenta, przedstawiciela producenta, importera albo właściciela pojazdu, złożony w formie pisemnej, w postaci papierowej lub elektronicznej, wydaje: </w:t>
            </w:r>
          </w:p>
          <w:p w14:paraId="25A66DA7"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 </w:t>
            </w:r>
          </w:p>
          <w:p w14:paraId="7CC9772E"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2) </w:t>
            </w:r>
            <w:r w:rsidRPr="00FB76A9">
              <w:rPr>
                <w:rFonts w:ascii="Times New Roman" w:hAnsi="Times New Roman" w:cs="Times New Roman"/>
              </w:rPr>
              <w:tab/>
              <w:t xml:space="preserve">świadectwo krajowego indywidualnego dopuszczenia nowego pojazdu </w:t>
            </w:r>
          </w:p>
          <w:p w14:paraId="57EE25E8"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albo odmawia jego wydania</w:t>
            </w:r>
          </w:p>
          <w:p w14:paraId="66311B68"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2. Do wniosku, o którym mowa w ust. 1, dołącza się: </w:t>
            </w:r>
          </w:p>
          <w:p w14:paraId="04F554BA"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1) sprawozdanie z badań potwierdzające spełnienie odpowiednich warunków lub wymagań technicznych w procedurze indywidualnego dopuszczenia pojazdu; </w:t>
            </w:r>
          </w:p>
          <w:p w14:paraId="52C02548"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lastRenderedPageBreak/>
              <w:t xml:space="preserve">2) świadectwo zgodności wydane na każdym etapie kompletacji pojazdu – o ile było wydane; </w:t>
            </w:r>
          </w:p>
          <w:p w14:paraId="30632076"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3) oświadczenie następującej treści: </w:t>
            </w:r>
          </w:p>
          <w:p w14:paraId="65E11885"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„Oświadczam, że złożyłem/złożyłam* tylko jeden wniosek i tylko w jednym państwie członkowskim Unii Europejskiej. </w:t>
            </w:r>
          </w:p>
          <w:p w14:paraId="0776955D"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Niepotrzebne skreślić.”.;</w:t>
            </w:r>
          </w:p>
          <w:p w14:paraId="6B4CCB9A"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4)kopię dowodu uiszczenia opłaty, o której mowa w ust. 1. </w:t>
            </w:r>
          </w:p>
          <w:p w14:paraId="7C2BC356"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3. Oświadczenie, o którym mowa w ust. 2 pkt 3, składa się pod rygorem odpowiedzialności karnej za składanie fałszywych oświadczeń. Składający oświadczenie jest obowiązany do zawarcia w nim klauzuli następującej treści: </w:t>
            </w:r>
          </w:p>
          <w:p w14:paraId="35F1A5C4"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„Jestem świadomy/świadoma* odpowiedzialności karnej za złożenie fałszywego oświadczenia wynikającej z art. 233 § 6 ustawy z dnia 6 czerwca 1997 r. – Kodeks karny. </w:t>
            </w:r>
          </w:p>
          <w:p w14:paraId="12711CDC"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 Niepotrzebne skreślić.”. </w:t>
            </w:r>
          </w:p>
          <w:p w14:paraId="186CD06F"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Klauzula ta zastępuje pouczenie organu o odpowiedzialności karnej za składanie fałszywych oświadczeń. </w:t>
            </w:r>
          </w:p>
          <w:p w14:paraId="2184E1C2"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Art. 68d. 1. Badanie potwierdzające spełnienie odpowiednich warunków lub wymagań technicznych lub zastosowanych wymogów alternatywnych dla danego pojazdu w celu wydania świadectwa unijnego indywidualnego dopuszczenia pojazdu albo świadectwa krajowego indywidualnego dopuszczenia nowego pojazdu przeprowadza służba techniczna, na wniosek producenta, przedstawiciela producenta, importera lub właściciela pojazdu. </w:t>
            </w:r>
          </w:p>
          <w:p w14:paraId="01D58222"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lastRenderedPageBreak/>
              <w:t xml:space="preserve">2. Do wniosku, o którym mowa w ust. 1, dołącza się: </w:t>
            </w:r>
          </w:p>
          <w:p w14:paraId="76EDFDBB"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1) dokument informacyjny; </w:t>
            </w:r>
          </w:p>
          <w:p w14:paraId="232BF5A9"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2) świadectwo zgodności wydane na każdym etapie kompletacji pojazdu – o ile było wydane; </w:t>
            </w:r>
          </w:p>
          <w:p w14:paraId="687C0F36"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3) oświadczenie zawierające dane i informacje o pojeździe niezbędne do rejestracji i ewidencji pojazdu, zgodnie ze wzorem określonym w przepisach wydanych na podstawie art. 68r ust. 1 – o ile było wydane. </w:t>
            </w:r>
          </w:p>
          <w:p w14:paraId="7A607B02"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3. Oświadczenie, o którym mowa w ust. 2 pkt 3, może być podpisane podpisem odbitym sposobem mechanicznym. </w:t>
            </w:r>
          </w:p>
          <w:p w14:paraId="625BE73F"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4. Z przeprowadzonego badania służba techniczna sporządza sprawozdanie z badań potwierdzające spełnienie odpowiednich warunków lub wymagań technicznych. </w:t>
            </w:r>
          </w:p>
          <w:p w14:paraId="7AC34EE6"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5. Koszty badań potwierdzających spełnienie odpowiednich warunków lub wymagań technicznych w celu wydania świadectwa unijnego indywidualnego dopuszczenia pojazdu albo krajowego indywidualnego dopuszczenia nowego pojazdu pokrywa wnioskodawca.  </w:t>
            </w:r>
          </w:p>
          <w:p w14:paraId="31B6C6CA"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p>
          <w:p w14:paraId="4BF50953"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Art. 68f. 1. Dyrektor TDT wydaje świadectwo krajowego indywidualnego dopuszczenia nowego pojazdu, w przypadku gdy pojazd spełnia warunki lub wymagania techniczne określone w przepisach wydanych na podstawie art. 68r ust. 1. </w:t>
            </w:r>
          </w:p>
          <w:p w14:paraId="12739C1B"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2. Dyrektor TDT odmawia wydania świadectwa krajowego indywidualnego dopuszczenia nowego pojazdu, w przypadku gdy nie zostały spełnione </w:t>
            </w:r>
            <w:r w:rsidRPr="00FB76A9">
              <w:rPr>
                <w:rFonts w:ascii="Times New Roman" w:hAnsi="Times New Roman" w:cs="Times New Roman"/>
              </w:rPr>
              <w:lastRenderedPageBreak/>
              <w:t>warunki lub wymagania techniczne, o których mowa w ust. 1.</w:t>
            </w:r>
          </w:p>
          <w:p w14:paraId="7838814F"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3. Dyrektor TDT, w drodze decyzji administracyjnej, cofa świadectwo krajowego indywidualnego dopuszczenia nowego pojazdu, jeżeli: </w:t>
            </w:r>
          </w:p>
          <w:p w14:paraId="2AC5BB2C"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1) pojazd przestał spełniać warunki lub wymagania techniczne, o których mowa w ust. 1, albo </w:t>
            </w:r>
          </w:p>
          <w:p w14:paraId="7EAA4A0B"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2) został złożony wniosek o cofnięcie świadectwa. </w:t>
            </w:r>
          </w:p>
          <w:p w14:paraId="65E777A3"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 </w:t>
            </w:r>
          </w:p>
          <w:p w14:paraId="7BE59AED"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p>
          <w:p w14:paraId="327579D3"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Art. 68o. 1. Świadectwo krajowego indywidualnego dopuszczenia pojazdu wydane dla nowego pojazdu zgodnie z art. 1 ust. 1 rozporządzenia 167/2013, art. 1 ust. 1 rozporządzenia 168/2013 albo art. 45 ust. 1 rozporządzenia 2018/858 przez właściwy organ innego niż Rzeczpospolita Polska państwa członkowskiego Unii Europejskiej uznaje Dyrektor TDT, w drodze decyzji administracyjnej, za opłatą, jeżeli pojazd ten spełnia odpowiednie warunki lub wymagania techniczne, które są równoważne warunkom lub wymaganiom obowiązującym na terytorium Rzeczypospolitej Polskiej, o których mowa w art. 68f ust. 1. </w:t>
            </w:r>
          </w:p>
          <w:p w14:paraId="5FCF53B7"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2. Wydanie decyzji, o której mowa w ust. 1, następuje na wniosek producenta, importera, przedstawiciela producenta lub właściciela pojazdu. </w:t>
            </w:r>
          </w:p>
          <w:p w14:paraId="2FCB78EF"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lastRenderedPageBreak/>
              <w:t xml:space="preserve">3. Do wniosku, o którym mowa w ust. 2, dołącza się: </w:t>
            </w:r>
          </w:p>
          <w:p w14:paraId="2BEB406B"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1) świadectwo krajowego indywidualnego dopuszczenia pojazdu wydane dla nowego pojazdu zgodnie z art. 1 ust. 1 rozporządzenia 167/2013, art. 1 ust. 1 rozporządzenia 168/2013 albo art. 45 ust. 1 rozporządzenia 2018/858 przez właściwy organ innego niż Rzeczpospolita Polska państwa członkowskiego Unii Europejskiej; </w:t>
            </w:r>
          </w:p>
          <w:p w14:paraId="7B13094E"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2) dokument wydany przez właściwy organ innego niż Rzeczpospolita Polska państwa członkowskiego Unii Europejskiej wskazujący przepisy techniczne, na podstawie których wydano świadectwo, o którym mowa w pkt 1;</w:t>
            </w:r>
          </w:p>
          <w:p w14:paraId="2458FDA2"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3) kopię dowodu uiszczenia opłaty, o której mowa w ust. 1. </w:t>
            </w:r>
          </w:p>
          <w:p w14:paraId="0506F2EB"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4. Dyrektor TDT może zwrócić się do właściwego organu innego niż Rzeczpospolita Polska państwa członkowskiego Unii Europejskiej o udostępnienie dodatkowych informacji o wydanym zgodnie z art. 1 ust. 1 rozporządzenia 167/2013, art. 1 ust. 1 rozporządzenia 168/2013 albo art. 45 ust. 1 rozporządzenia 2018/858 świadectwie krajowego indywidualnego dopuszczenia pojazdu. </w:t>
            </w:r>
          </w:p>
          <w:p w14:paraId="76A1C449"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5. Dyrektor TDT, na wniosek właściwego organu innego niż Rzeczpospolita Polska państwa członkowskiego Unii Europejskiej, udostępnia temu organowi informacje o wydanym przez siebie świadectwie krajowego indywidualnego dopuszczenia nowego pojazdu. </w:t>
            </w:r>
          </w:p>
          <w:p w14:paraId="36F41716"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lastRenderedPageBreak/>
              <w:t xml:space="preserve">6. W przypadku gdy wydano świadectwo krajowego indywidualnego dopuszczenia nowego pojazdu, który ma być sprzedany, zarejestrowany lub dopuszczony do ruchu na terytorium innego niż Rzeczpospolita Polska państwa członkowskiego Unii Europejskiej, Dyrektor TDT, na wniosek producenta, przedstawiciela producenta, importera lub właściciela pojazdu, wydaje dokument wskazujący przepisy techniczne, na podstawie których wydał świadectwo krajowego indywidualnego dopuszczenia nowego pojazdu. </w:t>
            </w:r>
          </w:p>
          <w:p w14:paraId="4D26767E"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7. W przypadku zarejestrowanego na terytorium państwa członkowskiego Unii Europejskiej pojazdu objętego świadectwem krajowego indywidualnego dopuszczenia pojazdu wydanym na ten pojazd przez właściwy organ innego niż Rzeczpospolita Polska państwa członkowskiego Unii Europejskiej, który ma zostać zarejestrowany na terytorium Rzeczypospolitej Polskiej, świadectwo to uznaje Dyrektor TDT, w drodze decyzji administracyjnej, za opłatą, jeżeli pojazd ten:</w:t>
            </w:r>
          </w:p>
          <w:p w14:paraId="579C8EE6"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1) spełnia odpowiednie warunki lub wymagania techniczne, które są równoważne warunkom lub wymaganiom obowiązującym na terytorium Rzeczypospolitej Polskiej, o których mowa w art. 68f ust. 1;</w:t>
            </w:r>
          </w:p>
          <w:p w14:paraId="2C22E034"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2) był zarejestrowany nie dłużej niż 2 lata przed złożeniem wniosku o jego pierwszą rejestrację na terenie Rzeczypospolitej Polskiej, oraz</w:t>
            </w:r>
          </w:p>
          <w:p w14:paraId="50FFEBC7"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lastRenderedPageBreak/>
              <w:t>3) jest objęty świadectwem krajowego indywidualnego dopuszczenia pojazdu wydanym zgodnie z art. 1 ust. 1 rozporządzenia 167/2013, art. 1 ust. 1 rozporządzenia 168/2013 albo art. 45 ust. 1 rozporządzenia 2018/858.</w:t>
            </w:r>
          </w:p>
          <w:p w14:paraId="050516AD"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8. Wydanie decyzji, o której mowa w ust. 7, następuje na wniosek producenta, przedstawiciela producenta, importera, właściciela pojazdu. </w:t>
            </w:r>
          </w:p>
          <w:p w14:paraId="2F43951C"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9. Do wniosku, o którym mowa w ust. 8, dołącza się: </w:t>
            </w:r>
          </w:p>
          <w:p w14:paraId="4EBC17BB" w14:textId="77777777" w:rsidR="00145342" w:rsidRPr="00FB76A9" w:rsidRDefault="00145342" w:rsidP="00FD5CD5">
            <w:pPr>
              <w:pStyle w:val="ZROZDZODDZOZNzmoznrozdzoddzartykuempunktem"/>
              <w:spacing w:line="240" w:lineRule="auto"/>
              <w:ind w:left="275"/>
              <w:jc w:val="left"/>
              <w:rPr>
                <w:rFonts w:ascii="Times New Roman" w:hAnsi="Times New Roman" w:cs="Times New Roman"/>
              </w:rPr>
            </w:pPr>
            <w:r w:rsidRPr="00FB76A9">
              <w:rPr>
                <w:rFonts w:ascii="Times New Roman" w:hAnsi="Times New Roman" w:cs="Times New Roman"/>
              </w:rPr>
              <w:t xml:space="preserve">1) </w:t>
            </w:r>
            <w:r w:rsidRPr="00FB76A9">
              <w:rPr>
                <w:rFonts w:ascii="Times New Roman" w:hAnsi="Times New Roman" w:cs="Times New Roman"/>
              </w:rPr>
              <w:tab/>
              <w:t xml:space="preserve">świadectwo krajowego indywidualnego dopuszczenia pojazdu wydane przez właściwy organ innego niż Rzeczpospolita Polska państwa członkowskiego Unii Europejskiej zgodnie z art. 1 ust. 1 rozporządzenia 167/2013, art. 1 ust. 1 rozporządzenia 168/2013 albo art. 45 ust. 1 rozporządzenia 2018/858; </w:t>
            </w:r>
          </w:p>
          <w:p w14:paraId="20E7427E" w14:textId="77777777" w:rsidR="00145342" w:rsidRPr="00FB76A9" w:rsidRDefault="00145342" w:rsidP="00FD5CD5">
            <w:pPr>
              <w:pStyle w:val="ZROZDZODDZOZNzmoznrozdzoddzartykuempunktem"/>
              <w:spacing w:line="240" w:lineRule="auto"/>
              <w:ind w:left="275"/>
              <w:jc w:val="left"/>
              <w:rPr>
                <w:rFonts w:ascii="Times New Roman" w:hAnsi="Times New Roman" w:cs="Times New Roman"/>
              </w:rPr>
            </w:pPr>
            <w:r w:rsidRPr="00FB76A9">
              <w:rPr>
                <w:rFonts w:ascii="Times New Roman" w:hAnsi="Times New Roman" w:cs="Times New Roman"/>
              </w:rPr>
              <w:t xml:space="preserve">2) </w:t>
            </w:r>
            <w:r w:rsidRPr="00FB76A9">
              <w:rPr>
                <w:rFonts w:ascii="Times New Roman" w:hAnsi="Times New Roman" w:cs="Times New Roman"/>
              </w:rPr>
              <w:tab/>
              <w:t>dokument wydany przez właściwy organ innego niż Rzeczpospolita Polska państwa członkowskiego Unii Europejskiej wskazujący przepisy techniczne, na podstawie których wydano świadectwo, o którym mowa w pkt 1;</w:t>
            </w:r>
          </w:p>
          <w:p w14:paraId="62EEA247" w14:textId="77777777" w:rsidR="00145342" w:rsidRPr="00FB76A9" w:rsidRDefault="00145342" w:rsidP="00FD5CD5">
            <w:pPr>
              <w:pStyle w:val="ZROZDZODDZOZNzmoznrozdzoddzartykuempunktem"/>
              <w:spacing w:line="240" w:lineRule="auto"/>
              <w:ind w:left="275"/>
              <w:jc w:val="left"/>
              <w:rPr>
                <w:rFonts w:ascii="Times New Roman" w:hAnsi="Times New Roman" w:cs="Times New Roman"/>
              </w:rPr>
            </w:pPr>
            <w:r w:rsidRPr="00FB76A9">
              <w:rPr>
                <w:rFonts w:ascii="Times New Roman" w:hAnsi="Times New Roman" w:cs="Times New Roman"/>
              </w:rPr>
              <w:t xml:space="preserve">3) </w:t>
            </w:r>
            <w:r w:rsidRPr="00FB76A9">
              <w:rPr>
                <w:rFonts w:ascii="Times New Roman" w:hAnsi="Times New Roman" w:cs="Times New Roman"/>
              </w:rPr>
              <w:tab/>
              <w:t>dowód rejestracyjny albo dopuszczenie pojazdu do ruchu drogowego w państwie pochodzenia wydany przez właściwy organ;</w:t>
            </w:r>
          </w:p>
          <w:p w14:paraId="77D47B12" w14:textId="77777777" w:rsidR="00145342" w:rsidRPr="00FB76A9" w:rsidRDefault="00145342" w:rsidP="00FD5CD5">
            <w:pPr>
              <w:pStyle w:val="ZROZDZODDZOZNzmoznrozdzoddzartykuempunktem"/>
              <w:spacing w:line="240" w:lineRule="auto"/>
              <w:ind w:left="275"/>
              <w:jc w:val="left"/>
              <w:rPr>
                <w:rFonts w:ascii="Times New Roman" w:hAnsi="Times New Roman" w:cs="Times New Roman"/>
              </w:rPr>
            </w:pPr>
            <w:r w:rsidRPr="00FB76A9">
              <w:rPr>
                <w:rFonts w:ascii="Times New Roman" w:hAnsi="Times New Roman" w:cs="Times New Roman"/>
              </w:rPr>
              <w:t>4)</w:t>
            </w:r>
            <w:r w:rsidRPr="00FB76A9">
              <w:rPr>
                <w:rFonts w:ascii="Times New Roman" w:hAnsi="Times New Roman" w:cs="Times New Roman"/>
              </w:rPr>
              <w:tab/>
              <w:t xml:space="preserve">kopię dowodu uiszczenia opłaty, o której mowa w ust. 7. </w:t>
            </w:r>
          </w:p>
          <w:p w14:paraId="2D82565B"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10. Dyrektor TDT, w drodze decyzji administracyjnej, za opłatą, odmawia uznania świadectwa, o którym mowa w ust. 1 albo ust. 7, wydanego na dany pojazd przez właściwy organ innego niż Rzeczpospolita Polska państwa </w:t>
            </w:r>
            <w:r w:rsidRPr="00FB76A9">
              <w:rPr>
                <w:rFonts w:ascii="Times New Roman" w:hAnsi="Times New Roman" w:cs="Times New Roman"/>
              </w:rPr>
              <w:lastRenderedPageBreak/>
              <w:t>członkowskiego Unii Europejskiej, jeżeli pojazd ten nie spełnia odpowiednich warunków lub wymagań technicznych, które są równoważne warunkom lub wymaganiom obowiązującym na terytorium Rzeczypospolitej Polskiej, o których mowa w art. 68f ust. 1.</w:t>
            </w:r>
          </w:p>
          <w:p w14:paraId="7C379B6D"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 Art. 68p. Dyrektor TDT wydaje duplikaty dokumentów, o których mowa w art. 68c ust. 1, art. 68o ust. 1 lub 7. Do wydania duplikatu stosuje się przepis art. 41 ust. 2. </w:t>
            </w:r>
          </w:p>
          <w:p w14:paraId="7C52918A"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Art. 68q. 1. Producent, przedstawiciel producenta, importer pojazdu, dla którego zostało wydane świadectwo unijnego indywidualnego dopuszczenia pojazdu, świadectwo krajowego indywidualnego dopuszczenia nowego pojazdu albo uznanie świadectwa krajowego indywidualnego dopuszczenia pojazdu, jest obowiązany wystawić oświadczenie zawierające dane i informacje o pojeździe niezbędne do rejestracji i ewidencji pojazdu, zgodnie ze wzorem określonym w przepisach wydanych na podstawie art. 68r ust. 1. Oświadczenie może być podpisane podpisem odbitym sposobem mechanicznym.</w:t>
            </w:r>
          </w:p>
          <w:p w14:paraId="06A65F89"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2. W przypadku pojazdu, dla którego właściciela zostało wydane świadectwo unijnego indywidualnego dopuszczenia pojazdu albo świadectwo krajowego indywidualnego dopuszczenia nowego pojazdu, oświadczenie, o którym mowa w ust. 1, może zostać wystawione przez służbę techniczną przeprowadzającą na </w:t>
            </w:r>
            <w:r w:rsidRPr="00FB76A9">
              <w:rPr>
                <w:rFonts w:ascii="Times New Roman" w:hAnsi="Times New Roman" w:cs="Times New Roman"/>
              </w:rPr>
              <w:lastRenderedPageBreak/>
              <w:t xml:space="preserve">wniosek właściciela tego pojazdu badania, o których mowa w art. 68d ust. 1. </w:t>
            </w:r>
          </w:p>
          <w:p w14:paraId="37ABBCBF"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Art. 68r. 1. Minister właściwy do spraw transportu określi, w drodze rozporządzenia: </w:t>
            </w:r>
          </w:p>
          <w:p w14:paraId="5274CB25" w14:textId="77777777" w:rsidR="00145342" w:rsidRPr="00FB76A9" w:rsidRDefault="00145342" w:rsidP="00FD5CD5">
            <w:pPr>
              <w:pStyle w:val="ZROZDZODDZOZNzmoznrozdzoddzartykuempunktem"/>
              <w:spacing w:line="240" w:lineRule="auto"/>
              <w:ind w:left="275"/>
              <w:jc w:val="left"/>
              <w:rPr>
                <w:rFonts w:ascii="Times New Roman" w:hAnsi="Times New Roman" w:cs="Times New Roman"/>
              </w:rPr>
            </w:pPr>
            <w:r w:rsidRPr="00FB76A9">
              <w:rPr>
                <w:rFonts w:ascii="Times New Roman" w:hAnsi="Times New Roman" w:cs="Times New Roman"/>
              </w:rPr>
              <w:t xml:space="preserve">1) </w:t>
            </w:r>
            <w:r w:rsidRPr="00FB76A9">
              <w:rPr>
                <w:rFonts w:ascii="Times New Roman" w:hAnsi="Times New Roman" w:cs="Times New Roman"/>
              </w:rPr>
              <w:tab/>
              <w:t xml:space="preserve">zakres warunków lub wymagań technicznych obowiązujących w procedurze krajowego indywidualnego dopuszczenia pojazdu, z uwzględnieniem równoważnych wymogów alternatywnych, zakres i sposób przeprowadzania badań potwierdzających spełnienie odpowiednich warunków lub wymagań technicznych w celu uzyskania krajowego indywidualnego dopuszczenia pojazdu; </w:t>
            </w:r>
          </w:p>
          <w:p w14:paraId="65A22986" w14:textId="77777777" w:rsidR="00145342" w:rsidRPr="00FB76A9" w:rsidRDefault="00145342" w:rsidP="00FD5CD5">
            <w:pPr>
              <w:pStyle w:val="ZROZDZODDZOZNzmoznrozdzoddzartykuempunktem"/>
              <w:spacing w:line="240" w:lineRule="auto"/>
              <w:ind w:left="275"/>
              <w:jc w:val="left"/>
              <w:rPr>
                <w:rFonts w:ascii="Times New Roman" w:hAnsi="Times New Roman" w:cs="Times New Roman"/>
              </w:rPr>
            </w:pPr>
            <w:r w:rsidRPr="00FB76A9">
              <w:rPr>
                <w:rFonts w:ascii="Times New Roman" w:hAnsi="Times New Roman" w:cs="Times New Roman"/>
              </w:rPr>
              <w:t xml:space="preserve">2) </w:t>
            </w:r>
            <w:r w:rsidRPr="00FB76A9">
              <w:rPr>
                <w:rFonts w:ascii="Times New Roman" w:hAnsi="Times New Roman" w:cs="Times New Roman"/>
              </w:rPr>
              <w:tab/>
              <w:t xml:space="preserve">wzory dokumentów związanych z procedurą unijnego i krajowego indywidualnego dopuszczenia pojazdu; </w:t>
            </w:r>
          </w:p>
          <w:p w14:paraId="191FE6C7" w14:textId="77777777" w:rsidR="00145342" w:rsidRPr="00FB76A9" w:rsidRDefault="00145342" w:rsidP="00FD5CD5">
            <w:pPr>
              <w:pStyle w:val="ZROZDZODDZOZNzmoznrozdzoddzartykuempunktem"/>
              <w:spacing w:line="240" w:lineRule="auto"/>
              <w:ind w:left="275"/>
              <w:jc w:val="left"/>
              <w:rPr>
                <w:rFonts w:ascii="Times New Roman" w:hAnsi="Times New Roman" w:cs="Times New Roman"/>
              </w:rPr>
            </w:pPr>
            <w:r w:rsidRPr="00FB76A9">
              <w:rPr>
                <w:rFonts w:ascii="Times New Roman" w:hAnsi="Times New Roman" w:cs="Times New Roman"/>
              </w:rPr>
              <w:t xml:space="preserve">3) </w:t>
            </w:r>
            <w:r w:rsidRPr="00FB76A9">
              <w:rPr>
                <w:rFonts w:ascii="Times New Roman" w:hAnsi="Times New Roman" w:cs="Times New Roman"/>
              </w:rPr>
              <w:tab/>
              <w:t xml:space="preserve">wzór oświadczenia zawierającego dane i informacje o pojeździe niezbędne do rejestracji i ewidencji pojazdu; </w:t>
            </w:r>
          </w:p>
          <w:p w14:paraId="77E525C0" w14:textId="77777777" w:rsidR="00145342" w:rsidRPr="00FB76A9" w:rsidRDefault="00145342" w:rsidP="00FD5CD5">
            <w:pPr>
              <w:pStyle w:val="ZROZDZODDZOZNzmoznrozdzoddzartykuempunktem"/>
              <w:spacing w:line="240" w:lineRule="auto"/>
              <w:ind w:left="275"/>
              <w:jc w:val="left"/>
              <w:rPr>
                <w:rFonts w:ascii="Times New Roman" w:hAnsi="Times New Roman" w:cs="Times New Roman"/>
              </w:rPr>
            </w:pPr>
            <w:r w:rsidRPr="00FB76A9">
              <w:rPr>
                <w:rFonts w:ascii="Times New Roman" w:hAnsi="Times New Roman" w:cs="Times New Roman"/>
              </w:rPr>
              <w:t xml:space="preserve">4) </w:t>
            </w:r>
            <w:r w:rsidRPr="00FB76A9">
              <w:rPr>
                <w:rFonts w:ascii="Times New Roman" w:hAnsi="Times New Roman" w:cs="Times New Roman"/>
              </w:rPr>
              <w:tab/>
              <w:t>szczegółowe czynności Dyrektora TDT, służby technicznej i uprawnionego diagnosty w procedurze indywidualnego dopuszczenia pojazdu;</w:t>
            </w:r>
          </w:p>
          <w:p w14:paraId="2CE61F34" w14:textId="77777777" w:rsidR="00145342" w:rsidRPr="00FB76A9" w:rsidRDefault="00145342" w:rsidP="00FD5CD5">
            <w:pPr>
              <w:pStyle w:val="ZROZDZODDZOZNzmoznrozdzoddzartykuempunktem"/>
              <w:spacing w:line="240" w:lineRule="auto"/>
              <w:ind w:left="275"/>
              <w:jc w:val="left"/>
              <w:rPr>
                <w:rFonts w:ascii="Times New Roman" w:hAnsi="Times New Roman" w:cs="Times New Roman"/>
              </w:rPr>
            </w:pPr>
            <w:r w:rsidRPr="00FB76A9">
              <w:rPr>
                <w:rFonts w:ascii="Times New Roman" w:hAnsi="Times New Roman" w:cs="Times New Roman"/>
              </w:rPr>
              <w:t xml:space="preserve">5) </w:t>
            </w:r>
            <w:r w:rsidRPr="00FB76A9">
              <w:rPr>
                <w:rFonts w:ascii="Times New Roman" w:hAnsi="Times New Roman" w:cs="Times New Roman"/>
              </w:rPr>
              <w:tab/>
              <w:t>program szkolenia diagnostów, sposób przeprowadzania egzaminu kwalifikacyjnego oraz wzory dokumentów związanych z uzyskaniem zaświadczenia kwalifikacyjnego i uprawnienia dla przedsiębiorcy prowadzącego stację kontroli pojazdów.</w:t>
            </w:r>
          </w:p>
          <w:p w14:paraId="1347C976"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2. Wydając rozporządzenie, o którym mowa w ust. 1, minister uwzględnia: </w:t>
            </w:r>
          </w:p>
          <w:p w14:paraId="440876DA"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1) </w:t>
            </w:r>
            <w:r w:rsidRPr="00FB76A9">
              <w:rPr>
                <w:rFonts w:ascii="Times New Roman" w:hAnsi="Times New Roman" w:cs="Times New Roman"/>
              </w:rPr>
              <w:tab/>
              <w:t xml:space="preserve">konieczność zapewnienia właściwego poziomu bezpieczeństwa, ochrony zdrowia </w:t>
            </w:r>
          </w:p>
          <w:p w14:paraId="13C471E0"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lastRenderedPageBreak/>
              <w:t xml:space="preserve">i środowiska; </w:t>
            </w:r>
          </w:p>
          <w:p w14:paraId="72514855"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2) </w:t>
            </w:r>
            <w:r w:rsidRPr="00FB76A9">
              <w:rPr>
                <w:rFonts w:ascii="Times New Roman" w:hAnsi="Times New Roman" w:cs="Times New Roman"/>
              </w:rPr>
              <w:tab/>
              <w:t>potrzebę zapewnienia zabezpieczenia dokumentów przed podrobieniem lub przerobieniem;</w:t>
            </w:r>
          </w:p>
          <w:p w14:paraId="3350DA4B" w14:textId="77777777" w:rsidR="00145342" w:rsidRPr="00FB76A9" w:rsidRDefault="00145342"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3) </w:t>
            </w:r>
            <w:r w:rsidRPr="00FB76A9">
              <w:rPr>
                <w:rFonts w:ascii="Times New Roman" w:hAnsi="Times New Roman" w:cs="Times New Roman"/>
              </w:rPr>
              <w:tab/>
              <w:t xml:space="preserve">konieczność ujednolicenia wzorów dokumentów związanych z procedurą unijnego i krajowego indywidualnego dopuszczenia pojazdu oraz oświadczeń składanych w ramach rejestracji i ewidencji pojazdu, a także potrzebę zapewnienia ich funkcjonalności; </w:t>
            </w:r>
          </w:p>
          <w:p w14:paraId="3FD33B00" w14:textId="77777777" w:rsidR="00344C09" w:rsidRPr="00FB76A9" w:rsidRDefault="00145342" w:rsidP="00FD5CD5">
            <w:pPr>
              <w:spacing w:after="0" w:line="240" w:lineRule="auto"/>
              <w:rPr>
                <w:rFonts w:ascii="Times New Roman" w:eastAsia="Times New Roman" w:hAnsi="Times New Roman" w:cs="Times New Roman"/>
                <w:sz w:val="24"/>
                <w:szCs w:val="24"/>
                <w:lang w:eastAsia="pl-PL"/>
              </w:rPr>
            </w:pPr>
            <w:r w:rsidRPr="00FB76A9">
              <w:rPr>
                <w:rFonts w:ascii="Times New Roman" w:hAnsi="Times New Roman" w:cs="Times New Roman"/>
                <w:sz w:val="24"/>
                <w:szCs w:val="24"/>
              </w:rPr>
              <w:t xml:space="preserve">4) </w:t>
            </w:r>
            <w:r w:rsidRPr="00FB76A9">
              <w:rPr>
                <w:rFonts w:ascii="Times New Roman" w:hAnsi="Times New Roman" w:cs="Times New Roman"/>
                <w:sz w:val="24"/>
                <w:szCs w:val="24"/>
              </w:rPr>
              <w:tab/>
              <w:t>konieczność zapewnienia sprawnego i skutecznego wykonywania zadań w zakresie indywidualnego dopuszczenia pojazdu.”</w:t>
            </w:r>
          </w:p>
        </w:tc>
        <w:tc>
          <w:tcPr>
            <w:tcW w:w="1504" w:type="dxa"/>
            <w:tcBorders>
              <w:top w:val="single" w:sz="4" w:space="0" w:color="auto"/>
              <w:left w:val="single" w:sz="4" w:space="0" w:color="auto"/>
              <w:right w:val="single" w:sz="4" w:space="0" w:color="auto"/>
            </w:tcBorders>
          </w:tcPr>
          <w:p w14:paraId="258B3AFB"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tc>
      </w:tr>
      <w:tr w:rsidR="00344C09" w:rsidRPr="00FB76A9" w14:paraId="775F0E83" w14:textId="77777777" w:rsidTr="00191FD1">
        <w:trPr>
          <w:trHeight w:val="1465"/>
        </w:trPr>
        <w:tc>
          <w:tcPr>
            <w:tcW w:w="797" w:type="dxa"/>
            <w:tcBorders>
              <w:top w:val="single" w:sz="4" w:space="0" w:color="auto"/>
              <w:left w:val="single" w:sz="4" w:space="0" w:color="auto"/>
              <w:bottom w:val="single" w:sz="4" w:space="0" w:color="auto"/>
              <w:right w:val="single" w:sz="4" w:space="0" w:color="auto"/>
            </w:tcBorders>
          </w:tcPr>
          <w:p w14:paraId="7F7DF2E8" w14:textId="77777777" w:rsidR="00344C09" w:rsidRPr="00FB76A9" w:rsidRDefault="00344C09"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lastRenderedPageBreak/>
              <w:t>Art. 3 pkt 53</w:t>
            </w:r>
          </w:p>
        </w:tc>
        <w:tc>
          <w:tcPr>
            <w:tcW w:w="5572" w:type="dxa"/>
            <w:gridSpan w:val="2"/>
            <w:tcBorders>
              <w:top w:val="single" w:sz="4" w:space="0" w:color="auto"/>
              <w:left w:val="single" w:sz="4" w:space="0" w:color="auto"/>
              <w:bottom w:val="single" w:sz="4" w:space="0" w:color="auto"/>
              <w:right w:val="single" w:sz="4" w:space="0" w:color="auto"/>
            </w:tcBorders>
          </w:tcPr>
          <w:p w14:paraId="1DDCAA4A" w14:textId="77777777" w:rsidR="00344C09" w:rsidRPr="00FB76A9" w:rsidRDefault="00344C09" w:rsidP="00FD5CD5">
            <w:pPr>
              <w:pStyle w:val="CM4"/>
              <w:rPr>
                <w:rFonts w:eastAsia="Times New Roman"/>
                <w:lang w:eastAsia="pl-PL"/>
              </w:rPr>
            </w:pPr>
            <w:r w:rsidRPr="00FB76A9">
              <w:rPr>
                <w:rFonts w:eastAsia="Times New Roman"/>
                <w:lang w:eastAsia="pl-PL"/>
              </w:rPr>
              <w:t xml:space="preserve">53) „dopuszczenie” oznacza pierwsze wykorzystanie w Unii pojazdu, układu, komponentu, oddzielnego zespołu technicznego, części lub wyposażenia zgodnie z ich przeznaczeniem; </w:t>
            </w:r>
          </w:p>
          <w:p w14:paraId="357DA409"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tc>
        <w:tc>
          <w:tcPr>
            <w:tcW w:w="932" w:type="dxa"/>
            <w:gridSpan w:val="2"/>
            <w:tcBorders>
              <w:top w:val="single" w:sz="4" w:space="0" w:color="auto"/>
              <w:left w:val="single" w:sz="4" w:space="0" w:color="auto"/>
              <w:bottom w:val="single" w:sz="4" w:space="0" w:color="auto"/>
              <w:right w:val="single" w:sz="4" w:space="0" w:color="auto"/>
            </w:tcBorders>
          </w:tcPr>
          <w:p w14:paraId="300ACE3A"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2996628F"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094FD97A"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p w14:paraId="5756C269"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p w14:paraId="366D0C9D"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tc>
        <w:tc>
          <w:tcPr>
            <w:tcW w:w="715" w:type="dxa"/>
            <w:tcBorders>
              <w:top w:val="single" w:sz="4" w:space="0" w:color="auto"/>
              <w:left w:val="single" w:sz="4" w:space="0" w:color="auto"/>
              <w:bottom w:val="single" w:sz="4" w:space="0" w:color="auto"/>
              <w:right w:val="single" w:sz="4" w:space="0" w:color="auto"/>
            </w:tcBorders>
          </w:tcPr>
          <w:p w14:paraId="1089AE0B"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3 lit. </w:t>
            </w:r>
            <w:r w:rsidR="00AB0A60" w:rsidRPr="00FB76A9">
              <w:rPr>
                <w:rFonts w:ascii="Times New Roman" w:eastAsia="Times New Roman" w:hAnsi="Times New Roman" w:cs="Times New Roman"/>
                <w:sz w:val="24"/>
                <w:szCs w:val="24"/>
                <w:lang w:eastAsia="pl-PL"/>
              </w:rPr>
              <w:t>f</w:t>
            </w:r>
          </w:p>
          <w:p w14:paraId="0CE688A8"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tc>
        <w:tc>
          <w:tcPr>
            <w:tcW w:w="5475" w:type="dxa"/>
            <w:gridSpan w:val="2"/>
            <w:tcBorders>
              <w:top w:val="single" w:sz="4" w:space="0" w:color="auto"/>
              <w:left w:val="single" w:sz="4" w:space="0" w:color="auto"/>
              <w:bottom w:val="single" w:sz="4" w:space="0" w:color="auto"/>
              <w:right w:val="single" w:sz="4" w:space="0" w:color="auto"/>
            </w:tcBorders>
          </w:tcPr>
          <w:p w14:paraId="03155267"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 „38) </w:t>
            </w:r>
            <w:r w:rsidRPr="00FB76A9">
              <w:rPr>
                <w:rFonts w:ascii="Times New Roman" w:eastAsia="Times New Roman" w:hAnsi="Times New Roman" w:cs="Times New Roman"/>
                <w:sz w:val="24"/>
                <w:szCs w:val="24"/>
                <w:lang w:eastAsia="pl-PL"/>
              </w:rPr>
              <w:tab/>
            </w:r>
            <w:r w:rsidR="00AB0A60" w:rsidRPr="00FB76A9">
              <w:rPr>
                <w:rFonts w:ascii="Times New Roman" w:eastAsia="Times New Roman" w:hAnsi="Times New Roman" w:cs="Times New Roman"/>
                <w:sz w:val="24"/>
                <w:szCs w:val="24"/>
                <w:lang w:eastAsia="pl-PL"/>
              </w:rPr>
              <w:t>dopuszczeniu – rozumie się przez to dopuszczenie, o którym mowa odpowiednio w art. 3 pkt 40 rozporządzenia 167/2013, art. 3 pkt 53 rozporządzenia 168/2013 albo art. 3 pkt 52 rozporządzenia 2018/858</w:t>
            </w:r>
            <w:r w:rsidRPr="00FB76A9">
              <w:rPr>
                <w:rFonts w:ascii="Times New Roman" w:eastAsia="Times New Roman" w:hAnsi="Times New Roman" w:cs="Times New Roman"/>
                <w:sz w:val="24"/>
                <w:szCs w:val="24"/>
                <w:lang w:eastAsia="pl-PL"/>
              </w:rPr>
              <w:t>;”</w:t>
            </w:r>
          </w:p>
        </w:tc>
        <w:tc>
          <w:tcPr>
            <w:tcW w:w="1504" w:type="dxa"/>
            <w:tcBorders>
              <w:top w:val="single" w:sz="4" w:space="0" w:color="auto"/>
              <w:left w:val="single" w:sz="4" w:space="0" w:color="auto"/>
              <w:right w:val="single" w:sz="4" w:space="0" w:color="auto"/>
            </w:tcBorders>
          </w:tcPr>
          <w:p w14:paraId="6406E3D3"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tc>
      </w:tr>
      <w:tr w:rsidR="00344C09" w:rsidRPr="00FB76A9" w14:paraId="04BC7285" w14:textId="77777777" w:rsidTr="00344C09">
        <w:trPr>
          <w:trHeight w:val="288"/>
        </w:trPr>
        <w:tc>
          <w:tcPr>
            <w:tcW w:w="797" w:type="dxa"/>
            <w:tcBorders>
              <w:top w:val="single" w:sz="4" w:space="0" w:color="auto"/>
              <w:left w:val="single" w:sz="4" w:space="0" w:color="auto"/>
              <w:bottom w:val="single" w:sz="4" w:space="0" w:color="auto"/>
              <w:right w:val="single" w:sz="4" w:space="0" w:color="auto"/>
            </w:tcBorders>
          </w:tcPr>
          <w:p w14:paraId="14BCA7E9" w14:textId="77777777" w:rsidR="00344C09" w:rsidRPr="00FB76A9" w:rsidRDefault="00344C09"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 xml:space="preserve">Art. 3 pkt 54 </w:t>
            </w:r>
          </w:p>
        </w:tc>
        <w:tc>
          <w:tcPr>
            <w:tcW w:w="5572" w:type="dxa"/>
            <w:gridSpan w:val="2"/>
            <w:tcBorders>
              <w:top w:val="single" w:sz="4" w:space="0" w:color="auto"/>
              <w:left w:val="single" w:sz="4" w:space="0" w:color="auto"/>
              <w:bottom w:val="single" w:sz="4" w:space="0" w:color="auto"/>
              <w:right w:val="single" w:sz="4" w:space="0" w:color="auto"/>
            </w:tcBorders>
          </w:tcPr>
          <w:p w14:paraId="248253E9" w14:textId="77777777" w:rsidR="00344C09" w:rsidRPr="00FB76A9" w:rsidRDefault="00344C09" w:rsidP="00FD5CD5">
            <w:pPr>
              <w:pStyle w:val="CM4"/>
              <w:rPr>
                <w:rFonts w:eastAsia="Times New Roman"/>
                <w:lang w:eastAsia="pl-PL"/>
              </w:rPr>
            </w:pPr>
            <w:r w:rsidRPr="00FB76A9">
              <w:rPr>
                <w:rFonts w:eastAsia="Times New Roman"/>
                <w:lang w:eastAsia="pl-PL"/>
              </w:rPr>
              <w:t xml:space="preserve">54) „wprowadzenie do obrotu” oznacza udostępnienie pojazdu, układu, komponentu, oddzielnego zespołu technicznego, części lub wyposażenia po raz pierwszy w Unii; </w:t>
            </w:r>
          </w:p>
          <w:p w14:paraId="36D9E950"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tc>
        <w:tc>
          <w:tcPr>
            <w:tcW w:w="932" w:type="dxa"/>
            <w:gridSpan w:val="2"/>
            <w:tcBorders>
              <w:top w:val="single" w:sz="4" w:space="0" w:color="auto"/>
              <w:left w:val="single" w:sz="4" w:space="0" w:color="auto"/>
              <w:bottom w:val="single" w:sz="4" w:space="0" w:color="auto"/>
              <w:right w:val="single" w:sz="4" w:space="0" w:color="auto"/>
            </w:tcBorders>
          </w:tcPr>
          <w:p w14:paraId="60D86978"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715" w:type="dxa"/>
            <w:tcBorders>
              <w:top w:val="single" w:sz="4" w:space="0" w:color="auto"/>
              <w:left w:val="single" w:sz="4" w:space="0" w:color="auto"/>
              <w:bottom w:val="single" w:sz="4" w:space="0" w:color="auto"/>
              <w:right w:val="single" w:sz="4" w:space="0" w:color="auto"/>
            </w:tcBorders>
          </w:tcPr>
          <w:p w14:paraId="6952FE67"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3 lit. </w:t>
            </w:r>
            <w:r w:rsidR="00AB0A60" w:rsidRPr="00FB76A9">
              <w:rPr>
                <w:rFonts w:ascii="Times New Roman" w:eastAsia="Times New Roman" w:hAnsi="Times New Roman" w:cs="Times New Roman"/>
                <w:sz w:val="24"/>
                <w:szCs w:val="24"/>
                <w:lang w:eastAsia="pl-PL"/>
              </w:rPr>
              <w:t>f</w:t>
            </w:r>
          </w:p>
        </w:tc>
        <w:tc>
          <w:tcPr>
            <w:tcW w:w="5475" w:type="dxa"/>
            <w:gridSpan w:val="2"/>
            <w:tcBorders>
              <w:top w:val="single" w:sz="4" w:space="0" w:color="auto"/>
              <w:left w:val="single" w:sz="4" w:space="0" w:color="auto"/>
              <w:bottom w:val="single" w:sz="4" w:space="0" w:color="auto"/>
              <w:right w:val="single" w:sz="4" w:space="0" w:color="auto"/>
            </w:tcBorders>
          </w:tcPr>
          <w:p w14:paraId="2FF69F25"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„36) </w:t>
            </w:r>
            <w:r w:rsidR="00AB0A60" w:rsidRPr="00FB76A9">
              <w:rPr>
                <w:rFonts w:ascii="Times New Roman" w:eastAsia="Times New Roman" w:hAnsi="Times New Roman" w:cs="Times New Roman"/>
                <w:sz w:val="24"/>
                <w:szCs w:val="24"/>
                <w:lang w:eastAsia="pl-PL"/>
              </w:rPr>
              <w:t>wprowadzeniu do obrotu – rozumie się przez to wprowadzenie do obrotu, o którym mowa odpowiednio w art. 3 pkt 39 rozporządzenia 167/2013, art. 3 pkt 54 rozporządzenia 168/2013, art. 3 pkt 50 rozporządzenia 2018/858 albo art. 3 pkt 2 rozporządzenia 2019/1020</w:t>
            </w:r>
            <w:r w:rsidRPr="00FB76A9">
              <w:rPr>
                <w:rFonts w:ascii="Times New Roman" w:eastAsia="Times New Roman" w:hAnsi="Times New Roman" w:cs="Times New Roman"/>
                <w:sz w:val="24"/>
                <w:szCs w:val="24"/>
                <w:lang w:eastAsia="pl-PL"/>
              </w:rPr>
              <w:t>;”</w:t>
            </w:r>
          </w:p>
        </w:tc>
        <w:tc>
          <w:tcPr>
            <w:tcW w:w="1504" w:type="dxa"/>
            <w:tcBorders>
              <w:left w:val="single" w:sz="4" w:space="0" w:color="auto"/>
              <w:right w:val="single" w:sz="4" w:space="0" w:color="auto"/>
            </w:tcBorders>
          </w:tcPr>
          <w:p w14:paraId="23440D3C"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tc>
      </w:tr>
      <w:tr w:rsidR="00344C09" w:rsidRPr="00FB76A9" w14:paraId="6A333694" w14:textId="77777777" w:rsidTr="00344C09">
        <w:trPr>
          <w:trHeight w:val="401"/>
        </w:trPr>
        <w:tc>
          <w:tcPr>
            <w:tcW w:w="797" w:type="dxa"/>
            <w:tcBorders>
              <w:top w:val="single" w:sz="4" w:space="0" w:color="auto"/>
              <w:left w:val="single" w:sz="4" w:space="0" w:color="auto"/>
              <w:bottom w:val="single" w:sz="4" w:space="0" w:color="auto"/>
              <w:right w:val="single" w:sz="4" w:space="0" w:color="auto"/>
            </w:tcBorders>
          </w:tcPr>
          <w:p w14:paraId="4C8202E0" w14:textId="77777777" w:rsidR="00344C09" w:rsidRPr="00FB76A9" w:rsidRDefault="00344C09"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 xml:space="preserve">Art. 3 pkt 55 </w:t>
            </w:r>
          </w:p>
        </w:tc>
        <w:tc>
          <w:tcPr>
            <w:tcW w:w="5572" w:type="dxa"/>
            <w:gridSpan w:val="2"/>
            <w:tcBorders>
              <w:top w:val="single" w:sz="4" w:space="0" w:color="auto"/>
              <w:left w:val="single" w:sz="4" w:space="0" w:color="auto"/>
              <w:bottom w:val="single" w:sz="4" w:space="0" w:color="auto"/>
              <w:right w:val="single" w:sz="4" w:space="0" w:color="auto"/>
            </w:tcBorders>
          </w:tcPr>
          <w:p w14:paraId="32B52BCF"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55) „udostępnienie na rynku” oznacza każde dostarczenie pojazdu, układu, komponentu, oddzielnego zespołu technicznego, części lub wyposażenia w celu jego dystrybucji lub używania na rynku w ramach działalności handlowej, odpłatnie lub nieodpłatnie;</w:t>
            </w:r>
          </w:p>
        </w:tc>
        <w:tc>
          <w:tcPr>
            <w:tcW w:w="932" w:type="dxa"/>
            <w:gridSpan w:val="2"/>
            <w:tcBorders>
              <w:top w:val="single" w:sz="4" w:space="0" w:color="auto"/>
              <w:left w:val="single" w:sz="4" w:space="0" w:color="auto"/>
              <w:bottom w:val="single" w:sz="4" w:space="0" w:color="auto"/>
              <w:right w:val="single" w:sz="4" w:space="0" w:color="auto"/>
            </w:tcBorders>
          </w:tcPr>
          <w:p w14:paraId="6B5E7545"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715" w:type="dxa"/>
            <w:tcBorders>
              <w:top w:val="single" w:sz="4" w:space="0" w:color="auto"/>
              <w:left w:val="single" w:sz="4" w:space="0" w:color="auto"/>
              <w:bottom w:val="single" w:sz="4" w:space="0" w:color="auto"/>
              <w:right w:val="single" w:sz="4" w:space="0" w:color="auto"/>
            </w:tcBorders>
          </w:tcPr>
          <w:p w14:paraId="21C5C670"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3 lit. </w:t>
            </w:r>
            <w:r w:rsidR="00AB0A60" w:rsidRPr="00FB76A9">
              <w:rPr>
                <w:rFonts w:ascii="Times New Roman" w:eastAsia="Times New Roman" w:hAnsi="Times New Roman" w:cs="Times New Roman"/>
                <w:sz w:val="24"/>
                <w:szCs w:val="24"/>
                <w:lang w:eastAsia="pl-PL"/>
              </w:rPr>
              <w:t>f</w:t>
            </w:r>
          </w:p>
        </w:tc>
        <w:tc>
          <w:tcPr>
            <w:tcW w:w="5475" w:type="dxa"/>
            <w:gridSpan w:val="2"/>
            <w:tcBorders>
              <w:top w:val="single" w:sz="4" w:space="0" w:color="auto"/>
              <w:left w:val="single" w:sz="4" w:space="0" w:color="auto"/>
              <w:bottom w:val="single" w:sz="4" w:space="0" w:color="auto"/>
              <w:right w:val="single" w:sz="4" w:space="0" w:color="auto"/>
            </w:tcBorders>
          </w:tcPr>
          <w:p w14:paraId="3B5A7F98"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„37) </w:t>
            </w:r>
            <w:r w:rsidR="00AB0A60" w:rsidRPr="00FB76A9">
              <w:rPr>
                <w:rFonts w:ascii="Times New Roman" w:eastAsia="Times New Roman" w:hAnsi="Times New Roman" w:cs="Times New Roman"/>
                <w:sz w:val="24"/>
                <w:szCs w:val="24"/>
                <w:lang w:eastAsia="pl-PL"/>
              </w:rPr>
              <w:t>udostępnieniu na rynku – rozumie się przez to udostępnienie na rynku, o którym mowa odpowiednio w art. 3 pkt 47 rozporządzenia 167/2013, art. 3 pkt 55 rozporządzenia 168/2013 albo art. 3 pkt 51 rozporządzenia 2018/858 albo art. 3 pkt 1 rozporządzenia 2019/1020</w:t>
            </w:r>
            <w:r w:rsidRPr="00FB76A9">
              <w:rPr>
                <w:rFonts w:ascii="Times New Roman" w:eastAsia="Times New Roman" w:hAnsi="Times New Roman" w:cs="Times New Roman"/>
                <w:sz w:val="24"/>
                <w:szCs w:val="24"/>
                <w:lang w:eastAsia="pl-PL"/>
              </w:rPr>
              <w:t>;”</w:t>
            </w:r>
          </w:p>
        </w:tc>
        <w:tc>
          <w:tcPr>
            <w:tcW w:w="1504" w:type="dxa"/>
            <w:tcBorders>
              <w:left w:val="single" w:sz="4" w:space="0" w:color="auto"/>
              <w:right w:val="single" w:sz="4" w:space="0" w:color="auto"/>
            </w:tcBorders>
          </w:tcPr>
          <w:p w14:paraId="19DDB9F2"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tc>
      </w:tr>
      <w:tr w:rsidR="00344C09" w:rsidRPr="00FB76A9" w14:paraId="5F6FF50A" w14:textId="77777777" w:rsidTr="00344C09">
        <w:trPr>
          <w:trHeight w:val="425"/>
        </w:trPr>
        <w:tc>
          <w:tcPr>
            <w:tcW w:w="797" w:type="dxa"/>
            <w:tcBorders>
              <w:top w:val="single" w:sz="4" w:space="0" w:color="auto"/>
              <w:left w:val="single" w:sz="4" w:space="0" w:color="auto"/>
              <w:bottom w:val="single" w:sz="4" w:space="0" w:color="auto"/>
              <w:right w:val="single" w:sz="4" w:space="0" w:color="auto"/>
            </w:tcBorders>
          </w:tcPr>
          <w:p w14:paraId="49C1B869" w14:textId="77777777" w:rsidR="00344C09" w:rsidRPr="00FB76A9" w:rsidRDefault="00344C09"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lastRenderedPageBreak/>
              <w:t>Art. 3 pkt 58</w:t>
            </w:r>
          </w:p>
        </w:tc>
        <w:tc>
          <w:tcPr>
            <w:tcW w:w="5572" w:type="dxa"/>
            <w:gridSpan w:val="2"/>
            <w:tcBorders>
              <w:top w:val="single" w:sz="4" w:space="0" w:color="auto"/>
              <w:left w:val="single" w:sz="4" w:space="0" w:color="auto"/>
              <w:bottom w:val="single" w:sz="4" w:space="0" w:color="auto"/>
              <w:right w:val="single" w:sz="4" w:space="0" w:color="auto"/>
            </w:tcBorders>
          </w:tcPr>
          <w:p w14:paraId="27CC7C85"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hAnsi="Times New Roman" w:cs="Times New Roman"/>
                <w:sz w:val="24"/>
                <w:szCs w:val="24"/>
              </w:rPr>
              <w:t>„</w:t>
            </w:r>
            <w:r w:rsidRPr="00FB76A9">
              <w:rPr>
                <w:rFonts w:ascii="Times New Roman" w:eastAsia="Times New Roman" w:hAnsi="Times New Roman" w:cs="Times New Roman"/>
                <w:sz w:val="24"/>
                <w:szCs w:val="24"/>
                <w:lang w:eastAsia="pl-PL"/>
              </w:rPr>
              <w:t>58) „nadzór rynku” oznacza działania i środki podejmowane przez organy krajowe w celu zapewnienia, aby pojazdy, układy, komponenty lub oddzielne zespoły techniczne udostępniane na rynku spełniały wymogi określone w odpowiednich przepisach unijnych dotyczących harmonizacji oraz aby nie zagrażały one zdrowiu, bezpieczeństwu ani żadnemu innemu aspektowi ochrony interesu publicznego;”</w:t>
            </w:r>
          </w:p>
        </w:tc>
        <w:tc>
          <w:tcPr>
            <w:tcW w:w="932" w:type="dxa"/>
            <w:gridSpan w:val="2"/>
            <w:tcBorders>
              <w:top w:val="single" w:sz="4" w:space="0" w:color="auto"/>
              <w:left w:val="single" w:sz="4" w:space="0" w:color="auto"/>
              <w:bottom w:val="single" w:sz="4" w:space="0" w:color="auto"/>
              <w:right w:val="single" w:sz="4" w:space="0" w:color="auto"/>
            </w:tcBorders>
          </w:tcPr>
          <w:p w14:paraId="6AD1D521"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715" w:type="dxa"/>
            <w:tcBorders>
              <w:top w:val="single" w:sz="4" w:space="0" w:color="auto"/>
              <w:left w:val="single" w:sz="4" w:space="0" w:color="auto"/>
              <w:bottom w:val="single" w:sz="4" w:space="0" w:color="auto"/>
              <w:right w:val="single" w:sz="4" w:space="0" w:color="auto"/>
            </w:tcBorders>
          </w:tcPr>
          <w:p w14:paraId="0EEA3286"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3 lit. </w:t>
            </w:r>
            <w:r w:rsidR="00AB0A60" w:rsidRPr="00FB76A9">
              <w:rPr>
                <w:rFonts w:ascii="Times New Roman" w:eastAsia="Times New Roman" w:hAnsi="Times New Roman" w:cs="Times New Roman"/>
                <w:sz w:val="24"/>
                <w:szCs w:val="24"/>
                <w:lang w:eastAsia="pl-PL"/>
              </w:rPr>
              <w:t>f</w:t>
            </w:r>
          </w:p>
        </w:tc>
        <w:tc>
          <w:tcPr>
            <w:tcW w:w="5475" w:type="dxa"/>
            <w:gridSpan w:val="2"/>
            <w:tcBorders>
              <w:top w:val="single" w:sz="4" w:space="0" w:color="auto"/>
              <w:left w:val="single" w:sz="4" w:space="0" w:color="auto"/>
              <w:bottom w:val="single" w:sz="4" w:space="0" w:color="auto"/>
              <w:right w:val="single" w:sz="4" w:space="0" w:color="auto"/>
            </w:tcBorders>
          </w:tcPr>
          <w:p w14:paraId="49A108EF"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„35) </w:t>
            </w:r>
            <w:r w:rsidR="00AB0A60" w:rsidRPr="00FB76A9">
              <w:rPr>
                <w:rFonts w:ascii="Times New Roman" w:eastAsia="Times New Roman" w:hAnsi="Times New Roman" w:cs="Times New Roman"/>
                <w:sz w:val="24"/>
                <w:szCs w:val="24"/>
                <w:lang w:eastAsia="pl-PL"/>
              </w:rPr>
              <w:t>nadzorze rynku – rozumie się przez to nadzór rynku, o którym mowa odpowiednio w art. 3 pkt 44 rozporządzenia 167/2013, art. 3 pkt 58 rozporządzenia 168/2013, art. 3 pkt 34 rozporządzenia 2018/858 albo art. 3 pkt 3 rozporządzenia 2019/1020</w:t>
            </w:r>
            <w:r w:rsidRPr="00FB76A9">
              <w:rPr>
                <w:rFonts w:ascii="Times New Roman" w:eastAsia="Times New Roman" w:hAnsi="Times New Roman" w:cs="Times New Roman"/>
                <w:sz w:val="24"/>
                <w:szCs w:val="24"/>
                <w:lang w:eastAsia="pl-PL"/>
              </w:rPr>
              <w:t>;”</w:t>
            </w:r>
          </w:p>
        </w:tc>
        <w:tc>
          <w:tcPr>
            <w:tcW w:w="1504" w:type="dxa"/>
            <w:tcBorders>
              <w:left w:val="single" w:sz="4" w:space="0" w:color="auto"/>
              <w:right w:val="single" w:sz="4" w:space="0" w:color="auto"/>
            </w:tcBorders>
          </w:tcPr>
          <w:p w14:paraId="41E092E3"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tc>
      </w:tr>
      <w:tr w:rsidR="00E55F04" w:rsidRPr="00FB76A9" w14:paraId="33C1D0D5" w14:textId="77777777" w:rsidTr="00344C09">
        <w:trPr>
          <w:trHeight w:val="429"/>
        </w:trPr>
        <w:tc>
          <w:tcPr>
            <w:tcW w:w="797" w:type="dxa"/>
            <w:tcBorders>
              <w:top w:val="single" w:sz="4" w:space="0" w:color="auto"/>
              <w:left w:val="single" w:sz="4" w:space="0" w:color="auto"/>
              <w:bottom w:val="single" w:sz="4" w:space="0" w:color="auto"/>
              <w:right w:val="single" w:sz="4" w:space="0" w:color="auto"/>
            </w:tcBorders>
          </w:tcPr>
          <w:p w14:paraId="65187405" w14:textId="77777777" w:rsidR="00E55F04" w:rsidRPr="00FB76A9" w:rsidRDefault="00E55F04"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Art. 8</w:t>
            </w:r>
          </w:p>
        </w:tc>
        <w:tc>
          <w:tcPr>
            <w:tcW w:w="5572" w:type="dxa"/>
            <w:gridSpan w:val="2"/>
            <w:tcBorders>
              <w:top w:val="single" w:sz="4" w:space="0" w:color="auto"/>
              <w:left w:val="single" w:sz="4" w:space="0" w:color="auto"/>
              <w:bottom w:val="single" w:sz="4" w:space="0" w:color="auto"/>
              <w:right w:val="single" w:sz="4" w:space="0" w:color="auto"/>
            </w:tcBorders>
          </w:tcPr>
          <w:p w14:paraId="7627D987" w14:textId="77777777" w:rsidR="00E55F04" w:rsidRPr="00FB76A9" w:rsidRDefault="00E55F04" w:rsidP="00FD5CD5">
            <w:pPr>
              <w:autoSpaceDE w:val="0"/>
              <w:autoSpaceDN w:val="0"/>
              <w:adjustRightInd w:val="0"/>
              <w:spacing w:after="0" w:line="240" w:lineRule="auto"/>
              <w:rPr>
                <w:rFonts w:ascii="Times New Roman" w:eastAsia="Times New Roman" w:hAnsi="Times New Roman" w:cs="Times New Roman"/>
                <w:sz w:val="24"/>
                <w:szCs w:val="24"/>
                <w:lang w:eastAsia="pl-PL"/>
              </w:rPr>
            </w:pPr>
            <w:r w:rsidRPr="00FB76A9">
              <w:rPr>
                <w:rFonts w:ascii="Times New Roman" w:hAnsi="Times New Roman" w:cs="Times New Roman"/>
                <w:sz w:val="24"/>
                <w:szCs w:val="24"/>
              </w:rPr>
              <w:t>„Art. 8.1</w:t>
            </w:r>
            <w:r w:rsidRPr="00FB76A9">
              <w:rPr>
                <w:rFonts w:ascii="Times New Roman" w:eastAsia="Times New Roman" w:hAnsi="Times New Roman" w:cs="Times New Roman"/>
                <w:sz w:val="24"/>
                <w:szCs w:val="24"/>
                <w:lang w:eastAsia="pl-PL"/>
              </w:rPr>
              <w:t xml:space="preserve">. W odniesieniu do pojazdów, układów, komponentów i oddzielnych zespołów technicznych posiadających homologację typu organy nadzoru rynku prowadzą na odpowiednią skalę stosowne kontrole dokumentacji, uwzględniając ustalone zasady oceny ryzyka, skargi i inne informacje. </w:t>
            </w:r>
          </w:p>
          <w:p w14:paraId="71D0F797" w14:textId="77777777" w:rsidR="00E55F04" w:rsidRPr="00FB76A9" w:rsidRDefault="00E55F04" w:rsidP="00FD5CD5">
            <w:pPr>
              <w:autoSpaceDE w:val="0"/>
              <w:autoSpaceDN w:val="0"/>
              <w:adjustRightInd w:val="0"/>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Organy nadzoru rynku mogą wymagać od podmiotów gospodarczych udostępnienia takiej dokumentacji i dostępnych informacji, jakie uznają za niezbędne do wykonywania swojej działalności. </w:t>
            </w:r>
          </w:p>
          <w:p w14:paraId="78B75D41" w14:textId="77777777" w:rsidR="00E55F04" w:rsidRPr="00FB76A9" w:rsidRDefault="00E55F04" w:rsidP="00FD5CD5">
            <w:pPr>
              <w:autoSpaceDE w:val="0"/>
              <w:autoSpaceDN w:val="0"/>
              <w:adjustRightInd w:val="0"/>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W przypadku gdy podmioty gospodarcze przedstawiają świadectwa zgodności, organy nadzoru rynku należycie je uwzględniają. </w:t>
            </w:r>
          </w:p>
          <w:p w14:paraId="2D817B21" w14:textId="77777777" w:rsidR="00E55F04" w:rsidRPr="00FB76A9" w:rsidRDefault="00E55F04" w:rsidP="00FD5CD5">
            <w:pPr>
              <w:pStyle w:val="CM4"/>
              <w:rPr>
                <w:rFonts w:eastAsia="Times New Roman"/>
                <w:lang w:eastAsia="pl-PL"/>
              </w:rPr>
            </w:pPr>
            <w:r w:rsidRPr="00FB76A9">
              <w:rPr>
                <w:rFonts w:eastAsia="Times New Roman"/>
                <w:lang w:eastAsia="pl-PL"/>
              </w:rPr>
              <w:t>2. Do części i wyposażenia innych niż objęte zakresem ust. 1 niniejszego artykułu zastosowanie ma w całości art. 19 ust. 1 rozporządzenia (WE) nr 765/2008.”</w:t>
            </w:r>
          </w:p>
        </w:tc>
        <w:tc>
          <w:tcPr>
            <w:tcW w:w="932" w:type="dxa"/>
            <w:gridSpan w:val="2"/>
            <w:tcBorders>
              <w:top w:val="single" w:sz="4" w:space="0" w:color="auto"/>
              <w:left w:val="single" w:sz="4" w:space="0" w:color="auto"/>
              <w:bottom w:val="single" w:sz="4" w:space="0" w:color="auto"/>
              <w:right w:val="single" w:sz="4" w:space="0" w:color="auto"/>
            </w:tcBorders>
          </w:tcPr>
          <w:p w14:paraId="5B5D65D9" w14:textId="77777777" w:rsidR="00E55F04" w:rsidRPr="00FB76A9" w:rsidRDefault="00E55F04"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715" w:type="dxa"/>
            <w:tcBorders>
              <w:top w:val="single" w:sz="4" w:space="0" w:color="auto"/>
              <w:left w:val="single" w:sz="4" w:space="0" w:color="auto"/>
              <w:bottom w:val="single" w:sz="4" w:space="0" w:color="auto"/>
              <w:right w:val="single" w:sz="4" w:space="0" w:color="auto"/>
            </w:tcBorders>
          </w:tcPr>
          <w:p w14:paraId="29190CE7" w14:textId="77777777" w:rsidR="00E55F04" w:rsidRPr="00FB76A9" w:rsidRDefault="00E55F04"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 1 pkt 21</w:t>
            </w:r>
          </w:p>
        </w:tc>
        <w:tc>
          <w:tcPr>
            <w:tcW w:w="5475" w:type="dxa"/>
            <w:gridSpan w:val="2"/>
            <w:tcBorders>
              <w:top w:val="single" w:sz="4" w:space="0" w:color="auto"/>
              <w:left w:val="single" w:sz="4" w:space="0" w:color="auto"/>
              <w:bottom w:val="single" w:sz="4" w:space="0" w:color="auto"/>
              <w:right w:val="single" w:sz="4" w:space="0" w:color="auto"/>
            </w:tcBorders>
          </w:tcPr>
          <w:p w14:paraId="4110AFF1" w14:textId="77777777" w:rsidR="00E55F04" w:rsidRPr="00FA7954" w:rsidRDefault="00E55F04" w:rsidP="00FD5CD5">
            <w:pPr>
              <w:pStyle w:val="ZROZDZODDZOZNzmoznrozdzoddzartykuempunktem"/>
              <w:spacing w:line="240" w:lineRule="auto"/>
              <w:ind w:left="0"/>
              <w:jc w:val="left"/>
              <w:rPr>
                <w:rFonts w:ascii="Times New Roman" w:hAnsi="Times New Roman" w:cs="Times New Roman"/>
              </w:rPr>
            </w:pPr>
            <w:r w:rsidRPr="00FA7954">
              <w:rPr>
                <w:rFonts w:ascii="Times New Roman" w:hAnsi="Times New Roman" w:cs="Times New Roman"/>
              </w:rPr>
              <w:t>„Rozdział 4b</w:t>
            </w:r>
          </w:p>
          <w:p w14:paraId="383A88F8" w14:textId="77777777" w:rsidR="00E55F04" w:rsidRPr="00FA7954" w:rsidRDefault="00E55F04" w:rsidP="00FD5CD5">
            <w:pPr>
              <w:pStyle w:val="ZROZDZODDZPRZEDMzmprzedmrozdzoddzartykuempunktem"/>
              <w:spacing w:before="0" w:after="0" w:line="240" w:lineRule="auto"/>
              <w:ind w:left="0"/>
              <w:jc w:val="left"/>
              <w:rPr>
                <w:rFonts w:ascii="Times New Roman" w:hAnsi="Times New Roman"/>
              </w:rPr>
            </w:pPr>
            <w:r w:rsidRPr="00FA7954">
              <w:rPr>
                <w:rFonts w:ascii="Times New Roman" w:hAnsi="Times New Roman"/>
              </w:rPr>
              <w:t>Nadzór rynku</w:t>
            </w:r>
          </w:p>
          <w:p w14:paraId="38A55275" w14:textId="77777777" w:rsidR="00E55F04" w:rsidRPr="00FB76A9" w:rsidRDefault="00E55F04"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Art. 68s. 1. Dyrektor TDT jako organ nadzoru rynku jest uprawniony do:</w:t>
            </w:r>
          </w:p>
          <w:p w14:paraId="39592D78" w14:textId="77777777" w:rsidR="00E55F04" w:rsidRPr="00FB76A9" w:rsidRDefault="00E55F04" w:rsidP="005E0F9D">
            <w:pPr>
              <w:pStyle w:val="ZPKTzmpktartykuempunktem"/>
              <w:numPr>
                <w:ilvl w:val="0"/>
                <w:numId w:val="16"/>
              </w:numPr>
              <w:spacing w:line="240" w:lineRule="auto"/>
              <w:jc w:val="left"/>
              <w:rPr>
                <w:rFonts w:ascii="Times New Roman" w:hAnsi="Times New Roman" w:cs="Times New Roman"/>
                <w:szCs w:val="24"/>
              </w:rPr>
            </w:pPr>
            <w:r w:rsidRPr="00FB76A9">
              <w:rPr>
                <w:rFonts w:ascii="Times New Roman" w:hAnsi="Times New Roman" w:cs="Times New Roman"/>
                <w:szCs w:val="24"/>
              </w:rPr>
              <w:t>realizacji czynności, o których mowa w art. 14 ust. 4 rozporządzenia 2019/1020 względem podmiotu gospodarczego lub posiadacza pojazdu, przedmiotu wyposażenia lub części niebędącego użytkownikiem końcowym;</w:t>
            </w:r>
          </w:p>
          <w:p w14:paraId="2D321BB4" w14:textId="77777777" w:rsidR="00E55F04" w:rsidRPr="00FB76A9" w:rsidRDefault="00E55F04" w:rsidP="005E0F9D">
            <w:pPr>
              <w:pStyle w:val="ZPKTzmpktartykuempunktem"/>
              <w:numPr>
                <w:ilvl w:val="0"/>
                <w:numId w:val="16"/>
              </w:numPr>
              <w:spacing w:line="240" w:lineRule="auto"/>
              <w:jc w:val="left"/>
              <w:rPr>
                <w:rFonts w:ascii="Times New Roman" w:hAnsi="Times New Roman" w:cs="Times New Roman"/>
                <w:szCs w:val="24"/>
              </w:rPr>
            </w:pPr>
            <w:r w:rsidRPr="00FB76A9">
              <w:rPr>
                <w:rFonts w:ascii="Times New Roman" w:hAnsi="Times New Roman" w:cs="Times New Roman"/>
                <w:szCs w:val="24"/>
              </w:rPr>
              <w:t>realizacji zadań, o których mowa w art. 12, art. 22−24, rozdziale VII rozporządzenia 2019/1020;</w:t>
            </w:r>
          </w:p>
          <w:p w14:paraId="765D8A53" w14:textId="77777777" w:rsidR="00E55F04" w:rsidRPr="00FB76A9" w:rsidRDefault="00E55F04" w:rsidP="005E0F9D">
            <w:pPr>
              <w:pStyle w:val="ZPKTzmpktartykuempunktem"/>
              <w:numPr>
                <w:ilvl w:val="0"/>
                <w:numId w:val="16"/>
              </w:numPr>
              <w:spacing w:line="240" w:lineRule="auto"/>
              <w:jc w:val="left"/>
              <w:rPr>
                <w:rFonts w:ascii="Times New Roman" w:hAnsi="Times New Roman" w:cs="Times New Roman"/>
                <w:szCs w:val="24"/>
              </w:rPr>
            </w:pPr>
            <w:r w:rsidRPr="00FB76A9">
              <w:rPr>
                <w:rFonts w:ascii="Times New Roman" w:hAnsi="Times New Roman" w:cs="Times New Roman"/>
                <w:szCs w:val="24"/>
              </w:rPr>
              <w:t>wymagania od operatora platformy lub dostawcy usług społeczeństwa informacyjnego przedstawienia informacji niezbędnych do ustalenia własności stron internetowych w toku prowadzenia czynności wyjaśniających, kontroli, badań lub postępowań administracyjnych;</w:t>
            </w:r>
          </w:p>
          <w:p w14:paraId="7D908C5B" w14:textId="77777777" w:rsidR="00E55F04" w:rsidRPr="00FB76A9" w:rsidRDefault="00E55F04" w:rsidP="005E0F9D">
            <w:pPr>
              <w:pStyle w:val="ZPKTzmpktartykuempunktem"/>
              <w:numPr>
                <w:ilvl w:val="0"/>
                <w:numId w:val="16"/>
              </w:numPr>
              <w:spacing w:line="240" w:lineRule="auto"/>
              <w:jc w:val="left"/>
              <w:rPr>
                <w:rFonts w:ascii="Times New Roman" w:hAnsi="Times New Roman" w:cs="Times New Roman"/>
                <w:szCs w:val="24"/>
              </w:rPr>
            </w:pPr>
            <w:r w:rsidRPr="00FB76A9">
              <w:rPr>
                <w:rFonts w:ascii="Times New Roman" w:hAnsi="Times New Roman" w:cs="Times New Roman"/>
                <w:szCs w:val="24"/>
              </w:rPr>
              <w:t xml:space="preserve">wymagania od operatora platformy lub dostawcy usług społeczeństwa informacyjnego podjęcia działań w ramach interfejsu online, w tym usunięcia z interfejsu online treści </w:t>
            </w:r>
            <w:r w:rsidRPr="00FB76A9">
              <w:rPr>
                <w:rFonts w:ascii="Times New Roman" w:hAnsi="Times New Roman" w:cs="Times New Roman"/>
                <w:szCs w:val="24"/>
              </w:rPr>
              <w:lastRenderedPageBreak/>
              <w:t>odnoszących się do pojazdu, przedmiotu wyposażenia i części, wobec których stwierdzono niezgodność z wymaganiami technicznymi lub poważne ryzyko, zawieszenia konta podmiotu gospodarczego na platformie lub wyświetlenia wyraźnego ostrzeżenia dla użytkowników końcowych uzyskujących dostęp do oferty tego pojazdu, przedmiotu wyposażenia lub części;</w:t>
            </w:r>
          </w:p>
          <w:p w14:paraId="2D658927"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5)</w:t>
            </w:r>
            <w:r w:rsidRPr="00FB76A9">
              <w:rPr>
                <w:rFonts w:ascii="Times New Roman" w:hAnsi="Times New Roman" w:cs="Times New Roman"/>
                <w:szCs w:val="24"/>
              </w:rPr>
              <w:tab/>
              <w:t>zasięgania z urzędu niezbędnych opinii eksperckich, w tym  w toku kontroli dokumentów, fizycznej lub laboratoryjnej kontroli pojazdów, przedmiotów wyposażenia lub części lub prowadzonych postępowań administracyjnych;</w:t>
            </w:r>
          </w:p>
          <w:p w14:paraId="2B4B6E04"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6)</w:t>
            </w:r>
            <w:r w:rsidRPr="00FB76A9">
              <w:rPr>
                <w:rFonts w:ascii="Times New Roman" w:hAnsi="Times New Roman" w:cs="Times New Roman"/>
                <w:szCs w:val="24"/>
              </w:rPr>
              <w:tab/>
              <w:t>prowadzenia nieodpłatnych kampanii informacyjnych dla obywateli w mediach publicznych, komercyjnych i społecznościowych;</w:t>
            </w:r>
          </w:p>
          <w:p w14:paraId="07C868EC"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7)</w:t>
            </w:r>
            <w:r w:rsidRPr="00FB76A9">
              <w:rPr>
                <w:rFonts w:ascii="Times New Roman" w:hAnsi="Times New Roman" w:cs="Times New Roman"/>
                <w:szCs w:val="24"/>
              </w:rPr>
              <w:tab/>
              <w:t>opracowania i prowadzenia wykazu pojazdów, przedmiotów wyposażenia lub części niezgodnych z wymaganiami technicznymi lub stwarzających poważne ryzyko, który udostępnia na stronie podmiotowej Transportowego Dozoru Technicznego;</w:t>
            </w:r>
          </w:p>
          <w:p w14:paraId="2E6DD491"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8)</w:t>
            </w:r>
            <w:r w:rsidRPr="00FB76A9">
              <w:rPr>
                <w:rFonts w:ascii="Times New Roman" w:hAnsi="Times New Roman" w:cs="Times New Roman"/>
                <w:szCs w:val="24"/>
              </w:rPr>
              <w:tab/>
              <w:t>opracowania i prowadzenia wykazu akcji serwisowych, który udostępnia na stronie podmiotowej</w:t>
            </w:r>
            <w:r w:rsidRPr="00FB76A9" w:rsidDel="007B42A7">
              <w:rPr>
                <w:rFonts w:ascii="Times New Roman" w:hAnsi="Times New Roman" w:cs="Times New Roman"/>
                <w:szCs w:val="24"/>
              </w:rPr>
              <w:t xml:space="preserve"> </w:t>
            </w:r>
            <w:r w:rsidRPr="00FB76A9">
              <w:rPr>
                <w:rFonts w:ascii="Times New Roman" w:hAnsi="Times New Roman" w:cs="Times New Roman"/>
                <w:szCs w:val="24"/>
              </w:rPr>
              <w:t>Transportowego Dozoru Technicznego;</w:t>
            </w:r>
          </w:p>
          <w:p w14:paraId="4680864F"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9)</w:t>
            </w:r>
            <w:r w:rsidRPr="00FB76A9">
              <w:rPr>
                <w:rFonts w:ascii="Times New Roman" w:hAnsi="Times New Roman" w:cs="Times New Roman"/>
                <w:szCs w:val="24"/>
              </w:rPr>
              <w:tab/>
              <w:t xml:space="preserve">pozyskiwania od podmiotu gospodarczego informacji o przeprowadzanej akcji </w:t>
            </w:r>
            <w:r w:rsidRPr="00FB76A9">
              <w:rPr>
                <w:rFonts w:ascii="Times New Roman" w:hAnsi="Times New Roman" w:cs="Times New Roman"/>
                <w:szCs w:val="24"/>
              </w:rPr>
              <w:lastRenderedPageBreak/>
              <w:t xml:space="preserve">serwisowej w formie powiadomienia, o którym mowa w art. 70 ust. </w:t>
            </w:r>
            <w:r w:rsidR="00BC15FA">
              <w:rPr>
                <w:rFonts w:ascii="Times New Roman" w:hAnsi="Times New Roman" w:cs="Times New Roman"/>
                <w:szCs w:val="24"/>
              </w:rPr>
              <w:t>2</w:t>
            </w:r>
            <w:r w:rsidRPr="00FB76A9">
              <w:rPr>
                <w:rFonts w:ascii="Times New Roman" w:hAnsi="Times New Roman" w:cs="Times New Roman"/>
                <w:szCs w:val="24"/>
              </w:rPr>
              <w:t xml:space="preserve"> lub art. 71 ust. </w:t>
            </w:r>
            <w:r w:rsidR="00BC15FA">
              <w:rPr>
                <w:rFonts w:ascii="Times New Roman" w:hAnsi="Times New Roman" w:cs="Times New Roman"/>
                <w:szCs w:val="24"/>
              </w:rPr>
              <w:t>2</w:t>
            </w:r>
            <w:r w:rsidRPr="00FB76A9">
              <w:rPr>
                <w:rFonts w:ascii="Times New Roman" w:hAnsi="Times New Roman" w:cs="Times New Roman"/>
                <w:szCs w:val="24"/>
              </w:rPr>
              <w:t xml:space="preserve">, w celu umieszczenia ich w systemie szybkiej wymiany informacji, o którym mowa w art. 20 ust. 4 rozporządzenia 2019/1020, zwanym dalej „systemem Safety Gate” i systemie informacyjnym i komunikacyjnym do celów nadzoru rynku, </w:t>
            </w:r>
            <w:r w:rsidRPr="00FB76A9">
              <w:rPr>
                <w:rFonts w:ascii="Times New Roman" w:hAnsi="Times New Roman" w:cs="Times New Roman"/>
                <w:szCs w:val="24"/>
              </w:rPr>
              <w:br/>
              <w:t>o którym mowa w art. 34 ust. 1 rozporządzenia 2019/1020, zwanym dalej „systemem ICSMS” oraz na stronie podmiotowej</w:t>
            </w:r>
            <w:r w:rsidRPr="00FB76A9" w:rsidDel="003014A1">
              <w:rPr>
                <w:rFonts w:ascii="Times New Roman" w:hAnsi="Times New Roman" w:cs="Times New Roman"/>
                <w:szCs w:val="24"/>
              </w:rPr>
              <w:t xml:space="preserve"> </w:t>
            </w:r>
            <w:r w:rsidRPr="00FB76A9">
              <w:rPr>
                <w:rFonts w:ascii="Times New Roman" w:hAnsi="Times New Roman" w:cs="Times New Roman"/>
                <w:szCs w:val="24"/>
              </w:rPr>
              <w:t>Transportowego Dozoru Technicznego;</w:t>
            </w:r>
          </w:p>
          <w:p w14:paraId="4BAD510D"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10)</w:t>
            </w:r>
            <w:r w:rsidRPr="00FB76A9">
              <w:rPr>
                <w:rFonts w:ascii="Times New Roman" w:hAnsi="Times New Roman" w:cs="Times New Roman"/>
                <w:szCs w:val="24"/>
              </w:rPr>
              <w:tab/>
              <w:t>przekazywania do ewidencji informacji o decyzji Dyrektora TDT, o której mowa w art. 68zj ust. 1 lub art. 68zk ust. 12, w zakresie wycofania pojazdu z obrotu lub użytkowania;</w:t>
            </w:r>
          </w:p>
          <w:p w14:paraId="530B3D15"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11)</w:t>
            </w:r>
            <w:r w:rsidRPr="00FB76A9">
              <w:rPr>
                <w:rFonts w:ascii="Times New Roman" w:hAnsi="Times New Roman" w:cs="Times New Roman"/>
                <w:szCs w:val="24"/>
              </w:rPr>
              <w:tab/>
              <w:t>kontroli dokumentów związanych z ładunkiem oraz kontroli fizycznej tego ładunku, przewożonego na drogach publicznych,</w:t>
            </w:r>
            <w:r w:rsidRPr="00FB76A9" w:rsidDel="009C0BFE">
              <w:rPr>
                <w:rFonts w:ascii="Times New Roman" w:hAnsi="Times New Roman" w:cs="Times New Roman"/>
                <w:szCs w:val="24"/>
              </w:rPr>
              <w:t xml:space="preserve"> </w:t>
            </w:r>
            <w:r w:rsidRPr="00FB76A9">
              <w:rPr>
                <w:rFonts w:ascii="Times New Roman" w:hAnsi="Times New Roman" w:cs="Times New Roman"/>
                <w:szCs w:val="24"/>
              </w:rPr>
              <w:t>w zakresie przestrzegania zgodności z aktami prawnymi, dla których jest organem nadzoru rynku zgodnie z art. 3 ust. 3, w ramach wykonywania kontroli ruchu drogowego przez funkcjonariusza Policji, inspektora Inspekcji Transportu Drogowego lub funkcjonariusza Służby Celno-Skarbowej;</w:t>
            </w:r>
          </w:p>
          <w:p w14:paraId="713334E7" w14:textId="77777777" w:rsidR="00E55F04" w:rsidRPr="00FB76A9" w:rsidRDefault="00E55F04" w:rsidP="00FD5CD5">
            <w:pPr>
              <w:pStyle w:val="ZPKTzmpktartykuempunktem"/>
              <w:spacing w:line="240" w:lineRule="auto"/>
              <w:jc w:val="left"/>
              <w:rPr>
                <w:rFonts w:ascii="Times New Roman" w:hAnsi="Times New Roman" w:cs="Times New Roman"/>
                <w:strike/>
                <w:szCs w:val="24"/>
              </w:rPr>
            </w:pPr>
            <w:r w:rsidRPr="00FB76A9">
              <w:rPr>
                <w:rFonts w:ascii="Times New Roman" w:hAnsi="Times New Roman" w:cs="Times New Roman"/>
                <w:szCs w:val="24"/>
              </w:rPr>
              <w:t>12)</w:t>
            </w:r>
            <w:r w:rsidRPr="00FB76A9">
              <w:rPr>
                <w:rFonts w:ascii="Times New Roman" w:hAnsi="Times New Roman" w:cs="Times New Roman"/>
                <w:szCs w:val="24"/>
              </w:rPr>
              <w:tab/>
              <w:t>nieodpłatnego uzyskiwania od organów Krajowej Administracji Skarbowej danych, o których mowa w art. 68zx ust. 2;</w:t>
            </w:r>
          </w:p>
          <w:p w14:paraId="54817FCC"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13)</w:t>
            </w:r>
            <w:r w:rsidRPr="00FB76A9">
              <w:rPr>
                <w:rFonts w:ascii="Times New Roman" w:hAnsi="Times New Roman" w:cs="Times New Roman"/>
                <w:szCs w:val="24"/>
              </w:rPr>
              <w:tab/>
              <w:t>nieodpłatnego dostępu do ewidencji w celu poinformowania użytkowników pojazdów zarejestrowanych na terytorium Rzeczypospolitej Polskiej o akcjach serwisowych;</w:t>
            </w:r>
          </w:p>
          <w:p w14:paraId="071094F2"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14)</w:t>
            </w:r>
            <w:r w:rsidRPr="00FB76A9">
              <w:rPr>
                <w:rFonts w:ascii="Times New Roman" w:hAnsi="Times New Roman" w:cs="Times New Roman"/>
                <w:szCs w:val="24"/>
              </w:rPr>
              <w:tab/>
              <w:t>udziału w badaniach wykonywanych przez laboratoria badawcze wykonujące badania na zlecenie Dyrektora TDT;</w:t>
            </w:r>
          </w:p>
          <w:p w14:paraId="222EC79B"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15)</w:t>
            </w:r>
            <w:r w:rsidRPr="00FB76A9">
              <w:rPr>
                <w:rFonts w:ascii="Times New Roman" w:hAnsi="Times New Roman" w:cs="Times New Roman"/>
                <w:szCs w:val="24"/>
              </w:rPr>
              <w:tab/>
              <w:t>przeprowadzenia badań, o których mowa w art. 7 rozporządzenia 167/2013, art. 8 rozporządzenia 168/2013 oraz art. 8 rozporządzenia 2018/858;</w:t>
            </w:r>
          </w:p>
          <w:p w14:paraId="77AC47EB"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16) </w:t>
            </w:r>
            <w:r w:rsidRPr="00FB76A9">
              <w:rPr>
                <w:rFonts w:ascii="Times New Roman" w:hAnsi="Times New Roman" w:cs="Times New Roman"/>
                <w:szCs w:val="24"/>
              </w:rPr>
              <w:tab/>
              <w:t xml:space="preserve">wymagania od podmiotu gospodarczego informowania użytkowników końcowych o konieczności sprawdzenia stanu technicznego pojazdu w warunkach serwisowych producenta zgodnie z art. 70 ust. </w:t>
            </w:r>
            <w:r w:rsidR="00BC15FA">
              <w:rPr>
                <w:rFonts w:ascii="Times New Roman" w:hAnsi="Times New Roman" w:cs="Times New Roman"/>
                <w:szCs w:val="24"/>
              </w:rPr>
              <w:t>3</w:t>
            </w:r>
            <w:r w:rsidRPr="00FB76A9">
              <w:rPr>
                <w:rFonts w:ascii="Times New Roman" w:hAnsi="Times New Roman" w:cs="Times New Roman"/>
                <w:szCs w:val="24"/>
              </w:rPr>
              <w:t xml:space="preserve"> i art. 71 ust. </w:t>
            </w:r>
            <w:r w:rsidR="00BC15FA">
              <w:rPr>
                <w:rFonts w:ascii="Times New Roman" w:hAnsi="Times New Roman" w:cs="Times New Roman"/>
                <w:szCs w:val="24"/>
              </w:rPr>
              <w:t>3</w:t>
            </w:r>
            <w:r w:rsidRPr="00FB76A9">
              <w:rPr>
                <w:rFonts w:ascii="Times New Roman" w:hAnsi="Times New Roman" w:cs="Times New Roman"/>
                <w:szCs w:val="24"/>
              </w:rPr>
              <w:t xml:space="preserve"> pkt 3; </w:t>
            </w:r>
          </w:p>
          <w:p w14:paraId="274FEE92"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17)</w:t>
            </w:r>
            <w:r w:rsidRPr="00FB76A9">
              <w:rPr>
                <w:rFonts w:ascii="Times New Roman" w:hAnsi="Times New Roman" w:cs="Times New Roman"/>
                <w:szCs w:val="24"/>
              </w:rPr>
              <w:tab/>
              <w:t>wymagania od podmiotu gospodarczego informowania o postępie w realizacji akcji serwisowych co najmniej raz na kwartał;</w:t>
            </w:r>
          </w:p>
          <w:p w14:paraId="4080159B"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18)</w:t>
            </w:r>
            <w:r w:rsidRPr="00FB76A9">
              <w:rPr>
                <w:rFonts w:ascii="Times New Roman" w:hAnsi="Times New Roman" w:cs="Times New Roman"/>
                <w:szCs w:val="24"/>
              </w:rPr>
              <w:tab/>
              <w:t>wymagania przekazania tłumaczenia na język polski dokumentów albo ich części, mających stanowić dowód w sprawie niezbędny do weryfikacji zgodności pojazdu, przedmiotu wyposażenia lub części z wymaganiami technicznymi, sporządzonych w języku obcym w toku prowadzenia czynności wyjaśniających, kontroli, badań lub postępowań administracyjnych.</w:t>
            </w:r>
          </w:p>
          <w:p w14:paraId="0CC9A87D"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2. Przy realizacji zadań w ramach nadzoru rynku Dyrektor TDT oraz pracownicy Transportowego Dozoru Technicznemu lub osoby upoważnione przez Dyrektora TDT do realizacji tych zadań w jego imieniu korzystają z ochrony przewidzianej w art. 222 ustawy z dnia 6 czerwca 1997 r. − Kodeks karny (Dz. U. z 2025 r. poz. 383</w:t>
            </w:r>
            <w:r w:rsidR="00FA7954">
              <w:rPr>
                <w:rFonts w:ascii="Times New Roman" w:hAnsi="Times New Roman" w:cs="Times New Roman"/>
                <w:szCs w:val="24"/>
              </w:rPr>
              <w:t>, 1818 i 1872</w:t>
            </w:r>
            <w:r w:rsidRPr="00FB76A9">
              <w:rPr>
                <w:rFonts w:ascii="Times New Roman" w:hAnsi="Times New Roman" w:cs="Times New Roman"/>
                <w:szCs w:val="24"/>
              </w:rPr>
              <w:t>) dla funkcjonariuszy publicznych.</w:t>
            </w:r>
          </w:p>
          <w:p w14:paraId="2F517A55"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Dyrektor TDT jako organ nadzoru rynku może zawierać porozumienia z Policją lub Strażą gminną (miejską) dotyczące przekazania do użytkowania przyrządów do określania prędkości lub mocy pojazdów, wskazujące warunki i zasady użytkowania tych przyrządów oraz ponoszenia kosztów z tego tytułu. </w:t>
            </w:r>
          </w:p>
          <w:p w14:paraId="63CEEE30" w14:textId="77777777" w:rsidR="00703BF5" w:rsidRPr="00BC15FA" w:rsidRDefault="00703BF5" w:rsidP="00FD5CD5">
            <w:pPr>
              <w:pStyle w:val="ZARTzmartartykuempunktem"/>
              <w:spacing w:line="240" w:lineRule="auto"/>
              <w:jc w:val="left"/>
              <w:rPr>
                <w:rFonts w:ascii="Times New Roman" w:hAnsi="Times New Roman" w:cs="Times New Roman"/>
                <w:szCs w:val="24"/>
              </w:rPr>
            </w:pPr>
            <w:r w:rsidRPr="00BC15FA">
              <w:rPr>
                <w:rFonts w:ascii="Times New Roman" w:hAnsi="Times New Roman" w:cs="Times New Roman"/>
                <w:szCs w:val="24"/>
              </w:rPr>
              <w:t xml:space="preserve">Art. 68t. 1. W przypadku wystąpienia podejrzenia w zakresie spełnienia przez pojazd, przedmiot wyposażenia lub część zgodności z wymaganiami technicznymi lub możliwości wystąpienia poważnego ryzyka Dyrektor TDT jako organ nadzoru rynku przeprowadza ocenę poziomu ryzyka stwarzanego przez pojazd, przedmiot wyposażenia lub część zgodnie z kryteriami określonymi w załączniku II rozporządzenia delegowanego Komisji (UE) 2024/3173 z dnia 27 sierpnia 2024 r. uzupełniające rozporządzenie Parlamentu Europejskiego i Rady (UE) 2023/988 w zakresie zasad dostępu do systemu wczesnego ostrzegania Safety Gate i jego działania, informacji, które mają być do niego wprowadzane, wymagań </w:t>
            </w:r>
            <w:r w:rsidRPr="00BC15FA">
              <w:rPr>
                <w:rFonts w:ascii="Times New Roman" w:hAnsi="Times New Roman" w:cs="Times New Roman"/>
                <w:szCs w:val="24"/>
              </w:rPr>
              <w:lastRenderedPageBreak/>
              <w:t>dotyczących zgłoszeń oraz kryteriów oceny poziomu ryzyka (Dz. Urz. UE L 3173 z 13.12.2024, str. 1 oraz Dz. Urz. UE L 91009 z 12.12.2025, str. 1), zwanego dalej „rozporządzeniem 2024/3173”.</w:t>
            </w:r>
          </w:p>
          <w:p w14:paraId="14948314" w14:textId="77777777" w:rsidR="00E55F04" w:rsidRPr="00FB76A9" w:rsidRDefault="00703BF5" w:rsidP="00FD5CD5">
            <w:pPr>
              <w:pStyle w:val="ZUSTzmustartykuempunktem"/>
              <w:spacing w:line="240" w:lineRule="auto"/>
              <w:jc w:val="left"/>
              <w:rPr>
                <w:rFonts w:ascii="Times New Roman" w:hAnsi="Times New Roman" w:cs="Times New Roman"/>
                <w:szCs w:val="24"/>
              </w:rPr>
            </w:pPr>
            <w:r w:rsidRPr="00BC15FA">
              <w:rPr>
                <w:rFonts w:ascii="Times New Roman" w:hAnsi="Times New Roman" w:cs="Times New Roman"/>
                <w:szCs w:val="24"/>
              </w:rPr>
              <w:t xml:space="preserve">2. Poziom ryzyka w odniesieniu do pojazdu, przedmiotu wyposażenia lub części określony jako „poważny” w załączniku II rozporządzenia 2024/3173 traktuje się jako wysokie ryzyko w odniesieniu do podmiotu gospodarczego w rozumieniu przepisu art. 47 ust. 1 ustawy </w:t>
            </w:r>
            <w:r w:rsidRPr="00BC15FA">
              <w:rPr>
                <w:rFonts w:ascii="Times New Roman" w:hAnsi="Times New Roman" w:cs="Times New Roman"/>
                <w:szCs w:val="24"/>
              </w:rPr>
              <w:softHyphen/>
              <w:t xml:space="preserve"> – Prawo przedsiębiorców.</w:t>
            </w:r>
          </w:p>
          <w:p w14:paraId="20754F5D" w14:textId="77777777" w:rsidR="00E55F04" w:rsidRPr="00FB76A9" w:rsidRDefault="00E55F04" w:rsidP="00FD5CD5">
            <w:pPr>
              <w:pStyle w:val="NormalnyWeb"/>
              <w:spacing w:before="0" w:beforeAutospacing="0" w:after="0" w:afterAutospacing="0"/>
              <w:ind w:left="510"/>
              <w:rPr>
                <w:rFonts w:eastAsiaTheme="minorEastAsia"/>
              </w:rPr>
            </w:pPr>
            <w:r w:rsidRPr="00FB76A9">
              <w:rPr>
                <w:rFonts w:eastAsiaTheme="minorEastAsia"/>
              </w:rPr>
              <w:t>Art. 68u. 1. Dyrektor TDT jako organ nadzoru rynku, dokonuje okresowej analizy prawdopodobieństwa naruszenia przepisów, o której mowa w art. 47 ust. 1 ustawy z dnia 6 marca 2018 r. – Prawo przedsiębiorców.</w:t>
            </w:r>
          </w:p>
          <w:p w14:paraId="4F7265FF" w14:textId="77777777" w:rsidR="00E55F04" w:rsidRPr="00FB76A9" w:rsidRDefault="00BC15FA" w:rsidP="00FD5CD5">
            <w:pPr>
              <w:pStyle w:val="NormalnyWeb"/>
              <w:spacing w:before="0" w:beforeAutospacing="0" w:after="0" w:afterAutospacing="0"/>
              <w:ind w:left="360"/>
              <w:rPr>
                <w:rFonts w:eastAsiaTheme="minorEastAsia"/>
              </w:rPr>
            </w:pPr>
            <w:r>
              <w:rPr>
                <w:rFonts w:eastAsiaTheme="minorEastAsia"/>
              </w:rPr>
              <w:t>2.</w:t>
            </w:r>
            <w:r w:rsidR="00E55F04" w:rsidRPr="00FB76A9">
              <w:rPr>
                <w:rFonts w:eastAsiaTheme="minorEastAsia"/>
              </w:rPr>
              <w:t>Analiza, o której mowa w ust. 1, jest przeprowadzana w oparciu o:</w:t>
            </w:r>
          </w:p>
          <w:p w14:paraId="72BFBEDA" w14:textId="77777777" w:rsidR="00E55F04" w:rsidRPr="00FB76A9" w:rsidRDefault="00E55F04" w:rsidP="005E0F9D">
            <w:pPr>
              <w:pStyle w:val="NormalnyWeb"/>
              <w:numPr>
                <w:ilvl w:val="1"/>
                <w:numId w:val="16"/>
              </w:numPr>
              <w:spacing w:before="0" w:beforeAutospacing="0" w:after="0" w:afterAutospacing="0"/>
              <w:rPr>
                <w:rFonts w:eastAsiaTheme="minorEastAsia"/>
              </w:rPr>
            </w:pPr>
            <w:r w:rsidRPr="00FB76A9">
              <w:rPr>
                <w:rFonts w:eastAsiaTheme="minorEastAsia"/>
              </w:rPr>
              <w:t>wyniki wcześniejszych kontroli;</w:t>
            </w:r>
          </w:p>
          <w:p w14:paraId="41099B85" w14:textId="77777777" w:rsidR="00E55F04" w:rsidRPr="00FB76A9" w:rsidRDefault="00E55F04" w:rsidP="005E0F9D">
            <w:pPr>
              <w:pStyle w:val="NormalnyWeb"/>
              <w:numPr>
                <w:ilvl w:val="1"/>
                <w:numId w:val="16"/>
              </w:numPr>
              <w:spacing w:before="0" w:beforeAutospacing="0" w:after="0" w:afterAutospacing="0"/>
              <w:rPr>
                <w:rFonts w:eastAsiaTheme="minorEastAsia"/>
              </w:rPr>
            </w:pPr>
            <w:r w:rsidRPr="00FB76A9">
              <w:rPr>
                <w:rFonts w:eastAsiaTheme="minorEastAsia"/>
              </w:rPr>
              <w:t>skargi i sygnały z rynku;</w:t>
            </w:r>
          </w:p>
          <w:p w14:paraId="28A00D91" w14:textId="77777777" w:rsidR="00E55F04" w:rsidRPr="00FB76A9" w:rsidRDefault="00E55F04" w:rsidP="005E0F9D">
            <w:pPr>
              <w:pStyle w:val="NormalnyWeb"/>
              <w:numPr>
                <w:ilvl w:val="1"/>
                <w:numId w:val="16"/>
              </w:numPr>
              <w:spacing w:before="0" w:beforeAutospacing="0" w:after="0" w:afterAutospacing="0"/>
              <w:rPr>
                <w:rFonts w:eastAsiaTheme="minorEastAsia"/>
              </w:rPr>
            </w:pPr>
            <w:r w:rsidRPr="00FB76A9">
              <w:rPr>
                <w:rFonts w:eastAsiaTheme="minorEastAsia"/>
              </w:rPr>
              <w:t>dane z systemu Safety Gate oraz systemu ICSMS;</w:t>
            </w:r>
          </w:p>
          <w:p w14:paraId="1F353BC2" w14:textId="77777777" w:rsidR="00E55F04" w:rsidRPr="00FB76A9" w:rsidRDefault="00E55F04" w:rsidP="005E0F9D">
            <w:pPr>
              <w:pStyle w:val="NormalnyWeb"/>
              <w:numPr>
                <w:ilvl w:val="1"/>
                <w:numId w:val="16"/>
              </w:numPr>
              <w:spacing w:before="0" w:beforeAutospacing="0" w:after="0" w:afterAutospacing="0"/>
              <w:rPr>
                <w:rFonts w:eastAsiaTheme="minorEastAsia"/>
              </w:rPr>
            </w:pPr>
            <w:r w:rsidRPr="00FB76A9">
              <w:rPr>
                <w:rFonts w:eastAsiaTheme="minorEastAsia"/>
              </w:rPr>
              <w:t>informacje pochodzące od innych organów;</w:t>
            </w:r>
          </w:p>
          <w:p w14:paraId="58425146" w14:textId="77777777" w:rsidR="00E55F04" w:rsidRPr="00FB76A9" w:rsidRDefault="00E55F04" w:rsidP="005E0F9D">
            <w:pPr>
              <w:pStyle w:val="NormalnyWeb"/>
              <w:numPr>
                <w:ilvl w:val="1"/>
                <w:numId w:val="16"/>
              </w:numPr>
              <w:spacing w:before="0" w:beforeAutospacing="0" w:after="0" w:afterAutospacing="0"/>
              <w:rPr>
                <w:rFonts w:eastAsiaTheme="minorEastAsia"/>
              </w:rPr>
            </w:pPr>
            <w:r w:rsidRPr="00FB76A9">
              <w:rPr>
                <w:rFonts w:eastAsiaTheme="minorEastAsia"/>
              </w:rPr>
              <w:t>dane statystyczne z ostatnich trzech lat dotyczące liczby pojazdów, przedmiotów wyposażenia lub części wprowadzonych do obrotu na terytorium Rzeczypospolitej Polskiej;</w:t>
            </w:r>
          </w:p>
          <w:p w14:paraId="0334D56E" w14:textId="77777777" w:rsidR="00E55F04" w:rsidRPr="00FB76A9" w:rsidRDefault="00E55F04" w:rsidP="005E0F9D">
            <w:pPr>
              <w:pStyle w:val="NormalnyWeb"/>
              <w:numPr>
                <w:ilvl w:val="1"/>
                <w:numId w:val="16"/>
              </w:numPr>
              <w:spacing w:before="0" w:beforeAutospacing="0" w:after="0" w:afterAutospacing="0"/>
              <w:rPr>
                <w:rFonts w:eastAsiaTheme="minorEastAsia"/>
              </w:rPr>
            </w:pPr>
            <w:r w:rsidRPr="00FB76A9">
              <w:rPr>
                <w:rFonts w:eastAsiaTheme="minorEastAsia"/>
              </w:rPr>
              <w:t xml:space="preserve">informacje wymieniane w ciągu ostatnich trzech lat na forum wymiany </w:t>
            </w:r>
            <w:r w:rsidRPr="00FB76A9">
              <w:rPr>
                <w:rFonts w:eastAsiaTheme="minorEastAsia"/>
              </w:rPr>
              <w:lastRenderedPageBreak/>
              <w:t>informacji o egzekwowaniu przepisów, o którym mowa w art. 11 rozporządzenia 2018/858;</w:t>
            </w:r>
          </w:p>
          <w:p w14:paraId="1CEC9F20" w14:textId="77777777" w:rsidR="00E55F04" w:rsidRPr="00FB76A9" w:rsidRDefault="00E55F04" w:rsidP="005E0F9D">
            <w:pPr>
              <w:pStyle w:val="NormalnyWeb"/>
              <w:numPr>
                <w:ilvl w:val="1"/>
                <w:numId w:val="16"/>
              </w:numPr>
              <w:spacing w:before="0" w:beforeAutospacing="0" w:after="0" w:afterAutospacing="0"/>
              <w:rPr>
                <w:rFonts w:eastAsiaTheme="minorEastAsia"/>
              </w:rPr>
            </w:pPr>
            <w:r w:rsidRPr="00FB76A9">
              <w:rPr>
                <w:rFonts w:eastAsiaTheme="minorEastAsia"/>
              </w:rPr>
              <w:t>informacje z badań opublikowanych w ciągu ostatnich trzech lat przez strony trzecie w odniesieniu do pojazdów, przedmiotów wyposażenia lub części;</w:t>
            </w:r>
          </w:p>
          <w:p w14:paraId="3CA15104" w14:textId="77777777" w:rsidR="00E55F04" w:rsidRPr="00FB76A9" w:rsidRDefault="00E55F04" w:rsidP="005E0F9D">
            <w:pPr>
              <w:pStyle w:val="NormalnyWeb"/>
              <w:numPr>
                <w:ilvl w:val="1"/>
                <w:numId w:val="16"/>
              </w:numPr>
              <w:spacing w:before="0" w:beforeAutospacing="0" w:after="0" w:afterAutospacing="0"/>
              <w:rPr>
                <w:rFonts w:eastAsiaTheme="minorEastAsia"/>
              </w:rPr>
            </w:pPr>
            <w:r w:rsidRPr="00FB76A9">
              <w:rPr>
                <w:rFonts w:eastAsiaTheme="minorEastAsia"/>
              </w:rPr>
              <w:t>zgodność z wymaganiami technicznymi oraz ocenę poziomów ryzyka stwarzanego przez pojazd, przedmiot wyposażenia lub część;</w:t>
            </w:r>
          </w:p>
          <w:p w14:paraId="13ADCE63" w14:textId="77777777" w:rsidR="00E55F04" w:rsidRPr="00FB76A9" w:rsidRDefault="00E55F04" w:rsidP="005E0F9D">
            <w:pPr>
              <w:pStyle w:val="NormalnyWeb"/>
              <w:numPr>
                <w:ilvl w:val="1"/>
                <w:numId w:val="16"/>
              </w:numPr>
              <w:spacing w:before="0" w:beforeAutospacing="0" w:after="0" w:afterAutospacing="0"/>
              <w:rPr>
                <w:rFonts w:eastAsiaTheme="minorEastAsia"/>
              </w:rPr>
            </w:pPr>
            <w:r w:rsidRPr="00FB76A9">
              <w:rPr>
                <w:rFonts w:eastAsiaTheme="minorEastAsia"/>
              </w:rPr>
              <w:t>analizy branżowe.</w:t>
            </w:r>
          </w:p>
          <w:p w14:paraId="0DD36DD5" w14:textId="77777777" w:rsidR="00E55F04" w:rsidRPr="00FB76A9" w:rsidRDefault="00E55F04" w:rsidP="00FD5CD5">
            <w:pPr>
              <w:pStyle w:val="NormalnyWeb"/>
              <w:spacing w:before="0" w:beforeAutospacing="0" w:after="0" w:afterAutospacing="0"/>
              <w:ind w:left="510" w:firstLine="510"/>
              <w:rPr>
                <w:rFonts w:eastAsiaTheme="minorEastAsia"/>
              </w:rPr>
            </w:pPr>
            <w:r w:rsidRPr="00FB76A9">
              <w:rPr>
                <w:rFonts w:eastAsiaTheme="minorEastAsia"/>
              </w:rPr>
              <w:t>3. Na podstawie analizy ryzyka Dyrektor TDT jako organ nadzoru rynku przypisuje podmioty gospodarcze do kategorii ryzyka, zróżnicowanych ze względu na prawdopodobieństwo naruszenia przepisów oraz możliwe skutki takiego naruszenia.</w:t>
            </w:r>
          </w:p>
          <w:p w14:paraId="03292AE5" w14:textId="77777777" w:rsidR="00E55F04" w:rsidRPr="00FB76A9" w:rsidRDefault="00E55F04" w:rsidP="00FD5CD5">
            <w:pPr>
              <w:pStyle w:val="NormalnyWeb"/>
              <w:spacing w:before="0" w:beforeAutospacing="0" w:after="0" w:afterAutospacing="0"/>
              <w:ind w:left="510" w:firstLine="510"/>
              <w:rPr>
                <w:rFonts w:eastAsiaTheme="minorEastAsia"/>
              </w:rPr>
            </w:pPr>
            <w:r w:rsidRPr="00FB76A9">
              <w:rPr>
                <w:rFonts w:eastAsiaTheme="minorEastAsia"/>
              </w:rPr>
              <w:t>4. Kategoryzacja ryzyka stanowi podstawę planowania, o którym mowa w art. 47 ust. 1 ustawy z dnia 6 marca 2018 r. – Prawo przedsiębiorców, i prowadzenia działań kontrolnych.</w:t>
            </w:r>
          </w:p>
          <w:p w14:paraId="5D5F549A" w14:textId="77777777" w:rsidR="00E55F04" w:rsidRPr="00FB76A9" w:rsidRDefault="00E55F04" w:rsidP="00FD5CD5">
            <w:pPr>
              <w:pStyle w:val="NormalnyWeb"/>
              <w:spacing w:before="0" w:beforeAutospacing="0" w:after="0" w:afterAutospacing="0"/>
              <w:ind w:left="510" w:firstLine="510"/>
              <w:rPr>
                <w:rFonts w:eastAsiaTheme="minorEastAsia"/>
              </w:rPr>
            </w:pPr>
            <w:r w:rsidRPr="00FB76A9">
              <w:rPr>
                <w:rFonts w:eastAsiaTheme="minorEastAsia"/>
              </w:rPr>
              <w:t xml:space="preserve">Art. 68v. 1. Dyrektor TDT jako organ nadzoru rynku w celu realizacji zadań może korzystać z danych osobowych o osobie obejmujących: imię i nazwisko, numer identyfikacyjny PESEL, w przypadku braku numeru PESEL datę urodzenia, obywatelstwo, numer dokumentu tożsamości, numer NIP, adres zamieszkania wraz z adresem prowadzenia działalności gospodarczej, numer telefonu, adres </w:t>
            </w:r>
            <w:r w:rsidRPr="00FB76A9">
              <w:rPr>
                <w:rFonts w:eastAsiaTheme="minorEastAsia"/>
              </w:rPr>
              <w:lastRenderedPageBreak/>
              <w:t>poczty elektronicznej, w tym również w formie zapisu elektronicznego, uzyskanych przez inne organy, służby i instytucje państwowe.</w:t>
            </w:r>
          </w:p>
          <w:p w14:paraId="2D3D87BE" w14:textId="77777777" w:rsidR="00E55F04" w:rsidRPr="00FB76A9" w:rsidRDefault="00E55F04" w:rsidP="00FD5CD5">
            <w:pPr>
              <w:pStyle w:val="NormalnyWeb"/>
              <w:spacing w:before="0" w:beforeAutospacing="0" w:after="0" w:afterAutospacing="0"/>
              <w:ind w:left="510" w:firstLine="510"/>
              <w:rPr>
                <w:rFonts w:eastAsiaTheme="minorEastAsia"/>
              </w:rPr>
            </w:pPr>
            <w:r w:rsidRPr="00FB76A9">
              <w:rPr>
                <w:rFonts w:eastAsiaTheme="minorEastAsia"/>
              </w:rPr>
              <w:t>2. Administrator danych osobowych, o których mowa w ust. 1, jest obowiązany udostępnić te dane inspektorowi Transportowego Dozoru Technicznemu wskazanemu w imiennym upoważnieniu Dyrektora TDT, po okazaniu tego upoważnienia oraz legitymacji służbowej.</w:t>
            </w:r>
          </w:p>
          <w:p w14:paraId="2C8D4ECE" w14:textId="77777777" w:rsidR="00703BF5" w:rsidRPr="00BC15FA" w:rsidRDefault="00703BF5" w:rsidP="00FD5CD5">
            <w:pPr>
              <w:pStyle w:val="NormalnyWeb"/>
              <w:spacing w:before="0" w:beforeAutospacing="0" w:after="0" w:afterAutospacing="0"/>
              <w:ind w:left="510" w:firstLine="510"/>
              <w:rPr>
                <w:rFonts w:eastAsiaTheme="minorEastAsia"/>
              </w:rPr>
            </w:pPr>
            <w:r w:rsidRPr="00BC15FA">
              <w:rPr>
                <w:rFonts w:eastAsiaTheme="minorEastAsia"/>
              </w:rPr>
              <w:t>3. Administratorem danych osobowych, o których mowa w ust. 1, jest:</w:t>
            </w:r>
          </w:p>
          <w:p w14:paraId="4414F2F4" w14:textId="77777777" w:rsidR="00703BF5" w:rsidRPr="00BC15FA" w:rsidRDefault="00703BF5" w:rsidP="005E0F9D">
            <w:pPr>
              <w:pStyle w:val="NormalnyWeb"/>
              <w:numPr>
                <w:ilvl w:val="1"/>
                <w:numId w:val="26"/>
              </w:numPr>
              <w:spacing w:before="0" w:beforeAutospacing="0" w:after="0" w:afterAutospacing="0"/>
              <w:rPr>
                <w:rFonts w:eastAsiaTheme="minorEastAsia"/>
              </w:rPr>
            </w:pPr>
            <w:r w:rsidRPr="00BC15FA">
              <w:rPr>
                <w:rFonts w:eastAsiaTheme="minorEastAsia"/>
              </w:rPr>
              <w:t>minister właściwy do spraw administracji publicznej;</w:t>
            </w:r>
          </w:p>
          <w:p w14:paraId="72B9445E" w14:textId="77777777" w:rsidR="00703BF5" w:rsidRPr="00BC15FA" w:rsidRDefault="00703BF5" w:rsidP="005E0F9D">
            <w:pPr>
              <w:pStyle w:val="NormalnyWeb"/>
              <w:numPr>
                <w:ilvl w:val="1"/>
                <w:numId w:val="26"/>
              </w:numPr>
              <w:spacing w:before="0" w:beforeAutospacing="0" w:after="0" w:afterAutospacing="0"/>
              <w:rPr>
                <w:rFonts w:eastAsiaTheme="minorEastAsia"/>
              </w:rPr>
            </w:pPr>
            <w:r w:rsidRPr="00BC15FA">
              <w:rPr>
                <w:rFonts w:eastAsiaTheme="minorEastAsia"/>
              </w:rPr>
              <w:t>minister właściwy do spraw finansów publicznych;</w:t>
            </w:r>
          </w:p>
          <w:p w14:paraId="4880C029" w14:textId="77777777" w:rsidR="00703BF5" w:rsidRPr="00BC15FA" w:rsidRDefault="00703BF5" w:rsidP="005E0F9D">
            <w:pPr>
              <w:pStyle w:val="NormalnyWeb"/>
              <w:numPr>
                <w:ilvl w:val="1"/>
                <w:numId w:val="26"/>
              </w:numPr>
              <w:spacing w:before="0" w:beforeAutospacing="0" w:after="0" w:afterAutospacing="0"/>
              <w:rPr>
                <w:rFonts w:eastAsiaTheme="minorEastAsia"/>
              </w:rPr>
            </w:pPr>
            <w:r w:rsidRPr="00BC15FA">
              <w:rPr>
                <w:rFonts w:eastAsiaTheme="minorEastAsia"/>
              </w:rPr>
              <w:t>minister właściwy do spraw gospodarki;</w:t>
            </w:r>
          </w:p>
          <w:p w14:paraId="0E58C209" w14:textId="77777777" w:rsidR="00703BF5" w:rsidRPr="00BC15FA" w:rsidRDefault="00703BF5" w:rsidP="005E0F9D">
            <w:pPr>
              <w:pStyle w:val="NormalnyWeb"/>
              <w:numPr>
                <w:ilvl w:val="1"/>
                <w:numId w:val="26"/>
              </w:numPr>
              <w:spacing w:before="0" w:beforeAutospacing="0" w:after="0" w:afterAutospacing="0"/>
              <w:rPr>
                <w:rFonts w:eastAsiaTheme="minorEastAsia"/>
              </w:rPr>
            </w:pPr>
            <w:r w:rsidRPr="00BC15FA">
              <w:rPr>
                <w:rFonts w:eastAsiaTheme="minorEastAsia"/>
              </w:rPr>
              <w:t>minister właściwy do spraw informatyzacji;</w:t>
            </w:r>
          </w:p>
          <w:p w14:paraId="7E187E46" w14:textId="77777777" w:rsidR="00703BF5" w:rsidRPr="00BC15FA" w:rsidRDefault="00703BF5" w:rsidP="005E0F9D">
            <w:pPr>
              <w:pStyle w:val="NormalnyWeb"/>
              <w:numPr>
                <w:ilvl w:val="1"/>
                <w:numId w:val="26"/>
              </w:numPr>
              <w:spacing w:before="0" w:beforeAutospacing="0" w:after="0" w:afterAutospacing="0"/>
              <w:rPr>
                <w:rFonts w:eastAsiaTheme="minorEastAsia"/>
              </w:rPr>
            </w:pPr>
            <w:r w:rsidRPr="00BC15FA">
              <w:rPr>
                <w:rFonts w:eastAsiaTheme="minorEastAsia"/>
              </w:rPr>
              <w:t>minister właściwy do spraw pracy;</w:t>
            </w:r>
          </w:p>
          <w:p w14:paraId="0CB14DAD" w14:textId="77777777" w:rsidR="00703BF5" w:rsidRPr="00BC15FA" w:rsidRDefault="00703BF5" w:rsidP="005E0F9D">
            <w:pPr>
              <w:pStyle w:val="NormalnyWeb"/>
              <w:numPr>
                <w:ilvl w:val="1"/>
                <w:numId w:val="26"/>
              </w:numPr>
              <w:spacing w:before="0" w:beforeAutospacing="0" w:after="0" w:afterAutospacing="0"/>
              <w:rPr>
                <w:rFonts w:eastAsiaTheme="minorEastAsia"/>
              </w:rPr>
            </w:pPr>
            <w:r w:rsidRPr="00BC15FA">
              <w:rPr>
                <w:rFonts w:eastAsiaTheme="minorEastAsia"/>
              </w:rPr>
              <w:t>minister właściwy do spraw transportu;</w:t>
            </w:r>
          </w:p>
          <w:p w14:paraId="08FD9E46" w14:textId="77777777" w:rsidR="00703BF5" w:rsidRPr="00BC15FA" w:rsidRDefault="00703BF5" w:rsidP="005E0F9D">
            <w:pPr>
              <w:pStyle w:val="NormalnyWeb"/>
              <w:numPr>
                <w:ilvl w:val="1"/>
                <w:numId w:val="26"/>
              </w:numPr>
              <w:spacing w:before="0" w:beforeAutospacing="0" w:after="0" w:afterAutospacing="0"/>
              <w:rPr>
                <w:rFonts w:eastAsiaTheme="minorEastAsia"/>
              </w:rPr>
            </w:pPr>
            <w:r w:rsidRPr="00BC15FA">
              <w:rPr>
                <w:rFonts w:eastAsiaTheme="minorEastAsia"/>
              </w:rPr>
              <w:t xml:space="preserve">minister właściwy do spraw środowiska; </w:t>
            </w:r>
          </w:p>
          <w:p w14:paraId="04AD8E4B" w14:textId="77777777" w:rsidR="00703BF5" w:rsidRPr="00BC15FA" w:rsidRDefault="00703BF5" w:rsidP="005E0F9D">
            <w:pPr>
              <w:pStyle w:val="NormalnyWeb"/>
              <w:numPr>
                <w:ilvl w:val="1"/>
                <w:numId w:val="26"/>
              </w:numPr>
              <w:spacing w:before="0" w:beforeAutospacing="0" w:after="0" w:afterAutospacing="0"/>
              <w:rPr>
                <w:rFonts w:eastAsiaTheme="minorEastAsia"/>
              </w:rPr>
            </w:pPr>
            <w:r w:rsidRPr="00BC15FA">
              <w:rPr>
                <w:rFonts w:eastAsiaTheme="minorEastAsia"/>
              </w:rPr>
              <w:t>organy właściwe w sprawach rejestracji pojazdów;</w:t>
            </w:r>
            <w:r w:rsidRPr="00BC15FA">
              <w:rPr>
                <w:rFonts w:eastAsiaTheme="minorEastAsia"/>
              </w:rPr>
              <w:tab/>
            </w:r>
          </w:p>
          <w:p w14:paraId="113882D4" w14:textId="77777777" w:rsidR="00703BF5" w:rsidRPr="00BC15FA" w:rsidRDefault="00703BF5" w:rsidP="005E0F9D">
            <w:pPr>
              <w:pStyle w:val="NormalnyWeb"/>
              <w:numPr>
                <w:ilvl w:val="1"/>
                <w:numId w:val="26"/>
              </w:numPr>
              <w:spacing w:before="0" w:beforeAutospacing="0" w:after="0" w:afterAutospacing="0"/>
              <w:rPr>
                <w:rFonts w:eastAsiaTheme="minorEastAsia"/>
              </w:rPr>
            </w:pPr>
            <w:r w:rsidRPr="00BC15FA">
              <w:rPr>
                <w:rFonts w:eastAsiaTheme="minorEastAsia"/>
              </w:rPr>
              <w:t>organy kontroli ruchu drogowego;</w:t>
            </w:r>
          </w:p>
          <w:p w14:paraId="3FFFBF9B" w14:textId="77777777" w:rsidR="00703BF5" w:rsidRPr="00BC15FA" w:rsidRDefault="00703BF5" w:rsidP="005E0F9D">
            <w:pPr>
              <w:pStyle w:val="NormalnyWeb"/>
              <w:numPr>
                <w:ilvl w:val="1"/>
                <w:numId w:val="26"/>
              </w:numPr>
              <w:spacing w:before="0" w:beforeAutospacing="0" w:after="0" w:afterAutospacing="0"/>
              <w:rPr>
                <w:rFonts w:eastAsiaTheme="minorEastAsia"/>
              </w:rPr>
            </w:pPr>
            <w:r w:rsidRPr="00BC15FA">
              <w:rPr>
                <w:rFonts w:eastAsiaTheme="minorEastAsia"/>
              </w:rPr>
              <w:t>Szef Krajowej Administracji Skarbowej;</w:t>
            </w:r>
          </w:p>
          <w:p w14:paraId="516666D0" w14:textId="77777777" w:rsidR="00703BF5" w:rsidRPr="00BC15FA" w:rsidRDefault="00703BF5" w:rsidP="005E0F9D">
            <w:pPr>
              <w:pStyle w:val="NormalnyWeb"/>
              <w:numPr>
                <w:ilvl w:val="1"/>
                <w:numId w:val="26"/>
              </w:numPr>
              <w:spacing w:before="0" w:beforeAutospacing="0" w:after="0" w:afterAutospacing="0"/>
              <w:rPr>
                <w:rFonts w:eastAsiaTheme="minorEastAsia"/>
              </w:rPr>
            </w:pPr>
            <w:r w:rsidRPr="00BC15FA">
              <w:rPr>
                <w:rFonts w:eastAsiaTheme="minorEastAsia"/>
              </w:rPr>
              <w:t>Prezes Urzędu Ochrony Konkurencji i Konsumentów;</w:t>
            </w:r>
          </w:p>
          <w:p w14:paraId="60831AAB" w14:textId="77777777" w:rsidR="00703BF5" w:rsidRPr="00BC15FA" w:rsidRDefault="00703BF5" w:rsidP="005E0F9D">
            <w:pPr>
              <w:pStyle w:val="NormalnyWeb"/>
              <w:numPr>
                <w:ilvl w:val="1"/>
                <w:numId w:val="26"/>
              </w:numPr>
              <w:spacing w:before="0" w:beforeAutospacing="0" w:after="0" w:afterAutospacing="0"/>
              <w:rPr>
                <w:rFonts w:eastAsiaTheme="minorEastAsia"/>
              </w:rPr>
            </w:pPr>
            <w:r w:rsidRPr="00BC15FA">
              <w:rPr>
                <w:rFonts w:eastAsiaTheme="minorEastAsia"/>
              </w:rPr>
              <w:t>Komendant Główny Straży Granicznej;</w:t>
            </w:r>
          </w:p>
          <w:p w14:paraId="20A2FB8C" w14:textId="77777777" w:rsidR="00703BF5" w:rsidRPr="00BC15FA" w:rsidRDefault="00703BF5" w:rsidP="005E0F9D">
            <w:pPr>
              <w:pStyle w:val="NormalnyWeb"/>
              <w:numPr>
                <w:ilvl w:val="1"/>
                <w:numId w:val="26"/>
              </w:numPr>
              <w:spacing w:before="0" w:beforeAutospacing="0" w:after="0" w:afterAutospacing="0"/>
              <w:rPr>
                <w:rFonts w:eastAsiaTheme="minorEastAsia"/>
              </w:rPr>
            </w:pPr>
            <w:r w:rsidRPr="00BC15FA">
              <w:rPr>
                <w:rFonts w:eastAsiaTheme="minorEastAsia"/>
              </w:rPr>
              <w:t>Główny Inspektor Pracy;</w:t>
            </w:r>
          </w:p>
          <w:p w14:paraId="2798F324" w14:textId="77777777" w:rsidR="00703BF5" w:rsidRPr="00BC15FA" w:rsidRDefault="00703BF5" w:rsidP="005E0F9D">
            <w:pPr>
              <w:pStyle w:val="NormalnyWeb"/>
              <w:numPr>
                <w:ilvl w:val="1"/>
                <w:numId w:val="26"/>
              </w:numPr>
              <w:spacing w:before="0" w:beforeAutospacing="0" w:after="0" w:afterAutospacing="0"/>
              <w:rPr>
                <w:rFonts w:eastAsiaTheme="minorEastAsia"/>
              </w:rPr>
            </w:pPr>
            <w:r w:rsidRPr="00BC15FA">
              <w:lastRenderedPageBreak/>
              <w:t>Główny Inspektor Ochrony Środowiska;</w:t>
            </w:r>
          </w:p>
          <w:p w14:paraId="31B47848" w14:textId="77777777" w:rsidR="00703BF5" w:rsidRPr="00BC15FA" w:rsidRDefault="00703BF5" w:rsidP="005E0F9D">
            <w:pPr>
              <w:pStyle w:val="NormalnyWeb"/>
              <w:numPr>
                <w:ilvl w:val="1"/>
                <w:numId w:val="26"/>
              </w:numPr>
              <w:spacing w:before="0" w:beforeAutospacing="0" w:after="0" w:afterAutospacing="0"/>
              <w:rPr>
                <w:rFonts w:eastAsiaTheme="minorEastAsia"/>
              </w:rPr>
            </w:pPr>
            <w:r w:rsidRPr="00BC15FA">
              <w:t>Prezes Wyższego Urzędu Górniczego;</w:t>
            </w:r>
          </w:p>
          <w:p w14:paraId="73773194" w14:textId="77777777" w:rsidR="00E55F04" w:rsidRPr="00BC15FA" w:rsidRDefault="00703BF5" w:rsidP="005E0F9D">
            <w:pPr>
              <w:pStyle w:val="NormalnyWeb"/>
              <w:numPr>
                <w:ilvl w:val="1"/>
                <w:numId w:val="26"/>
              </w:numPr>
              <w:spacing w:before="0" w:beforeAutospacing="0" w:after="0" w:afterAutospacing="0"/>
              <w:rPr>
                <w:rFonts w:eastAsiaTheme="minorEastAsia"/>
              </w:rPr>
            </w:pPr>
            <w:r w:rsidRPr="00BC15FA">
              <w:t>Prezes Urzędu Rejestracji Produktów Leczniczych, Wyrobów Medycznych i Produktów Biobójczych.</w:t>
            </w:r>
          </w:p>
          <w:p w14:paraId="3EB5E949"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68w. 1. Operator platformy oraz dostawca usług społeczeństwa informacyjnego jest obowiązany do współpracy z Dyrektorem TDT jako organem nadzoru rynku w toku prowadzenia przez niego czynności wyjaśniających, kontroli, badań lub postępowań administracyjnych w zakresie przedstawienia informacji niezbędnych do ustalenia własności interfejsu online, w tym własności stron internetowych, za pomocą których podmiot gospodarczy lub posiadacz pojazdu, przedmiotu wyposażenia lub części niebędący użytkownikiem końcowym, oferuje pojazd, przedmiot wyposażenia lub część do sprzedaży na odległość oraz informacji na temat tych podmiotów oraz ich działalności w zakresie sprzedaży na odległość. </w:t>
            </w:r>
          </w:p>
          <w:p w14:paraId="63C36C5C"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Operator platformy oraz dostawca usług społeczeństwa informacyjnego jest obowiązany do współpracy z Dyrektorem TDT jako organem nadzoru rynku w zakresie działań w ramach interfejsu online, w tym usuwania z interfejsu online treści odnoszących się do pojazdu, przedmiotu wyposażenia i części wobec których stwierdzono niezgodność z wymaganiami technicznymi lub poważne ryzyko, wyświetlania </w:t>
            </w:r>
            <w:r w:rsidRPr="00FB76A9">
              <w:rPr>
                <w:rFonts w:ascii="Times New Roman" w:hAnsi="Times New Roman" w:cs="Times New Roman"/>
                <w:szCs w:val="24"/>
              </w:rPr>
              <w:lastRenderedPageBreak/>
              <w:t xml:space="preserve">wyraźnego ostrzeżenia dla użytkowników końcowych uzyskujących dostęp do oferty tego pojazdu, przedmiotu wyposażenia lub części lub zawieszania konta podmiotu gospodarczego na platformie posiadającego oferty pojazdu, przedmiotu wyposażenia i części.  </w:t>
            </w:r>
          </w:p>
          <w:p w14:paraId="5B20F344" w14:textId="77777777" w:rsidR="00E55F04" w:rsidRPr="00FB76A9" w:rsidRDefault="00E55F04"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68x. 1. Informacje objęte tajemnicą przedsiębiorstwa rozumiane jako nieujawnione do wiadomości publicznej informacje techniczne, technologiczne oraz organizacyjne przedsiębiorstwa lub inne informacje, co do których przedsiębiorca podjął niezbędne działania w celu zachowania ich poufności, mogą być wykorzystane wyłącznie do celów, do których zostały zgromadzone, z uwzględnieniem ust. 2 i 3.</w:t>
            </w:r>
          </w:p>
          <w:p w14:paraId="1A215C7C"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Uzyskane w toku prowadzonych kontroli lub postępowań informacje, o których mowa w ust. 1, w tym objęte tajemnicą przedsiębiorstwa, oraz dowody, podlegają ujawnieniu, jeżeli jest to niezbędne ze względu na konieczność usunięcia niezgodności pojazdu, przedmiotu wyposażenie lub części z wymaganiami technicznymi lub stwarzania przez nich poważnego ryzyka w przypadku odmowy ich usunięcia przez podmiot gospodarczy.</w:t>
            </w:r>
          </w:p>
          <w:p w14:paraId="0CE5C04A" w14:textId="77777777" w:rsidR="00E55F04" w:rsidRPr="00FB76A9" w:rsidRDefault="00E55F04"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Dyrektor TDT jako organ nadzoru rynku może ujawnić informacje, o których mowa w ust. 1, w tym objęte tajemnicą przedsiębiorstwa, oraz dowody uzyskane w toku kontroli lub prowadzonych postępowań, w zakresie </w:t>
            </w:r>
            <w:r w:rsidRPr="00FB76A9">
              <w:rPr>
                <w:rFonts w:ascii="Times New Roman" w:hAnsi="Times New Roman" w:cs="Times New Roman"/>
                <w:szCs w:val="24"/>
              </w:rPr>
              <w:lastRenderedPageBreak/>
              <w:t>niezbędnym do uzasadnienia podjętych w postępowaniu rozstrzygnięć.</w:t>
            </w:r>
          </w:p>
          <w:p w14:paraId="650E960C" w14:textId="77777777" w:rsidR="00E55F04" w:rsidRPr="00FB76A9" w:rsidRDefault="00E55F04"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Art. 68y. 1. Dyrektor TDT jako organ nadzoru rynku z urzędu przeprowadza niezapowiedziane kontrole albo jeżeli uzna to za stosowne – kontrole zapowiedziane, w zakresie weryfikacji spełniania wymagań technicznych przez pojazdy, przedmioty wyposażenia lub części lub stwarzania przez nich ryzyka, w szczególności, gdy uzna zasadność ich wszczęcia, z zachowaniem zasady proporcjonalności, konieczności oraz minimalnej uciążliwości dla podmiotu gospodarczego:</w:t>
            </w:r>
          </w:p>
          <w:p w14:paraId="7B9F28EA" w14:textId="77777777" w:rsidR="00E55F04" w:rsidRPr="00FB76A9" w:rsidRDefault="00E55F04" w:rsidP="00FD5CD5">
            <w:pPr>
              <w:pStyle w:val="ZLITwPKTzmlitwpk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na podstawie działań własnych Dyrektora TDT jako organu nadzoru rynku;</w:t>
            </w:r>
          </w:p>
          <w:p w14:paraId="23F1A20E" w14:textId="77777777" w:rsidR="00E55F04" w:rsidRPr="00FB76A9" w:rsidRDefault="00E55F04" w:rsidP="00FD5CD5">
            <w:pPr>
              <w:pStyle w:val="ZLITwPKTzmlitwpk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w związku z informacjami przekazanymi przez Komisję Europejską, inny organ nadzoru rynku, jednolity urząd łącznikowy, o którym mowa w art. 10 ust. 3 rozporządzenia 2019/1020, lub organy celne państw członkowskich Unii Europejskiej;</w:t>
            </w:r>
          </w:p>
          <w:p w14:paraId="07E2AF1B"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na podstawie innych informacji, w tym skarg użytkowników końcowych, informacji pochodzących od organów Krajowej Administracji Skarbowej, innych organów administracji publicznej, organizacji zrzeszających konsumentów, organizacji zrzeszających podmioty gospodarcze lub mediów</w:t>
            </w:r>
          </w:p>
          <w:p w14:paraId="1E64653E"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jeżeli wskazują one na uzasadnione podejrzenie:</w:t>
            </w:r>
          </w:p>
          <w:p w14:paraId="0C8CCB7A" w14:textId="77777777" w:rsidR="00E55F04" w:rsidRPr="00FB76A9" w:rsidRDefault="00E55F04" w:rsidP="00FD5CD5">
            <w:pPr>
              <w:pStyle w:val="ZPKTzmpktartykuempunktem"/>
              <w:spacing w:line="240" w:lineRule="auto"/>
              <w:ind w:left="1418" w:hanging="425"/>
              <w:jc w:val="left"/>
              <w:rPr>
                <w:rFonts w:ascii="Times New Roman" w:hAnsi="Times New Roman" w:cs="Times New Roman"/>
                <w:szCs w:val="24"/>
              </w:rPr>
            </w:pPr>
            <w:r w:rsidRPr="00FB76A9">
              <w:rPr>
                <w:rFonts w:ascii="Times New Roman" w:hAnsi="Times New Roman" w:cs="Times New Roman"/>
                <w:szCs w:val="24"/>
              </w:rPr>
              <w:lastRenderedPageBreak/>
              <w:t>a)</w:t>
            </w:r>
            <w:r w:rsidRPr="00FB76A9">
              <w:rPr>
                <w:rFonts w:ascii="Times New Roman" w:hAnsi="Times New Roman" w:cs="Times New Roman"/>
                <w:szCs w:val="24"/>
              </w:rPr>
              <w:tab/>
              <w:t>poważnego ryzyka dla życia, zdrowia, bezpieczeństwa, środowiska lub jakiegokolwiek innego interesu publicznego, o których mowa w art. 1 ust. 1 rozporządzenia 2019/1020,</w:t>
            </w:r>
          </w:p>
          <w:p w14:paraId="1066B388" w14:textId="77777777" w:rsidR="00E55F04" w:rsidRPr="00FB76A9" w:rsidRDefault="00E55F04" w:rsidP="00FD5CD5">
            <w:pPr>
              <w:pStyle w:val="ZPKTzmpktartykuempunktem"/>
              <w:spacing w:line="240" w:lineRule="auto"/>
              <w:ind w:left="1418" w:hanging="425"/>
              <w:jc w:val="left"/>
              <w:rPr>
                <w:rFonts w:ascii="Times New Roman" w:hAnsi="Times New Roman" w:cs="Times New Roman"/>
                <w:szCs w:val="24"/>
              </w:rPr>
            </w:pPr>
            <w:r w:rsidRPr="00FB76A9">
              <w:rPr>
                <w:rFonts w:ascii="Times New Roman" w:hAnsi="Times New Roman" w:cs="Times New Roman"/>
                <w:szCs w:val="24"/>
              </w:rPr>
              <w:t>b)</w:t>
            </w:r>
            <w:r w:rsidRPr="00FB76A9">
              <w:rPr>
                <w:rFonts w:ascii="Times New Roman" w:hAnsi="Times New Roman" w:cs="Times New Roman"/>
                <w:szCs w:val="24"/>
              </w:rPr>
              <w:tab/>
              <w:t>popełnienia przestępstwa lub wykroczenia,</w:t>
            </w:r>
          </w:p>
          <w:p w14:paraId="4F022253" w14:textId="77777777" w:rsidR="00E55F04" w:rsidRPr="00FB76A9" w:rsidRDefault="00E55F04" w:rsidP="00FD5CD5">
            <w:pPr>
              <w:pStyle w:val="ZPKTzmpktartykuempunktem"/>
              <w:spacing w:line="240" w:lineRule="auto"/>
              <w:ind w:left="1418" w:hanging="425"/>
              <w:jc w:val="left"/>
              <w:rPr>
                <w:rFonts w:ascii="Times New Roman" w:hAnsi="Times New Roman" w:cs="Times New Roman"/>
                <w:szCs w:val="24"/>
              </w:rPr>
            </w:pPr>
            <w:r w:rsidRPr="00FB76A9">
              <w:rPr>
                <w:rFonts w:ascii="Times New Roman" w:hAnsi="Times New Roman" w:cs="Times New Roman"/>
                <w:szCs w:val="24"/>
              </w:rPr>
              <w:t>c)</w:t>
            </w:r>
            <w:r w:rsidRPr="00FB76A9">
              <w:rPr>
                <w:rFonts w:ascii="Times New Roman" w:hAnsi="Times New Roman" w:cs="Times New Roman"/>
                <w:szCs w:val="24"/>
              </w:rPr>
              <w:tab/>
              <w:t>popełnienia przestępstwa skarbowego lub wykroczenia skarbowego,</w:t>
            </w:r>
          </w:p>
          <w:p w14:paraId="1FEBB3A7" w14:textId="77777777" w:rsidR="00E55F04" w:rsidRPr="00FB76A9" w:rsidRDefault="00E55F04" w:rsidP="00FD5CD5">
            <w:pPr>
              <w:pStyle w:val="ZPKTzmpktartykuempunktem"/>
              <w:spacing w:line="240" w:lineRule="auto"/>
              <w:ind w:left="1418" w:hanging="425"/>
              <w:jc w:val="left"/>
              <w:rPr>
                <w:rFonts w:ascii="Times New Roman" w:hAnsi="Times New Roman" w:cs="Times New Roman"/>
                <w:szCs w:val="24"/>
              </w:rPr>
            </w:pPr>
            <w:r w:rsidRPr="00FB76A9">
              <w:rPr>
                <w:rFonts w:ascii="Times New Roman" w:hAnsi="Times New Roman" w:cs="Times New Roman"/>
                <w:szCs w:val="24"/>
              </w:rPr>
              <w:t>d)</w:t>
            </w:r>
            <w:r w:rsidRPr="00FB76A9">
              <w:rPr>
                <w:rFonts w:ascii="Times New Roman" w:hAnsi="Times New Roman" w:cs="Times New Roman"/>
                <w:szCs w:val="24"/>
              </w:rPr>
              <w:tab/>
              <w:t>niezgodności pojazdu, przedmiotu wyposażenia lub części z wymaganiami technicznymi, które mają do niego zastosowanie,</w:t>
            </w:r>
          </w:p>
          <w:p w14:paraId="3057DDEB" w14:textId="77777777" w:rsidR="00E55F04" w:rsidRPr="00FB76A9" w:rsidRDefault="00E55F04" w:rsidP="00FD5CD5">
            <w:pPr>
              <w:pStyle w:val="ZPKTzmpktartykuempunktem"/>
              <w:spacing w:line="240" w:lineRule="auto"/>
              <w:ind w:left="1418" w:hanging="425"/>
              <w:jc w:val="left"/>
              <w:rPr>
                <w:rFonts w:ascii="Times New Roman" w:hAnsi="Times New Roman" w:cs="Times New Roman"/>
                <w:szCs w:val="24"/>
              </w:rPr>
            </w:pPr>
            <w:r w:rsidRPr="00FB76A9">
              <w:rPr>
                <w:rFonts w:ascii="Times New Roman" w:hAnsi="Times New Roman" w:cs="Times New Roman"/>
                <w:szCs w:val="24"/>
              </w:rPr>
              <w:t>e)</w:t>
            </w:r>
            <w:r w:rsidRPr="00FB76A9">
              <w:rPr>
                <w:rFonts w:ascii="Times New Roman" w:hAnsi="Times New Roman" w:cs="Times New Roman"/>
                <w:szCs w:val="24"/>
              </w:rPr>
              <w:tab/>
              <w:t>innego naruszenia prawnego zakazu lub niedopełnienia prawnego obowiązku</w:t>
            </w:r>
          </w:p>
          <w:p w14:paraId="35E94874" w14:textId="77777777" w:rsidR="00E55F04" w:rsidRPr="00FB76A9" w:rsidRDefault="00E55F04" w:rsidP="00FD5CD5">
            <w:pPr>
              <w:pStyle w:val="ZLITwPKTzmlitwpk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 w wyniku wykonywania działalności gospodarczej objętej kontrolą;</w:t>
            </w:r>
          </w:p>
          <w:p w14:paraId="518D59F0" w14:textId="77777777" w:rsidR="00E55F04" w:rsidRPr="00FB76A9" w:rsidRDefault="00E55F04"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2. Kontrole, o których mowa w ust. 1, są przeprowadzane na podstawie  analizy ryzyka uwzględniającej:</w:t>
            </w:r>
          </w:p>
          <w:p w14:paraId="36C03730" w14:textId="77777777" w:rsidR="00E55F04" w:rsidRPr="00FB76A9" w:rsidRDefault="00E55F04"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możliwe niebezpieczeństwa i niezgodności związane z pojazdami, przedmiotami wyposażenia lub części oraz, o ile informacje w tym zakresie są dostępne, częstotliwość ich występowania na rynku;</w:t>
            </w:r>
          </w:p>
          <w:p w14:paraId="0711EE9A" w14:textId="77777777" w:rsidR="00E55F04" w:rsidRPr="00FB76A9" w:rsidRDefault="00E55F04"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działania i operacje kontrolowane przez podmiot gospodarczy;</w:t>
            </w:r>
          </w:p>
          <w:p w14:paraId="55FB4C55" w14:textId="77777777" w:rsidR="00E55F04" w:rsidRPr="00FB76A9" w:rsidRDefault="00E55F04"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 xml:space="preserve">zarejestrowaną u danego podmiotu gospodarczego historię występowania niezgodności pojazdów, przedmiotów </w:t>
            </w:r>
            <w:r w:rsidRPr="00FB76A9">
              <w:rPr>
                <w:rFonts w:ascii="Times New Roman" w:hAnsi="Times New Roman" w:cs="Times New Roman"/>
                <w:szCs w:val="24"/>
              </w:rPr>
              <w:lastRenderedPageBreak/>
              <w:t>wyposażenia lub części z wymaganiami technicznymi.</w:t>
            </w:r>
          </w:p>
          <w:p w14:paraId="24AC302C" w14:textId="77777777" w:rsidR="00BC15FA" w:rsidRPr="00BC15FA" w:rsidRDefault="00BC15FA" w:rsidP="00FD5CD5">
            <w:pPr>
              <w:pStyle w:val="ZARTzmartartykuempunktem"/>
              <w:keepNext/>
              <w:spacing w:line="240" w:lineRule="auto"/>
              <w:jc w:val="left"/>
              <w:rPr>
                <w:rFonts w:ascii="Times New Roman" w:hAnsi="Times New Roman" w:cs="Times New Roman"/>
                <w:szCs w:val="24"/>
              </w:rPr>
            </w:pPr>
            <w:r w:rsidRPr="00BC15FA">
              <w:rPr>
                <w:rFonts w:ascii="Times New Roman" w:hAnsi="Times New Roman" w:cs="Times New Roman"/>
                <w:szCs w:val="24"/>
              </w:rPr>
              <w:t>3. Do kontroli pojazdów, przedmiotów wyposażenia lub części, o której mowa w ust. 1, w zakresie nieuregulowanym w niniejszej ustawie stosuje się przepisy rozdziału 5 ustawy z dnia 6 marca 2018 r. – Prawo przedsiębiorców, z tym że do kontroli niezapowiedzianej nie stosuje się art. 48 tej ustawy.</w:t>
            </w:r>
          </w:p>
          <w:p w14:paraId="7CC0D2E9" w14:textId="77777777" w:rsidR="00E55F04" w:rsidRPr="00FB76A9" w:rsidRDefault="00E55F04"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4. Do treści zawiadomienia o zamiarze wszczęcia kontroli stosuje się przepisy art. 48 ust. 3 ustawy – Prawo przedsiębiorców.</w:t>
            </w:r>
          </w:p>
          <w:p w14:paraId="0C682710" w14:textId="77777777" w:rsidR="00E55F04" w:rsidRPr="00FB76A9" w:rsidRDefault="00E55F04" w:rsidP="00FD5CD5">
            <w:pPr>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5. W przypadku podjęcia i prowadzenia kontroli u podmiotu gospodarczego przez inny organ, Dyrektor TDT w trakcie trwania tej kontroli może pobrać próbkę pojazdu, przedmiotu wyposażenia lub części wraz z wymaganymi dokumentami technicznymi.</w:t>
            </w:r>
          </w:p>
          <w:p w14:paraId="12AF5261" w14:textId="77777777" w:rsidR="00E55F04" w:rsidRPr="00FB76A9" w:rsidRDefault="00E55F04"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 1. Dyrektor TDT jako organ nadzoru rynku z urzędu podejmuje czynności wyjaśniające w sprawie niezgodności pojazdów, przedmiotów wyposażenia lub części z wymaganiami technicznymi lub mogących stwarzać poważne ryzyko.</w:t>
            </w:r>
          </w:p>
          <w:p w14:paraId="6AF8043D" w14:textId="77777777" w:rsidR="00E55F04" w:rsidRPr="00FB76A9" w:rsidRDefault="00E55F04" w:rsidP="00FD5CD5">
            <w:pPr>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2. Czynności wyjaśniające, o których mowa w ust. 1, obejmują uprawnienia Dyrektora TDT jako organu nadzoru rynku określone w art. 14 ust. 4 lit. a</w:t>
            </w:r>
            <w:r w:rsidRPr="00FB76A9">
              <w:rPr>
                <w:rFonts w:ascii="Times New Roman" w:eastAsiaTheme="minorEastAsia" w:hAnsi="Times New Roman" w:cs="Times New Roman"/>
                <w:sz w:val="24"/>
                <w:szCs w:val="24"/>
              </w:rPr>
              <w:t>–</w:t>
            </w:r>
            <w:r w:rsidRPr="00FB76A9">
              <w:rPr>
                <w:rFonts w:ascii="Times New Roman" w:eastAsiaTheme="minorEastAsia" w:hAnsi="Times New Roman" w:cs="Times New Roman"/>
                <w:sz w:val="24"/>
                <w:szCs w:val="24"/>
                <w:lang w:eastAsia="pl-PL"/>
              </w:rPr>
              <w:t>c rozporządzenia 2019/1020.</w:t>
            </w:r>
          </w:p>
          <w:p w14:paraId="47C7906B" w14:textId="77777777" w:rsidR="00E55F04" w:rsidRPr="00FB76A9" w:rsidRDefault="00E55F04"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3. Czynności wyjaśniające, o których mowa w ust. 1, są  realizowane w drodze wystąpienia, które powinno zawierać wskazanie:</w:t>
            </w:r>
          </w:p>
          <w:p w14:paraId="4DFC473D"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zakresu informacji;</w:t>
            </w:r>
          </w:p>
          <w:p w14:paraId="6245DE5A"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 xml:space="preserve">2) </w:t>
            </w:r>
            <w:r w:rsidRPr="00FB76A9">
              <w:rPr>
                <w:rFonts w:ascii="Times New Roman" w:hAnsi="Times New Roman" w:cs="Times New Roman"/>
                <w:szCs w:val="24"/>
              </w:rPr>
              <w:tab/>
              <w:t>celu wystąpienia;</w:t>
            </w:r>
          </w:p>
          <w:p w14:paraId="2D7011D1"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terminu udzielenia informacji.</w:t>
            </w:r>
          </w:p>
          <w:p w14:paraId="3F6840B7" w14:textId="77777777" w:rsidR="00E55F04" w:rsidRPr="00FB76A9" w:rsidRDefault="00E55F04" w:rsidP="00FD5CD5">
            <w:pPr>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4. Podmiot gospodarczy lub posiadacz pojazdu, przedmiotu wyposażenia lub części niebędący użytkownikiem końcowym, do którego Dyrektor TDT jako organ nadzoru rynku skierował wystąpienie, o którym mowa w ust. 3, jest obowiązany w terminie określonym w wystąpieniu przekazać informacje, których wystąpienie dotyczy.</w:t>
            </w:r>
          </w:p>
          <w:p w14:paraId="1D877264"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Dyrektor TDT jako organ nadzoru rynku może podjąć czynności wyjaśniające na podstawie informacji, o których mowa w art. 68y ust. 1.</w:t>
            </w:r>
          </w:p>
          <w:p w14:paraId="703C2BDC"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6. Dyrektor TDT w ramach czynności wyjaśniających na podstawie przekazanych informacji przeprowadza analizę ryzyka, o której mowa w art. 68t ust. 1.</w:t>
            </w:r>
          </w:p>
          <w:p w14:paraId="4F6B8657"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7. Wynik czynności wyjaśniających jest udokumentowany w raporcie, który może stanowić podstawę podjęcia kontroli lub wszczęcia postępowania administracyjnego. Raport pozostawia się w aktach sprawy.</w:t>
            </w:r>
          </w:p>
          <w:p w14:paraId="6B0D9557"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68za. 1. W toku kontroli Dyrektor TDT jako organ nadzoru rynku, w zakresie objętym kontrolą, ma prawo</w:t>
            </w:r>
            <w:r w:rsidR="009A3610">
              <w:rPr>
                <w:rFonts w:ascii="Times New Roman" w:hAnsi="Times New Roman" w:cs="Times New Roman"/>
                <w:szCs w:val="24"/>
              </w:rPr>
              <w:t xml:space="preserve"> </w:t>
            </w:r>
            <w:r w:rsidRPr="00FB76A9">
              <w:rPr>
                <w:rFonts w:ascii="Times New Roman" w:hAnsi="Times New Roman" w:cs="Times New Roman"/>
                <w:szCs w:val="24"/>
              </w:rPr>
              <w:t>do:</w:t>
            </w:r>
          </w:p>
          <w:p w14:paraId="03270D5D"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wstępu na teren nieruchomości, obiektu, lokalu lub ich części oraz środków transportu podmiotu gospodarczego lub posiadacza pojazdu, przedmiotu wyposażenia lub części niebędącego użytkownikiem końcowym;</w:t>
            </w:r>
          </w:p>
          <w:p w14:paraId="0C386BD9"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2)</w:t>
            </w:r>
            <w:r w:rsidRPr="00FB76A9">
              <w:rPr>
                <w:rFonts w:ascii="Times New Roman" w:hAnsi="Times New Roman" w:cs="Times New Roman"/>
                <w:szCs w:val="24"/>
              </w:rPr>
              <w:tab/>
              <w:t>dokonywania oględzin terenu nieruchomości, obiektu, lokalu lub ich części, pojazdów, przedmiotów wyposażenia i części, środków transportu i innych rzeczy związanych z przedmiotem kontroli;</w:t>
            </w:r>
          </w:p>
          <w:p w14:paraId="6B8E2D1D"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żądania od podmiotu gospodarczego przedstawienia odpowiednich dokumentów, specyfikacji technicznych, danych lub informacji na potrzeby oceny zgodności pojazdu, przedmiotu wyposażenia lub części z wymaganiami technicznymi lub stwarzania przez nich ryzyka oraz innych aspektów technicznych pojazdu, przedmiotu wyposażenia lub części, w tym dostępu do wbudowanego oprogramowania w zakresie, w jakim dostęp ten jest niezbędny do oceny zgodności pojazdu, przedmiotu wyposażenia lub części z wymaganiami technicznymi lub stwarzania przez nich poważnego ryzyka, w każdej formie i formacie, niezależne od nośnika danych lub miejsca, w którym takie dokumenty, specyfikacje techniczne, dane lub informacje są przechowywane;</w:t>
            </w:r>
          </w:p>
          <w:p w14:paraId="486594BB"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4)</w:t>
            </w:r>
            <w:r w:rsidRPr="00FB76A9">
              <w:rPr>
                <w:rFonts w:ascii="Times New Roman" w:hAnsi="Times New Roman" w:cs="Times New Roman"/>
                <w:szCs w:val="24"/>
              </w:rPr>
              <w:tab/>
              <w:t xml:space="preserve">żądania poświadczenia za zgodność z oryginałem przez podmiot gospodarczy lub posiadacza pojazdu, przedmiotu wyposażenia lub części niebędącego użytkownikiem końcowym, lub osobę przez niego upoważnioną, otrzymanych kopii dokumentów, specyfikacji technicznych, danych lub informacji lub urzędowego </w:t>
            </w:r>
            <w:r w:rsidRPr="00FB76A9">
              <w:rPr>
                <w:rFonts w:ascii="Times New Roman" w:hAnsi="Times New Roman" w:cs="Times New Roman"/>
                <w:szCs w:val="24"/>
              </w:rPr>
              <w:lastRenderedPageBreak/>
              <w:t>tłumaczenia na język polski dokumentów sporządzonych w języku obcym;</w:t>
            </w:r>
          </w:p>
          <w:p w14:paraId="7C07A784"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5)</w:t>
            </w:r>
            <w:r w:rsidRPr="00FB76A9">
              <w:rPr>
                <w:rFonts w:ascii="Times New Roman" w:hAnsi="Times New Roman" w:cs="Times New Roman"/>
                <w:szCs w:val="24"/>
              </w:rPr>
              <w:tab/>
              <w:t>żądania od podmiotu gospodarczego lub posiadacza pojazdu, przedmiotu wyposażenia lub części niebędącego użytkownikiem końcowym, przedstawienia informacji na temat łańcucha dostaw, szczegółów sieci dystrybucji, liczby pojazdów, przedmiotów wyposażenia lub części udostępnionych na rynku oraz innych modeli o takich samych właściwościach technicznych jak pojazdy, przedmioty wyposażenia lub części</w:t>
            </w:r>
            <w:r w:rsidRPr="00FB76A9" w:rsidDel="00C32ECF">
              <w:rPr>
                <w:rFonts w:ascii="Times New Roman" w:hAnsi="Times New Roman" w:cs="Times New Roman"/>
                <w:szCs w:val="24"/>
              </w:rPr>
              <w:t xml:space="preserve"> </w:t>
            </w:r>
            <w:r w:rsidRPr="00FB76A9">
              <w:rPr>
                <w:rFonts w:ascii="Times New Roman" w:hAnsi="Times New Roman" w:cs="Times New Roman"/>
                <w:szCs w:val="24"/>
              </w:rPr>
              <w:t>będące przedmiotem kontroli, o ile ma to znaczenie dla zgodności z wymaganiami technicznymi lub oceny, czy pojazd, przedmiot wyposażenia lub część stwarzają poważne ryzyko;</w:t>
            </w:r>
          </w:p>
          <w:p w14:paraId="4CB26E23"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6)</w:t>
            </w:r>
            <w:r w:rsidRPr="00FB76A9">
              <w:rPr>
                <w:rFonts w:ascii="Times New Roman" w:hAnsi="Times New Roman" w:cs="Times New Roman"/>
                <w:szCs w:val="24"/>
              </w:rPr>
              <w:tab/>
              <w:t>żądania od podmiotu gospodarczego lub posiadacza pojazdu, przedmiotu wyposażenia lub części niebędącego użytkownikiem końcowym, przedstawienia informacji niezbędnych do ustalenia własności stron internetowych, jeżeli te informacje dotyczą pojazdu, przedmiotu wyposażenia lub części będących przedmiotem kontroli;</w:t>
            </w:r>
          </w:p>
          <w:p w14:paraId="7437FFDD"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7)</w:t>
            </w:r>
            <w:r w:rsidRPr="00FB76A9">
              <w:rPr>
                <w:rFonts w:ascii="Times New Roman" w:hAnsi="Times New Roman" w:cs="Times New Roman"/>
                <w:szCs w:val="24"/>
              </w:rPr>
              <w:tab/>
              <w:t>legitymowania osób w celu potwierdzenia ich tożsamości;</w:t>
            </w:r>
          </w:p>
          <w:p w14:paraId="235FC89C"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8)</w:t>
            </w:r>
            <w:r w:rsidRPr="00FB76A9">
              <w:rPr>
                <w:rFonts w:ascii="Times New Roman" w:hAnsi="Times New Roman" w:cs="Times New Roman"/>
                <w:szCs w:val="24"/>
              </w:rPr>
              <w:tab/>
              <w:t>żądania udzielenia, w wyznaczonym terminie, pisemnych lub ustnych wyjaśnień związanych z przedmiotem kontroli;</w:t>
            </w:r>
          </w:p>
          <w:p w14:paraId="2C9FBDF3"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9)</w:t>
            </w:r>
            <w:r w:rsidRPr="00FB76A9">
              <w:rPr>
                <w:rFonts w:ascii="Times New Roman" w:hAnsi="Times New Roman" w:cs="Times New Roman"/>
                <w:szCs w:val="24"/>
              </w:rPr>
              <w:tab/>
              <w:t>przesłuchiwania osoby w charakterze świadka na okoliczności związane z przedmiotem kontroli;</w:t>
            </w:r>
          </w:p>
          <w:p w14:paraId="0746CC60"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10)</w:t>
            </w:r>
            <w:r w:rsidRPr="00FB76A9">
              <w:rPr>
                <w:rFonts w:ascii="Times New Roman" w:hAnsi="Times New Roman" w:cs="Times New Roman"/>
                <w:szCs w:val="24"/>
              </w:rPr>
              <w:tab/>
              <w:t>zasięgania z urzędu niezbędnych opinii eksperckich w toku kontroli dokumentów, fizycznej lub laboratoryjnej kontroli pojazdów, przedmiotów wyposażenia lub części lub prowadzonych postępowań;</w:t>
            </w:r>
          </w:p>
          <w:p w14:paraId="421B4216"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11)</w:t>
            </w:r>
            <w:r w:rsidRPr="00FB76A9">
              <w:rPr>
                <w:rFonts w:ascii="Times New Roman" w:hAnsi="Times New Roman" w:cs="Times New Roman"/>
                <w:szCs w:val="24"/>
              </w:rPr>
              <w:tab/>
              <w:t>zabezpieczania dowodów, pojazdów, przedmiotów wyposażenia lub części;</w:t>
            </w:r>
          </w:p>
          <w:p w14:paraId="2AC31D36"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12)</w:t>
            </w:r>
            <w:r w:rsidRPr="00FB76A9">
              <w:rPr>
                <w:rFonts w:ascii="Times New Roman" w:hAnsi="Times New Roman" w:cs="Times New Roman"/>
                <w:szCs w:val="24"/>
              </w:rPr>
              <w:tab/>
              <w:t>pobierania nieodpłatnie próbek pojazdów, przedmiotów wyposażenia lub części do kontroli lub badań;</w:t>
            </w:r>
          </w:p>
          <w:p w14:paraId="1A446494"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13)</w:t>
            </w:r>
            <w:r w:rsidRPr="00FB76A9">
              <w:rPr>
                <w:rFonts w:ascii="Times New Roman" w:hAnsi="Times New Roman" w:cs="Times New Roman"/>
                <w:szCs w:val="24"/>
              </w:rPr>
              <w:tab/>
              <w:t>gromadzenia innych niezbędnych dowodów związanych z przedmiotem kontroli, w tym dowodów w postaci elektronicznej.</w:t>
            </w:r>
          </w:p>
          <w:p w14:paraId="4CD351F0"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Osobie upoważnionej do udziału w kontroli, na podstawie art. 68zb ust. 2, przysługują uprawnienia kontrolującego w zakresie wstępu na teren nieruchomości, obiektu, lokalu lub ich części oraz środków transportu podmiotu gospodarczego, posiadacza pojazdu, przedmiotu wyposażenia lub części niebędącego użytkownikiem końcowym, oraz dostępu do dokumentów, specyfikacji technicznych, danych i informacji, o których mowa w ust. 1 pkt 3.</w:t>
            </w:r>
          </w:p>
          <w:p w14:paraId="61FB4BA9"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 celu zapewnienia właściwej dokumentacji przebiegu kontroli, po uprzednim poinformowaniu podmiotu gospodarczego lub posiadacza pojazdu, przedmiotu wyposażenia lub części niebędącego użytkownikiem końcowym, czynności kontrolne, o których mowa w ust. 1, </w:t>
            </w:r>
            <w:r w:rsidRPr="00FB76A9">
              <w:rPr>
                <w:rFonts w:ascii="Times New Roman" w:hAnsi="Times New Roman" w:cs="Times New Roman"/>
                <w:szCs w:val="24"/>
              </w:rPr>
              <w:lastRenderedPageBreak/>
              <w:t>mogą być utrwalane przy pomocy urządzeń rejestrujących obraz lub dźwięk.</w:t>
            </w:r>
          </w:p>
          <w:p w14:paraId="00928CAF"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Dane pozyskane w wyniku rejestracji obrazu lub dźwięku, o których mowa w ust. 3, mogą być przetwarzane przez Dyrektora TDT jako organ nadzoru rynku w celu realizacji zadań w zakresie nadzoru rynku.</w:t>
            </w:r>
          </w:p>
          <w:p w14:paraId="112BB379"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Informatyczne nośniki danych w rozumieniu przepisów o informatyzacji działalności podmiotów realizujących zadania publiczne, na których zarejestrowano przebieg kontroli lub poszczególne czynności w jej toku, stanowią załącznik do protokołu kontroli.</w:t>
            </w:r>
          </w:p>
          <w:p w14:paraId="5490EEA4"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6. Dyrektor TDT jako organ nadzoru rynku przechowuje zapis z utrwalonych czynności kontrolnych, o których mowa w ust. 3 oraz informatyczne nośniki danych, o których mowa w ust. 5, przez okres pięciu lat od dnia zakończenia kontroli. </w:t>
            </w:r>
          </w:p>
          <w:p w14:paraId="571FEC12" w14:textId="77777777" w:rsidR="00E55F04" w:rsidRPr="00FB76A9" w:rsidRDefault="00E55F04" w:rsidP="00FD5CD5">
            <w:pPr>
              <w:pStyle w:val="ZARTzmartartykuempunktem"/>
              <w:spacing w:line="240" w:lineRule="auto"/>
              <w:jc w:val="left"/>
              <w:rPr>
                <w:rFonts w:ascii="Times New Roman" w:hAnsi="Times New Roman" w:cs="Times New Roman"/>
                <w:szCs w:val="24"/>
              </w:rPr>
            </w:pPr>
            <w:r w:rsidRPr="00FB76A9">
              <w:rPr>
                <w:rStyle w:val="Ppogrubienie"/>
                <w:rFonts w:ascii="Times New Roman" w:hAnsi="Times New Roman" w:cs="Times New Roman"/>
                <w:szCs w:val="24"/>
              </w:rPr>
              <w:t xml:space="preserve">7. </w:t>
            </w:r>
            <w:r w:rsidRPr="00FB76A9">
              <w:rPr>
                <w:rFonts w:ascii="Times New Roman" w:hAnsi="Times New Roman" w:cs="Times New Roman"/>
                <w:szCs w:val="24"/>
              </w:rPr>
              <w:t>Kontrola dokumentów lub kontrola fizyczna pojazdu, przedmiotu wyposażenia lub części, może zostać przeprowadzona w siedzibie lub miejscu prowadzenia działalności podmiotu gospodarczego, posiadacza pojazdu, przedmiotu wyposażenia lub części niebędącego użytkownikiem końcowym, lub w siedzibie Transportowego Dozoru Technicznego.</w:t>
            </w:r>
          </w:p>
          <w:p w14:paraId="7EB052A4" w14:textId="77777777" w:rsidR="00E55F04" w:rsidRPr="00FB76A9" w:rsidRDefault="00E55F04"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8. Kontrola laboratoryjna pojazdu, przedmiotu wyposażenia lub części może zostać przeprowadzona w siedzibie lub miejscu prowadzenia działalności podmiotu gospodarczego, posiadacza pojazdu, przedmiotu </w:t>
            </w:r>
            <w:r w:rsidRPr="00FB76A9">
              <w:rPr>
                <w:rFonts w:ascii="Times New Roman" w:hAnsi="Times New Roman" w:cs="Times New Roman"/>
                <w:szCs w:val="24"/>
              </w:rPr>
              <w:lastRenderedPageBreak/>
              <w:t>wyposażenia lub części niebędącego użytkownikiem końcowym, w laboratorium, o którym mowa w art. 68zi, lub w siedzibie Transportowego Dozoru Technicznego.</w:t>
            </w:r>
          </w:p>
          <w:p w14:paraId="4D5F5131" w14:textId="77777777" w:rsidR="00E55F04" w:rsidRPr="00FB76A9" w:rsidRDefault="00E55F04"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68zb. 1. Czynności kontrolne o których mowa w art. 68za ust. 1, w imieniu Dyrektora TDT jako organu nadzoru rynku, wykonują pracownicy Transportowego Dozoru Technicznego lub osoby upoważnione przez Dyrektora TDT do kontroli w jego imieniu, zwani dalej „kontrolującymi”, na podstawie upoważnienia do przeprowadzania kontroli.</w:t>
            </w:r>
          </w:p>
          <w:p w14:paraId="5CBAA921"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W kontroli prowadzonej przez Dyrektora TDT jako organ nadzoru rynku może uczestniczyć upoważniony przedstawiciel właściwego organu nadzoru rynku państwa członkowskiego Unii Europejskiej, do czynności którego stosuje się przepisy dotyczące kontrolującego.</w:t>
            </w:r>
          </w:p>
          <w:p w14:paraId="7FF73924"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Kontrolujący przed rozpoczęciem czynności kontrolnych, o których mowa w art. 68za ust. 1, doręcza podmiotowi gospodarczemu lub posiadaczowi pojazdu, przedmiotu wyposażenia lub części niebędącemu użytkownikiem końcowym, lub osobie przez nich upoważnionej, upoważnienie do przeprowadzenia kontroli oraz okazuje legitymację służbową, a osoby upoważnione do udziału w kontroli, o których mowa w ust. 2, dowód osobisty, paszport lub inny dokument potwierdzający tożsamość.</w:t>
            </w:r>
          </w:p>
          <w:p w14:paraId="4A581855" w14:textId="77777777" w:rsidR="00E55F04" w:rsidRPr="00FB76A9" w:rsidRDefault="00E55F04"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 xml:space="preserve">4. Upoważnienie do przeprowadzenia kontroli lub do udziału w kontroli zawiera: </w:t>
            </w:r>
          </w:p>
          <w:p w14:paraId="30AA5144"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oznaczenie organu kontroli;</w:t>
            </w:r>
          </w:p>
          <w:p w14:paraId="10FC761F"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wskazanie podstawy prawnej;</w:t>
            </w:r>
          </w:p>
          <w:p w14:paraId="404C43A0"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 xml:space="preserve">datę i miejsce wystawienia; </w:t>
            </w:r>
          </w:p>
          <w:p w14:paraId="48CB2C16"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w:t>
            </w:r>
            <w:r w:rsidRPr="00FB76A9">
              <w:rPr>
                <w:rFonts w:ascii="Times New Roman" w:hAnsi="Times New Roman" w:cs="Times New Roman"/>
                <w:szCs w:val="24"/>
              </w:rPr>
              <w:tab/>
              <w:t>imię, nazwisko i stanowisko kontrolującego oraz numer jego legitymacji służbowej, a w przypadku upoważnienia do udziału w kontroli osób, o których mowa w ust. 2 – imiona i nazwiska tych osób oraz numer dowodu osobistego, paszportu lub innego dokumentu potwierdzającego tożsamość;</w:t>
            </w:r>
          </w:p>
          <w:p w14:paraId="35673577"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5)</w:t>
            </w:r>
            <w:r w:rsidRPr="00FB76A9">
              <w:rPr>
                <w:rFonts w:ascii="Times New Roman" w:hAnsi="Times New Roman" w:cs="Times New Roman"/>
                <w:szCs w:val="24"/>
              </w:rPr>
              <w:tab/>
              <w:t>oznaczenie podmiotu gospodarczego lub posiadacza pojazdu, przedmiotu wyposażenia lub części, niebędącego użytkownikiem końcowym, u którego przeprowadzona zostanie kontrola;</w:t>
            </w:r>
          </w:p>
          <w:p w14:paraId="537AD82B"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6) </w:t>
            </w:r>
            <w:r w:rsidRPr="00FB76A9">
              <w:rPr>
                <w:rFonts w:ascii="Times New Roman" w:hAnsi="Times New Roman" w:cs="Times New Roman"/>
                <w:szCs w:val="24"/>
              </w:rPr>
              <w:tab/>
              <w:t>oznaczenie pojazdu, przedmiotu wyposażenia lub części;</w:t>
            </w:r>
          </w:p>
          <w:p w14:paraId="2AC3BD78"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7) </w:t>
            </w:r>
            <w:r w:rsidRPr="00FB76A9">
              <w:rPr>
                <w:rFonts w:ascii="Times New Roman" w:hAnsi="Times New Roman" w:cs="Times New Roman"/>
                <w:szCs w:val="24"/>
              </w:rPr>
              <w:tab/>
              <w:t>określenie rodzaju, formy oraz zakresu przedmiotowego kontroli, w tym okresu objętego kontrolą;</w:t>
            </w:r>
          </w:p>
          <w:p w14:paraId="324861E3"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8) </w:t>
            </w:r>
            <w:r w:rsidRPr="00FB76A9">
              <w:rPr>
                <w:rFonts w:ascii="Times New Roman" w:hAnsi="Times New Roman" w:cs="Times New Roman"/>
                <w:szCs w:val="24"/>
              </w:rPr>
              <w:tab/>
              <w:t>określenie daty rozpoczęcia i przewidywanej daty zakończenia kontroli;</w:t>
            </w:r>
          </w:p>
          <w:p w14:paraId="1DE00B46"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9) </w:t>
            </w:r>
            <w:r w:rsidRPr="00FB76A9">
              <w:rPr>
                <w:rFonts w:ascii="Times New Roman" w:hAnsi="Times New Roman" w:cs="Times New Roman"/>
                <w:szCs w:val="24"/>
              </w:rPr>
              <w:tab/>
              <w:t>podpis osoby udzielającej upoważnienia, z podaniem zajmowanego przez nią stanowiska lub pełnionej funkcji;</w:t>
            </w:r>
          </w:p>
          <w:p w14:paraId="371D2CAF"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10) </w:t>
            </w:r>
            <w:r w:rsidRPr="00FB76A9">
              <w:rPr>
                <w:rFonts w:ascii="Times New Roman" w:hAnsi="Times New Roman" w:cs="Times New Roman"/>
                <w:szCs w:val="24"/>
              </w:rPr>
              <w:tab/>
              <w:t>pouczenie o prawach i obowiązkach podmiotu gospodarczego lub posiadacza pojazdu, przedmiotu wyposażenia lub części.</w:t>
            </w:r>
          </w:p>
          <w:p w14:paraId="75480E83"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5.</w:t>
            </w:r>
            <w:r w:rsidRPr="00FB76A9">
              <w:rPr>
                <w:rFonts w:ascii="Times New Roman" w:hAnsi="Times New Roman" w:cs="Times New Roman"/>
                <w:szCs w:val="24"/>
              </w:rPr>
              <w:tab/>
              <w:t>Kontrolujący podlega przepisom bezpieczeństwa i higieny pracy obowiązującym w miejscu przeprowadzania kontroli.</w:t>
            </w:r>
          </w:p>
          <w:p w14:paraId="6861A8BB"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6. Kontrolujący nie podlega przeszukaniu przewidzianemu w wewnętrznych regulaminach podmiotu gospodarczego lub posiadacza pojazdu, przedmiotu wyposażenia lub części niebędącego użytkownikiem końcowym, u którego wykonuje czynności kontrolne, o których mowa w art. 68za ust. 1.</w:t>
            </w:r>
          </w:p>
          <w:p w14:paraId="0592F291" w14:textId="77777777" w:rsidR="00E55F04" w:rsidRPr="00FB76A9" w:rsidRDefault="00E55F04" w:rsidP="00FD5CD5">
            <w:pPr>
              <w:pStyle w:val="USTustnpkodeksu"/>
              <w:spacing w:line="240" w:lineRule="auto"/>
              <w:ind w:left="510"/>
              <w:jc w:val="left"/>
              <w:rPr>
                <w:rFonts w:ascii="Times New Roman" w:hAnsi="Times New Roman" w:cs="Times New Roman"/>
                <w:szCs w:val="24"/>
              </w:rPr>
            </w:pPr>
            <w:r w:rsidRPr="00FB76A9">
              <w:rPr>
                <w:rFonts w:ascii="Times New Roman" w:hAnsi="Times New Roman" w:cs="Times New Roman"/>
                <w:szCs w:val="24"/>
              </w:rPr>
              <w:t>Art.</w:t>
            </w:r>
            <w:r w:rsidRPr="00FB76A9">
              <w:rPr>
                <w:rStyle w:val="Ppogrubienie"/>
                <w:rFonts w:ascii="Times New Roman" w:hAnsi="Times New Roman" w:cs="Times New Roman"/>
                <w:szCs w:val="24"/>
              </w:rPr>
              <w:t xml:space="preserve"> </w:t>
            </w:r>
            <w:r w:rsidRPr="00FB76A9">
              <w:rPr>
                <w:rFonts w:ascii="Times New Roman" w:hAnsi="Times New Roman" w:cs="Times New Roman"/>
                <w:szCs w:val="24"/>
              </w:rPr>
              <w:t>68zc. 1. Ustalenia kontroli zamieszcza się w protokole kontroli.</w:t>
            </w:r>
          </w:p>
          <w:p w14:paraId="717055FA" w14:textId="77777777" w:rsidR="00E55F04" w:rsidRPr="00FB76A9" w:rsidRDefault="00E55F04"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2. Protokół kontroli zawiera:</w:t>
            </w:r>
          </w:p>
          <w:p w14:paraId="7D9F4596"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 xml:space="preserve">oznaczenie podmiotu gospodarczego lub posiadacza pojazdu, przedmiotu wyposażenia lub części niebędącego użytkownikiem końcowym, u którego przeprowadzona została kontrola; </w:t>
            </w:r>
          </w:p>
          <w:p w14:paraId="623D8FBD"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określenie daty rozpoczęcia i zakończenia kontroli;</w:t>
            </w:r>
          </w:p>
          <w:p w14:paraId="6EC0366D"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oznaczenie pojazdu, przedmiotu wyposażenia lub części;</w:t>
            </w:r>
          </w:p>
          <w:p w14:paraId="5EF4DB99"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w:t>
            </w:r>
            <w:r w:rsidRPr="00FB76A9">
              <w:rPr>
                <w:rFonts w:ascii="Times New Roman" w:hAnsi="Times New Roman" w:cs="Times New Roman"/>
                <w:szCs w:val="24"/>
              </w:rPr>
              <w:tab/>
              <w:t xml:space="preserve">określenie rodzaju, formy oraz zakresu przedmiotowego kontroli, w tym przeprowadzonych w toku kontroli czynności kontrolnych oraz ich przebiegu; </w:t>
            </w:r>
          </w:p>
          <w:p w14:paraId="72995AEA"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5) </w:t>
            </w:r>
            <w:r w:rsidRPr="00FB76A9">
              <w:rPr>
                <w:rFonts w:ascii="Times New Roman" w:hAnsi="Times New Roman" w:cs="Times New Roman"/>
                <w:szCs w:val="24"/>
              </w:rPr>
              <w:tab/>
              <w:t>opis stanu faktycznego ustalonego w toku kontroli;</w:t>
            </w:r>
          </w:p>
          <w:p w14:paraId="0041B727"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6)</w:t>
            </w:r>
            <w:r w:rsidRPr="00FB76A9">
              <w:rPr>
                <w:rFonts w:ascii="Times New Roman" w:hAnsi="Times New Roman" w:cs="Times New Roman"/>
                <w:szCs w:val="24"/>
              </w:rPr>
              <w:tab/>
              <w:t>wykaz załączników;</w:t>
            </w:r>
          </w:p>
          <w:p w14:paraId="741BF542"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7)</w:t>
            </w:r>
            <w:r w:rsidRPr="00FB76A9">
              <w:rPr>
                <w:rFonts w:ascii="Times New Roman" w:hAnsi="Times New Roman" w:cs="Times New Roman"/>
                <w:szCs w:val="24"/>
              </w:rPr>
              <w:tab/>
              <w:t xml:space="preserve">pouczenie podmiotu gospodarczego lub posiadacza pojazdu, przedmiotu wyposażenia lub części, niebędącego </w:t>
            </w:r>
            <w:r w:rsidRPr="00FB76A9">
              <w:rPr>
                <w:rFonts w:ascii="Times New Roman" w:hAnsi="Times New Roman" w:cs="Times New Roman"/>
                <w:szCs w:val="24"/>
              </w:rPr>
              <w:lastRenderedPageBreak/>
              <w:t>użytkownikiem końcowym, o prawie zgłaszania zastrzeżeń do protokołu;</w:t>
            </w:r>
          </w:p>
          <w:p w14:paraId="6F9CD79E"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9) </w:t>
            </w:r>
            <w:r w:rsidRPr="00FB76A9">
              <w:rPr>
                <w:rFonts w:ascii="Times New Roman" w:hAnsi="Times New Roman" w:cs="Times New Roman"/>
                <w:szCs w:val="24"/>
              </w:rPr>
              <w:tab/>
              <w:t>podpis osoby udzielającej upoważnienia, z podaniem zajmowanego przez nią stanowiska lub pełnionej funkcji;</w:t>
            </w:r>
          </w:p>
          <w:p w14:paraId="6F08AD2D"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10)</w:t>
            </w:r>
            <w:r w:rsidRPr="00FB76A9">
              <w:rPr>
                <w:rFonts w:ascii="Times New Roman" w:hAnsi="Times New Roman" w:cs="Times New Roman"/>
                <w:szCs w:val="24"/>
              </w:rPr>
              <w:tab/>
              <w:t>imię, nazwisko i stanowisko służbowe kontrolującego.</w:t>
            </w:r>
          </w:p>
          <w:p w14:paraId="3AE87D07"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Protokół kontroli podpisuje kontrolujący.</w:t>
            </w:r>
          </w:p>
          <w:p w14:paraId="04113BC1" w14:textId="77777777" w:rsidR="00E55F04" w:rsidRPr="00FB76A9" w:rsidRDefault="00E55F04"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4. Protokół kontroli:</w:t>
            </w:r>
          </w:p>
          <w:p w14:paraId="242E1629" w14:textId="77777777" w:rsidR="00E55F04" w:rsidRPr="00FB76A9" w:rsidRDefault="00E55F04" w:rsidP="00FD5CD5">
            <w:pPr>
              <w:pStyle w:val="ZPKTzmpk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doręcza się:</w:t>
            </w:r>
          </w:p>
          <w:p w14:paraId="1714DB78" w14:textId="77777777" w:rsidR="00E55F04" w:rsidRPr="00FB76A9" w:rsidRDefault="00E55F04" w:rsidP="00FD5CD5">
            <w:pPr>
              <w:pStyle w:val="ZLITzmlitartykuempunktem"/>
              <w:spacing w:line="240" w:lineRule="auto"/>
              <w:ind w:left="1418"/>
              <w:jc w:val="left"/>
              <w:rPr>
                <w:rFonts w:ascii="Times New Roman" w:hAnsi="Times New Roman" w:cs="Times New Roman"/>
                <w:szCs w:val="24"/>
              </w:rPr>
            </w:pPr>
            <w:r w:rsidRPr="00FB76A9">
              <w:rPr>
                <w:rFonts w:ascii="Times New Roman" w:hAnsi="Times New Roman" w:cs="Times New Roman"/>
                <w:szCs w:val="24"/>
              </w:rPr>
              <w:t>a)</w:t>
            </w:r>
            <w:r w:rsidRPr="00FB76A9">
              <w:rPr>
                <w:rFonts w:ascii="Times New Roman" w:hAnsi="Times New Roman" w:cs="Times New Roman"/>
                <w:szCs w:val="24"/>
              </w:rPr>
              <w:tab/>
              <w:t>posiadaczowi pojazdu, przedmiotu wyposażenia lub części niebędącego użytkownikiem końcowym, lub osobie przez niego upoważnionej – bez załączników,</w:t>
            </w:r>
          </w:p>
          <w:p w14:paraId="16344364" w14:textId="77777777" w:rsidR="00E55F04" w:rsidRPr="00FB76A9" w:rsidRDefault="00E55F04" w:rsidP="00FD5CD5">
            <w:pPr>
              <w:pStyle w:val="ZLITzmlitartykuempunktem"/>
              <w:spacing w:line="240" w:lineRule="auto"/>
              <w:ind w:left="1418"/>
              <w:jc w:val="left"/>
              <w:rPr>
                <w:rFonts w:ascii="Times New Roman" w:hAnsi="Times New Roman" w:cs="Times New Roman"/>
                <w:szCs w:val="24"/>
              </w:rPr>
            </w:pPr>
            <w:r w:rsidRPr="00FB76A9">
              <w:rPr>
                <w:rFonts w:ascii="Times New Roman" w:hAnsi="Times New Roman" w:cs="Times New Roman"/>
                <w:szCs w:val="24"/>
              </w:rPr>
              <w:t>b)</w:t>
            </w:r>
            <w:r w:rsidRPr="00FB76A9">
              <w:rPr>
                <w:rFonts w:ascii="Times New Roman" w:hAnsi="Times New Roman" w:cs="Times New Roman"/>
                <w:szCs w:val="24"/>
              </w:rPr>
              <w:tab/>
              <w:t>podmiotowi gospodarczemu – wraz z załącznikami;</w:t>
            </w:r>
          </w:p>
          <w:p w14:paraId="6E0A2107"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pozostawia się w aktach sprawy – wraz z załącznikami.</w:t>
            </w:r>
          </w:p>
          <w:p w14:paraId="15A1F13F"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Podmiot gospodarczy oraz posiadacz pojazdu, przedmiotu wyposażenia lub części niebędący użytkownikiem końcowym, może zgłosić zastrzeżenia do protokołu kontroli w terminie 10 dni roboczych od dnia doręczenia protokołu.</w:t>
            </w:r>
          </w:p>
          <w:p w14:paraId="00B0C05A"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6. Dyrektor TDT jako organ nadzoru rynku przedstawia stanowisko do zastrzeżeń zgłoszonych do protokołu kontroli, nie później niż w terminie 10 dni roboczych od dnia ich doręczenia.</w:t>
            </w:r>
          </w:p>
          <w:p w14:paraId="17CFF498"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7. Kontrolujący z urzędu lub na wniosek podmiotu gospodarczego lub posiadacza pojazdu, </w:t>
            </w:r>
            <w:r w:rsidRPr="00FB76A9">
              <w:rPr>
                <w:rFonts w:ascii="Times New Roman" w:hAnsi="Times New Roman" w:cs="Times New Roman"/>
                <w:szCs w:val="24"/>
              </w:rPr>
              <w:lastRenderedPageBreak/>
              <w:t>przedmiotu wyposażenia lub części niebędącego użytkownikiem końcowym, może prostować w protokole kontroli, błędy pisarskie i rachunkowe lub inne oczywiste pomyłki.</w:t>
            </w:r>
          </w:p>
          <w:p w14:paraId="1FE73208" w14:textId="77777777" w:rsidR="00E55F04" w:rsidRPr="00FB76A9" w:rsidRDefault="00E55F04" w:rsidP="00FD5CD5">
            <w:pPr>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Art. 68zd. 1 Dyrektor TDT jako organ nadzoru rynku może zwrócić się do właściwego ze względu na miejsce prowadzenia kontroli, komendanta Policji, zwanego dalej „właściwym miejscowo komendantem Policji”, o udzielenie pomocy, jeżeli istnieje uzasadnione przypuszczenie, że w toku kontroli Dyrektor TDT jako organ nadzoru rynku natrafi na opór, który utrudni lub uniemożliwi mu wykonywanie kontroli.</w:t>
            </w:r>
          </w:p>
          <w:p w14:paraId="03770E7A"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Właściwy miejscowo komendant Policji</w:t>
            </w:r>
            <w:r w:rsidRPr="00FB76A9" w:rsidDel="00962D3D">
              <w:rPr>
                <w:rFonts w:ascii="Times New Roman" w:hAnsi="Times New Roman" w:cs="Times New Roman"/>
                <w:szCs w:val="24"/>
              </w:rPr>
              <w:t xml:space="preserve"> </w:t>
            </w:r>
            <w:r w:rsidRPr="00FB76A9">
              <w:rPr>
                <w:rFonts w:ascii="Times New Roman" w:hAnsi="Times New Roman" w:cs="Times New Roman"/>
                <w:szCs w:val="24"/>
              </w:rPr>
              <w:t xml:space="preserve">zapewnia pomoc w przeprowadzeniu kontroli. </w:t>
            </w:r>
          </w:p>
          <w:p w14:paraId="09730493"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Pomoc udzielana przez Policję polega na zapewnieniu porządku w miejscu przeprowadzania kontroli i osobistego bezpieczeństwa osób obecnych w tym miejscu, a także na ustaleniu tożsamości tych osób.</w:t>
            </w:r>
          </w:p>
          <w:p w14:paraId="1C83379C"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Dyrektor TDT jako organ nadzoru rynku występuje z pisemnym wnioskiem o udzielenie pomocy do komendanta Policji właściwego ze względu na miejsce kontroli, co najmniej 7 dni przed planowanym dniem przeprowadzenia kontroli.</w:t>
            </w:r>
          </w:p>
          <w:p w14:paraId="70F92057"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W przypadkach niecierpiących zwłoki Dyrektor TDT jako organ nadzoru rynku występuje z wnioskiem, o którym mowa w ust 4, co najmniej 3 dni przed planowanym dniem przeprowadzenia kontroli.</w:t>
            </w:r>
          </w:p>
          <w:p w14:paraId="205AA8CC"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 xml:space="preserve">6. Jeżeli istnieje poważne zagrożenie dla życia, zdrowia ludzkiego lub bezpieczeństwa i porządku publicznego w miejscu przeprowadzania kontroli albo uzasadnione podejrzenie wystąpienia takiego zagrożenia, albo w toku wykonywania kontroli kontrolujący natrafił na opór, który utrudnia lub uniemożliwia mu wykonywanie kontroli, wniosek, o którym mowa w ust. 4, może być złożony ustnie przez kontrolującego w imieniu Dyrektora TDT jako organu nadzoru rynku, bez zachowania określonego terminu, po okazaniu upoważnienia do przeprowadzenia kontroli oraz legitymacji służbowej kontrolującego. </w:t>
            </w:r>
          </w:p>
          <w:p w14:paraId="510A6DA7"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7. W przypadku, o którym mowa w ust. 6, Dyrektor TDT jako organ nadzoru rynku, nie później niż w terminie 3 dni od dnia zakończenia kontroli, przekazuje na piśmie potwierdzenie złożonego ustnie wniosku.</w:t>
            </w:r>
          </w:p>
          <w:p w14:paraId="181D8DD1"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8. Koszty poniesione przez Policję z tytułu udzielonej pomocy w przeprowadzeniu kontroli ponosi podmiot gospodarczy lub posiadacz pojazdu, przedmiotu wyposażenia lub części, niebędący użytkownikiem końcowym, u którego przeprowadzana jest kontrola.</w:t>
            </w:r>
          </w:p>
          <w:p w14:paraId="40D63EDA"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9. Koszty pomocy udzielonej przez właściwego miejscowo komendanta Policji ustala się w wysokości rzeczywistych wydatków poniesionych na udzielenie pomocy.</w:t>
            </w:r>
          </w:p>
          <w:p w14:paraId="76360650"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10. W przypadku, gdy zwrócenie się o pomoc do właściwego miejscowo komendanta Policji było bezzasadne, koszty udzielonej </w:t>
            </w:r>
            <w:r w:rsidRPr="00FB76A9">
              <w:rPr>
                <w:rFonts w:ascii="Times New Roman" w:hAnsi="Times New Roman" w:cs="Times New Roman"/>
                <w:szCs w:val="24"/>
              </w:rPr>
              <w:lastRenderedPageBreak/>
              <w:t>pomocy ponosi Dyrektor TDT jako organ nadzoru rynku.</w:t>
            </w:r>
          </w:p>
          <w:p w14:paraId="119D1218"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11. Dyrektor TDT jako organ nadzoru rynku, w drodze decyzji administracyjnej, obciąża podmiot gospodarczy lub posiadacza pojazdu, przedmiotu wyposażenia lub części niebędącego użytkownikiem końcowym, u którego przeprowadzana była kontrola,</w:t>
            </w:r>
            <w:r w:rsidRPr="00FB76A9" w:rsidDel="00714083">
              <w:rPr>
                <w:rFonts w:ascii="Times New Roman" w:hAnsi="Times New Roman" w:cs="Times New Roman"/>
                <w:szCs w:val="24"/>
              </w:rPr>
              <w:t xml:space="preserve"> </w:t>
            </w:r>
            <w:r w:rsidRPr="00FB76A9">
              <w:rPr>
                <w:rFonts w:ascii="Times New Roman" w:hAnsi="Times New Roman" w:cs="Times New Roman"/>
                <w:szCs w:val="24"/>
              </w:rPr>
              <w:t>kosztami pomocy udzielonej przez właściwego miejscowo komendanta Policji określając termin ich uiszczenia.</w:t>
            </w:r>
          </w:p>
          <w:p w14:paraId="51CBCCE7" w14:textId="77777777" w:rsidR="00E55F04" w:rsidRPr="00FB76A9" w:rsidRDefault="00E55F04"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68ze. 1. Dyrektor TDT jako organ nadzoru rynku w ramach kontroli laboratoryjnej poddaje badaniom pojazdy, przedmioty wyposażenia lub części lub zleca przeprowadzenie tych badań w laboratoriach, o których mowa w art. 68zi, w celu stwierdzenia czy te pojazdy, przedmioty wyposażenia lub części spełniają wymagania techniczne lub stwarzają poważne ryzyko.</w:t>
            </w:r>
          </w:p>
          <w:p w14:paraId="12809DE0"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 celu poddania pojazdu, przedmiotu wyposażenia lub części badaniom w ramach kontroli laboratoryjnej, o której mowa w ust. 1, Dyrektor TDT jako organ nadzoru rynku pobiera nieodpłatnie pojazdy, przedmioty wyposażenia lub części </w:t>
            </w:r>
            <w:r w:rsidR="00FA7954">
              <w:rPr>
                <w:rFonts w:ascii="Times New Roman" w:hAnsi="Times New Roman" w:cs="Times New Roman"/>
                <w:szCs w:val="24"/>
              </w:rPr>
              <w:t xml:space="preserve">w liczbie niezbędnej </w:t>
            </w:r>
            <w:r w:rsidRPr="00FB76A9">
              <w:rPr>
                <w:rFonts w:ascii="Times New Roman" w:hAnsi="Times New Roman" w:cs="Times New Roman"/>
                <w:szCs w:val="24"/>
              </w:rPr>
              <w:t>do przeprowadzenia tych badań.</w:t>
            </w:r>
          </w:p>
          <w:p w14:paraId="6B3559B0"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 celu poddania pojazdu, przedmiotu wyposażenia lub części oferowanych do sprzedaży na odległość, badaniom w ramach kontroli laboratoryjnej, o której mowa w ust. 1, Dyrektor TDT jako organ nadzoru rynku pobiera </w:t>
            </w:r>
            <w:r w:rsidRPr="00FB76A9">
              <w:rPr>
                <w:rFonts w:ascii="Times New Roman" w:hAnsi="Times New Roman" w:cs="Times New Roman"/>
                <w:szCs w:val="24"/>
              </w:rPr>
              <w:lastRenderedPageBreak/>
              <w:t>nieodpłatnie pojazdy przedmioty wyposażenia lub części lub dokonuje ich zakupu, w liczbie niezbędnej do przeprowadzenia tych badań, z uwzględnieniem przepisów art. 68zg.</w:t>
            </w:r>
          </w:p>
          <w:p w14:paraId="78BEA16E"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Z badań pojazdu, przedmiotu wyposażenia lub części w ramach kontroli laboratoryjnej, o której mowa w ust. 1, sporządza się sprawozdanie. </w:t>
            </w:r>
          </w:p>
          <w:p w14:paraId="4443F9C3"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Koszty badań w ramach kontroli laboratoryjnej, o której mowa w ust. 1, ponosi Dyrektor TDT jako organ nadzoru rynku i pokrywa je z opłaty, o której mowa w art. 68zu ust.1.</w:t>
            </w:r>
          </w:p>
          <w:p w14:paraId="7ED190F7"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6. Do kosztów badań w ramach kontroli laboratoryjnej, o której mowa w ust. 1, zalicza się koszty przeprowadzenia tych badań, koszty transportu do laboratorium oraz koszty przechowywania pojazdu, przedmiotu wyposażenia lub części objętego badaniami.</w:t>
            </w:r>
          </w:p>
          <w:p w14:paraId="48B35FD9"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7. Dyrektor TDT jako organ nadzoru rynku wraz z pobraniem pojazdu, przedmiotu wyposażenia lub części pobiera i zabezpiecza, o ile jest to możliwe, dodatkowy pojazd, przedmiot wyposażenia lub część w liczbie odpowiadającej liczbie pobranej do badań w ramach kontroli laboratoryjnej, o której mowa w ust. 1, zwany dalej „próbką kontrolną”.</w:t>
            </w:r>
          </w:p>
          <w:p w14:paraId="2470D516"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8. Podmiot gospodarczy lub posiadacz pojazdu, przedmiotu wyposażenia lub części niebędący użytkownikiem końcowym, jest obowiązany przechowywać próbkę kontrolną w warunkach uniemożliwiających zmianę jakości </w:t>
            </w:r>
            <w:r w:rsidRPr="00FB76A9">
              <w:rPr>
                <w:rFonts w:ascii="Times New Roman" w:hAnsi="Times New Roman" w:cs="Times New Roman"/>
                <w:szCs w:val="24"/>
              </w:rPr>
              <w:lastRenderedPageBreak/>
              <w:t>lub cech charakterystycznych tego pojazdu, przedmiotu wyposażenia lub części, do czasu zwolnienia z tego obowiązku przez Dyrektora TDT jako organu nadzoru rynku.</w:t>
            </w:r>
          </w:p>
          <w:p w14:paraId="17AB6AE3"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9. Badanie próbki kontrolnej w ramach kontroli laboratoryjnej, o której mowa w ust. 1, przeprowadza Dyrektor TDT jako organ nadzoru rynku z urzędu albo na wniosek podmiotu gospodarczego, o którym mowa w art. 68zc ust. 4 pkt 1 lit. b. </w:t>
            </w:r>
          </w:p>
          <w:p w14:paraId="26303B4B"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10. W przypadku, gdy podmiot gospodarczy złożył wniosek, o którym mowa w ust. 9, koszty badania próbki kontrolnej w ramach kontroli laboratoryjnej, o której mowa w ust. 1, ponosi ten podmiot gospodarczy, w wysokości i terminie określonym w drodze decyzji administracyjnej wydanej przez Dyrektora TDT jako organu nadzoru rynku.</w:t>
            </w:r>
          </w:p>
          <w:p w14:paraId="235F61E6"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11. W przypadku, gdy badanie próbki kontrolnej w ramach kontroli laboratoryjnej, o której mowa w ust. 1, zostało przeprowadzone przez Dyrektora TDT jako organ nadzoru rynku z urzędu, koszty tego badania ponosi Dyrektor TDT jako organ nadzoru rynku i pokrywa je z opłaty, o której mowa w art. 68zu ust. 1.</w:t>
            </w:r>
          </w:p>
          <w:p w14:paraId="1D3B6A22"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12. Z badań próbki kontrolnej w ramach kontroli laboratoryjnej, o której mowa w ust. 1, sporządza się sprawozdanie.</w:t>
            </w:r>
          </w:p>
          <w:p w14:paraId="0B6348F6" w14:textId="77777777" w:rsidR="00E55F04" w:rsidRPr="00FB76A9" w:rsidRDefault="00E55F04"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68zf. 1. W przypadku gdy przedmiotem kontroli, o której mowa w art. 68y ust. 1, są pojazdy, przedmioty wyposażenia oraz części oferowane do sprzedaży na odległość, kontrola </w:t>
            </w:r>
            <w:r w:rsidRPr="00FB76A9">
              <w:rPr>
                <w:rFonts w:ascii="Times New Roman" w:hAnsi="Times New Roman" w:cs="Times New Roman"/>
                <w:szCs w:val="24"/>
              </w:rPr>
              <w:lastRenderedPageBreak/>
              <w:t>lub poszczególne czynności kontrolne mogą być przeprowadzone w sposób zdalny za pośrednictwem operatora pocztowego w rozumieniu ustawy z dnia 23 listopada 2012 r. – Prawo pocztowe (Dz. U. z 202</w:t>
            </w:r>
            <w:r w:rsidR="00FA7954">
              <w:rPr>
                <w:rFonts w:ascii="Times New Roman" w:hAnsi="Times New Roman" w:cs="Times New Roman"/>
                <w:szCs w:val="24"/>
              </w:rPr>
              <w:t>6</w:t>
            </w:r>
            <w:r w:rsidRPr="00FB76A9">
              <w:rPr>
                <w:rFonts w:ascii="Times New Roman" w:hAnsi="Times New Roman" w:cs="Times New Roman"/>
                <w:szCs w:val="24"/>
              </w:rPr>
              <w:t xml:space="preserve"> r. poz. </w:t>
            </w:r>
            <w:r w:rsidR="00FA7954">
              <w:rPr>
                <w:rFonts w:ascii="Times New Roman" w:hAnsi="Times New Roman" w:cs="Times New Roman"/>
                <w:szCs w:val="24"/>
              </w:rPr>
              <w:t>558</w:t>
            </w:r>
            <w:r w:rsidRPr="00FB76A9">
              <w:rPr>
                <w:rFonts w:ascii="Times New Roman" w:hAnsi="Times New Roman" w:cs="Times New Roman"/>
                <w:szCs w:val="24"/>
              </w:rPr>
              <w:t>) lub za pomocą środków komunikacji elektronicznej w rozumieniu art. 2 pkt 5 ustawy z dnia 18 lipca 2002 r. o świadczeniu usług drogą elektroniczną (Dz. U. z 2024 r. poz. 1513).</w:t>
            </w:r>
          </w:p>
          <w:p w14:paraId="7AF2B817"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Zgoda podmiotu gospodarczego lub posiadacza pojazdu, przedmiotu wyposażenia lub części, niebędącego użytkownikiem końcowym, o której mowa w art. 51 ust. 3a ustawy z dnia 6 marca 2018 r. – Prawo przedsiębiorców, nie jest wymagana w przypadku, gdy kontrola jest prowadzona zgodnie z przepisami niniejszego artykułu.</w:t>
            </w:r>
          </w:p>
          <w:p w14:paraId="4C8D496F"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Upoważnienie do przeprowadzenia kontroli w sposób zdalny oraz legitymacja służbowa są okazywane podmiotowi gospodarczemu lub posiadaczowi pojazdu, przedmiotu wyposażenia lub części niebędącemu użytkownikiem końcowym przed podjęciem czynności kontrolnych.</w:t>
            </w:r>
          </w:p>
          <w:p w14:paraId="6347038F"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W przypadku gdy co najmniej dwie próby nawiązania kontaktu z podmiotem gospodarczym lub posiadaczem pojazdu, przedmiotu wyposażenia lub części, niebędącym użytkownikiem końcowym za pomocą środków komunikacji elektronicznej okażą się nieskuteczne albo z innych powodów nie ma możliwości wypełnienia obowiązku, o którym </w:t>
            </w:r>
            <w:r w:rsidRPr="00FB76A9">
              <w:rPr>
                <w:rFonts w:ascii="Times New Roman" w:hAnsi="Times New Roman" w:cs="Times New Roman"/>
                <w:szCs w:val="24"/>
              </w:rPr>
              <w:lastRenderedPageBreak/>
              <w:t>mowa w art. 68zb ust. 3, upoważnienie do przeprowadzenia kontroli w sposób zdalny doręcza się za pośrednictwem operatora pocztowego, wraz z informacją, że legitymacja zostanie okazana podmiotowi gospodarczemu lub posiadaczowi pojazdu, przedmiotu wyposażenia lub części, niebędącego użytkownikiem końcowym na jego żądanie, w siedzibie Dyrektora TDT jako organu nadzoru rynku.</w:t>
            </w:r>
          </w:p>
          <w:p w14:paraId="366075CB"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Dyrektor TDT jako organ nadzoru rynku może żądać od podmiotu gospodarczego lub posiadacza pojazdu, przedmiotu wyposażenia lub części niebędącego użytkownikiem końcowym, który oferuje pojazdy, przedmioty wyposażenia oraz części do sprzedaży na odległość, nieodpłatnego udostępnienia tego pojazdu, przedmiotu wyposażenia lub części, w liczbie niezbędnej do przeprowadzenia kontroli fizycznej lub kontroli laboratoryjnej, w celu ustalenia czy pojazd, przedmiot wyposażenia oraz część są zgodne z wymaganiami technicznymi i nie stwarzają poważnego ryzyka, przy czym koszty transportu pokrywa Dyrektor TDT jako organ nadzoru rynku z opłaty, o której mowa w art. 68zu ust. 1.</w:t>
            </w:r>
          </w:p>
          <w:p w14:paraId="2D93B55A"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6. Podmiot gospodarczy lub posiadacz pojazdu, przedmiotu wyposażenia lub części niebędący użytkownikiem końcowym, ma obowiązek dołożenia należytych starań, aby zabezpieczyć pojazd, przedmiot wyposażenia oraz część na czas transportu w sposób uniemożliwiający zmianę jakości lub cech </w:t>
            </w:r>
            <w:r w:rsidRPr="00FB76A9">
              <w:rPr>
                <w:rFonts w:ascii="Times New Roman" w:hAnsi="Times New Roman" w:cs="Times New Roman"/>
                <w:szCs w:val="24"/>
              </w:rPr>
              <w:lastRenderedPageBreak/>
              <w:t>charakterystycznych pojazdu, przedmiotu wyposażenia lub części.</w:t>
            </w:r>
          </w:p>
          <w:p w14:paraId="16A117E9"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7. Przebieg kontroli prowadzonej w sposób zdalny jest utrwalany za pośrednictwem urządzenia rejestrującego obraz lub dźwięk, w zależności od formy przeprowadzenia czynności kontrolnych na odległość.</w:t>
            </w:r>
          </w:p>
          <w:p w14:paraId="3D1F13CC"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8. Obraz lub dźwięk są rejestrowane w sposób umożliwiający identyfikację danych podmiotu gospodarczego lub posiadacza pojazdu, przedmiotu wyposażenia lub części, niebędącego użytkownikiem końcowym, oraz nieodpłatnie dostarczonego pojazdu, przedmiotu wyposażenia lub części.</w:t>
            </w:r>
          </w:p>
          <w:p w14:paraId="6C473DE4" w14:textId="77777777" w:rsidR="00E55F04" w:rsidRPr="00FB76A9" w:rsidRDefault="00E55F04"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9. W celu identyfikacji podmiotu gospodarczego lub posiadacza pojazdu, przedmiotu wyposażenia lub części niebędącego użytkownikiem końcowym, gromadzone są dane:</w:t>
            </w:r>
          </w:p>
          <w:p w14:paraId="041E4A4B"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nazwa lub firma albo imię i nazwisko;</w:t>
            </w:r>
          </w:p>
          <w:p w14:paraId="1914D978"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adres prowadzenia działalności i adres siedziby;</w:t>
            </w:r>
          </w:p>
          <w:p w14:paraId="4FE7893D"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adres strony internetowej i adres poczty elektronicznej – w przypadku gdy kontrola zdalna jest dokonywana za pośrednictwem tej strony;</w:t>
            </w:r>
          </w:p>
          <w:p w14:paraId="0088CF4B"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4)</w:t>
            </w:r>
            <w:r w:rsidRPr="00FB76A9">
              <w:rPr>
                <w:rFonts w:ascii="Times New Roman" w:hAnsi="Times New Roman" w:cs="Times New Roman"/>
                <w:szCs w:val="24"/>
              </w:rPr>
              <w:tab/>
              <w:t>numer telefonu – w przypadku gdy kontrola zdalna jest dokonywana za pośrednictwem tego urządzenia;</w:t>
            </w:r>
          </w:p>
          <w:p w14:paraId="1B851377"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5)</w:t>
            </w:r>
            <w:r w:rsidRPr="00FB76A9">
              <w:rPr>
                <w:rFonts w:ascii="Times New Roman" w:hAnsi="Times New Roman" w:cs="Times New Roman"/>
                <w:szCs w:val="24"/>
              </w:rPr>
              <w:tab/>
              <w:t xml:space="preserve">identyfikator podmiotu gospodarczego lub posiadacza pojazdu, przedmiotu wyposażenia lub części niebędącego użytkownikiem końcowym, w innych </w:t>
            </w:r>
            <w:r w:rsidRPr="00FB76A9">
              <w:rPr>
                <w:rFonts w:ascii="Times New Roman" w:hAnsi="Times New Roman" w:cs="Times New Roman"/>
                <w:szCs w:val="24"/>
              </w:rPr>
              <w:lastRenderedPageBreak/>
              <w:t>środkach komunikacji na odległość, za pośrednictwem których dokonywana jest kontrola zdalna.</w:t>
            </w:r>
          </w:p>
          <w:p w14:paraId="5B487DF1"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10. Utrwalony obraz lub dźwięk stanowią załącznik do protokołu kontroli, o którym mowa w art. 68zc ust. 1.</w:t>
            </w:r>
          </w:p>
          <w:p w14:paraId="0714775C"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11. Pojazd, przedmiot wyposażenia lub część pozyskane podczas kontroli prowadzonej w sposób zdalny są poddawane kontroli fizycznej lub kontroli laboratoryjnej.</w:t>
            </w:r>
          </w:p>
          <w:p w14:paraId="3733B653" w14:textId="77777777" w:rsidR="00E55F04" w:rsidRPr="00FB76A9" w:rsidRDefault="00E55F04"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12. Jeżeli kontrolujący stwierdzi, że:</w:t>
            </w:r>
          </w:p>
          <w:p w14:paraId="55E666F1"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otrzymał pojazd, przedmiot wyposażenia lub część zgodnie z żądaniem, o którym mowa w ust. 5 oraz</w:t>
            </w:r>
          </w:p>
          <w:p w14:paraId="03080EC3" w14:textId="77777777" w:rsidR="00E55F04" w:rsidRPr="00FB76A9" w:rsidRDefault="00E55F04" w:rsidP="00FD5CD5">
            <w:pPr>
              <w:pStyle w:val="ZPKTzmpk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stan pojazdu, przedmiotu wyposażenia lub części umożliwiają poddanie go kontroli fizycznej lub kontroli laboratoryjnej</w:t>
            </w:r>
          </w:p>
          <w:p w14:paraId="672AEED5" w14:textId="77777777" w:rsidR="00E55F04" w:rsidRPr="00FB76A9" w:rsidRDefault="00E55F04" w:rsidP="00FD5CD5">
            <w:pPr>
              <w:pStyle w:val="ZCZWSPPKTzmczciwsp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kwalifikuje ten pojazd, przedmiot wyposażenia lub część jako próbkę.</w:t>
            </w:r>
          </w:p>
          <w:p w14:paraId="751950B9" w14:textId="77777777" w:rsidR="00E55F04" w:rsidRPr="00FB76A9" w:rsidRDefault="00E55F04"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13. Jeżeli kontrolujący stwierdzi, że pojazd, przedmiot wyposażenia lub część nie spełniają warunków określonych w ust. 12 pkt 2, nie kwalifikuje tego pojazdu, przedmiotu wyposażenia lub części  jako próbki i ponownie zwraca się do podmiotu gospodarczego lub posiadacza pojazdu, przedmiotu wyposażenia lub części, niebędącego użytkownikiem końcowym, z żądaniem, o którym mowa w ust. 5.</w:t>
            </w:r>
          </w:p>
          <w:p w14:paraId="673AB6E6"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14. Dyrektor TDT jako organ nadzoru rynku poddaje próbkę pojazdu, przedmiotu wyposażenia lub część kontroli fizycznej, kontroli laboratoryjnej lub zleca przeprowadzenie badań </w:t>
            </w:r>
            <w:r w:rsidRPr="00FB76A9">
              <w:rPr>
                <w:rFonts w:ascii="Times New Roman" w:hAnsi="Times New Roman" w:cs="Times New Roman"/>
                <w:szCs w:val="24"/>
              </w:rPr>
              <w:lastRenderedPageBreak/>
              <w:t>tej próbki w ramach kontroli laboratoryjnej w laboratorium, o którym mowa w art. 68zi.</w:t>
            </w:r>
          </w:p>
          <w:p w14:paraId="528792C2"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15. Z badań w ramach kontroli laboratoryjnej, o których mowa w ust. 14, jest sporządzane sprawozdanie z badań.</w:t>
            </w:r>
          </w:p>
          <w:p w14:paraId="36160A53"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16. Do kontroli prowadzonej w sposób zdalny w zakresie nieuregulowanym w niniejszym artykule stosuje się odpowiednio przepisy art. 68y, art. 68za, art. 68zb oraz art. 68zc.</w:t>
            </w:r>
          </w:p>
          <w:p w14:paraId="0696D092"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68zg. 1. Dyrektor TDT jako organ nadzoru rynku może dokonać zakupu kontrolnego poprzez złożenie zamówienia za pośrednictwem operatora pocztowego lub za pomocą środków komunikacji elektronicznej z adresu uniemożliwiającego ustalenie kontrolującego jako organu nadzoru rynku dokonującego zakupu, zwanego dalej „zakupem kontrolnym”, w celu ustalenia czy pojazd, przedmiot wyposażenia lub część są zgodne z wymaganiami technicznymi lub nie stwarzają poważnego ryzyka.</w:t>
            </w:r>
          </w:p>
          <w:p w14:paraId="62CC3047"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Zgoda podmiotu gospodarczego lub posiadacza pojazdu, przedmiotu wyposażenia lub części, niebędącego użytkownikiem końcowym, o której mowa w art. 51 ust. 3a ustawy z dnia 6 marca 2018 r. – Prawo przedsiębiorców, nie jest wymagana w przypadku, gdy kontrola jest prowadzona zgodnie z przepisami niniejszego artykułu.</w:t>
            </w:r>
          </w:p>
          <w:p w14:paraId="4E64F952"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Dyrektor TDT jako organ nadzoru rynku dokonuje zakupu kontrolnego pojazdu, przedmiotu wyposażenia oraz części oferowanych </w:t>
            </w:r>
            <w:r w:rsidRPr="00FB76A9">
              <w:rPr>
                <w:rFonts w:ascii="Times New Roman" w:hAnsi="Times New Roman" w:cs="Times New Roman"/>
                <w:szCs w:val="24"/>
              </w:rPr>
              <w:lastRenderedPageBreak/>
              <w:t>do sprzedaży na odległość w liczbie niezbędnej do przeprowadzenia kontroli fizycznej lub kontroli laboratoryjnej.</w:t>
            </w:r>
          </w:p>
          <w:p w14:paraId="12BD9D5A"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W przypadku, gdy Dyrektor TDT jako organ nadzoru rynku dokonuje zakupu kontrolnego, czynność ta rozpoczyna kontrolę.</w:t>
            </w:r>
          </w:p>
          <w:p w14:paraId="0F4A4204" w14:textId="77777777" w:rsidR="00E55F04" w:rsidRPr="00FB76A9" w:rsidRDefault="00E55F04"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5. Jeżeli kontrolujący stwierdzi, że:</w:t>
            </w:r>
          </w:p>
          <w:p w14:paraId="2ED34F66"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otrzymał pojazd, przedmiot wyposażenia lub część pozyskany w ramach zakupu kontrolnego, oraz</w:t>
            </w:r>
          </w:p>
          <w:p w14:paraId="7B99BB84" w14:textId="77777777" w:rsidR="00E55F04" w:rsidRPr="00FB76A9" w:rsidRDefault="00E55F04" w:rsidP="00FD5CD5">
            <w:pPr>
              <w:pStyle w:val="ZPKTzmpk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stan pojazdu, przedmiotu wyposażenia lub części umożliwiają poddanie go kontroli fizycznej lub kontroli laboratoryjnej</w:t>
            </w:r>
          </w:p>
          <w:p w14:paraId="53BBB163" w14:textId="77777777" w:rsidR="00E55F04" w:rsidRPr="00FB76A9" w:rsidRDefault="00E55F04" w:rsidP="00FD5CD5">
            <w:pPr>
              <w:pStyle w:val="ZCZWSPPKTzmczciwsp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kwalifikuje ten pojazd, przedmiot wyposażenia lub część jako próbkę.</w:t>
            </w:r>
          </w:p>
          <w:p w14:paraId="6290F54F" w14:textId="77777777" w:rsidR="00E55F04" w:rsidRPr="00FB76A9" w:rsidRDefault="00E55F04"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6. Jeżeli kontrolujący stwierdzi, że pojazd, przedmiot wyposażenia lub część nie spełniają warunku określonego w ust. 5 pkt 2, nie kwalifikuje ich jako próbki pojazdu, przedmiotu wyposażenia lub części i kończy kontrolę.</w:t>
            </w:r>
          </w:p>
          <w:p w14:paraId="6E1FC970" w14:textId="77777777" w:rsidR="00E55F04" w:rsidRPr="00FB76A9" w:rsidRDefault="00E55F04"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7. W przypadku, gdy pojazd, przedmiot wyposażenia lub część pozyskane w ramach zakupu kontrolnego nie zostaną zakwalifikowane jako próbka pojazdu, przedmiotu wyposażenia lub części, upoważnienie do przeprowadzenia kontroli oraz legitymacja służbowa są okazywane podmiotowi gospodarczemu lub posiadaczowi pojazdu, przedmiotu wyposażenia lub części, niebędącego użytkownikiem końcowym, w </w:t>
            </w:r>
            <w:r w:rsidRPr="00FB76A9">
              <w:rPr>
                <w:rFonts w:ascii="Times New Roman" w:hAnsi="Times New Roman" w:cs="Times New Roman"/>
                <w:szCs w:val="24"/>
              </w:rPr>
              <w:lastRenderedPageBreak/>
              <w:t>terminie 7 dni od dnia sporządzenia protokołu z kontroli.</w:t>
            </w:r>
          </w:p>
          <w:p w14:paraId="547FC38C"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8. W przypadku gdy pojazd, przedmiot wyposażenia lub część pozyskane w ramach zakupu kontrolnego zostaną zakwalifikowane jako próbka, upoważnienie do przeprowadzenia kontroli oraz legitymacja służbowa są okazywane podmiotowi gospodarczemu lub posiadaczowi pojazdu, przedmiotu wyposażenia lub części, niebędącego użytkownikiem końcowym,  w terminie 7 dni od dnia sporządzenia protokołu z kontroli lub otrzymania przez Dyrektora TDT jako organ nadzoru rynku sprawozdania z badań  w ramach kontroli laboratoryjnej, o której mowa w art. 68z ust. 1.</w:t>
            </w:r>
          </w:p>
          <w:p w14:paraId="447DC76C"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9. Upoważnienie do przeprowadzenia kontroli rozpoczętej po dokonaniu zakupu kontrolnego, poza danymi wskazanymi w art. 68zb ust. 4 pkt 1-3, 5-8 i 10, zawiera także dane dotyczące kontrolującego, o których mowa w ust. 12.</w:t>
            </w:r>
          </w:p>
          <w:p w14:paraId="285853DA"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10. Do czasu trwania kontroli nie wlicza się okresu po dokonaniu zakupu kontrolnego, a przed okazaniem podmiotowi gospodarczemu lub posiadaczowi pojazdu, przedmiotu wyposażenia lub części upoważnienia do przeprowadzenia kontroli oraz legitymacji służbowej.</w:t>
            </w:r>
          </w:p>
          <w:p w14:paraId="5F958EF6"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11. W celu zapewnienia anonimowości kontrolujący jest uprawniony do posługiwania się innym niż rzeczywiste imieniem i nazwiskiem oraz adresem zamieszkania, a także innym niż </w:t>
            </w:r>
            <w:r w:rsidRPr="00FB76A9">
              <w:rPr>
                <w:rFonts w:ascii="Times New Roman" w:hAnsi="Times New Roman" w:cs="Times New Roman"/>
                <w:szCs w:val="24"/>
              </w:rPr>
              <w:lastRenderedPageBreak/>
              <w:t>służbowy adresem mailowym, którego login nie ujawnia tożsamości kontrolującego.</w:t>
            </w:r>
          </w:p>
          <w:p w14:paraId="079A5920"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12. Dyrektor TDT jako organ nadzoru rynku prowadzi bazę fikcyjnych imion i nazwisk, adresów zamieszkania oraz adresów mailowych, spośród których losowo jest wybierane imię i nazwisko, adres zamieszkania oraz adres mailowy, o których mowa w ust. 11.</w:t>
            </w:r>
          </w:p>
          <w:p w14:paraId="4759C75D"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13. Pojazd, przedmiot wyposażenia lub część pozyskane podczas kontroli prowadzonej poprzez zakup kontrolny, są poddawane kontroli fizycznej.</w:t>
            </w:r>
          </w:p>
          <w:p w14:paraId="5A42111A"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14. Do zakupu kontrolnego, w zakresie nieuregulowanym w niniejszym artykule, stosuje się odpowiednio przepisy art. 68y, art. 68za, art. 68zb, art. 68zc oraz art. 68zf ust. 7–10, 14 i 15.  </w:t>
            </w:r>
            <w:r w:rsidRPr="00FB76A9">
              <w:rPr>
                <w:rFonts w:ascii="Times New Roman" w:hAnsi="Times New Roman" w:cs="Times New Roman"/>
                <w:szCs w:val="24"/>
              </w:rPr>
              <w:tab/>
            </w:r>
          </w:p>
          <w:p w14:paraId="3396F5E0" w14:textId="77777777" w:rsidR="00E55F04" w:rsidRPr="00FB76A9" w:rsidRDefault="00E55F04"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68zh. 1. Dyrektor TDT jako organ nadzoru rynku planuje działania w zakresie nadzoru rynku zgodnie z kryteriami określonymi w art. 1 rozporządzenia wykonawczego Komisji (UE) 2022/163 z dnia 7 lutego 2022 r. ustanawiającego przepisy dotyczące stosowania rozporządzenia Parlamentu Europejskiego i Rady (UE) 2018/858 w odniesieniu do wymogów funkcjonalnych dotyczących nadzoru rynku w zakresie pojazdów, układów, komponentów i oddzielnych zespołów technicznych (Dz. Urz. UE L 27 z 08.02.2022, str. 1) oraz przeprowadza regularne badania laboratoryjne pojazdów, przedmiotów wyposażenia lub części, o których mowa w art. 7 ust. 2 rozporządzenia 167/2013, </w:t>
            </w:r>
            <w:r w:rsidRPr="00FB76A9">
              <w:rPr>
                <w:rFonts w:ascii="Times New Roman" w:hAnsi="Times New Roman" w:cs="Times New Roman"/>
                <w:szCs w:val="24"/>
              </w:rPr>
              <w:lastRenderedPageBreak/>
              <w:t>art. 8 ust. 2 rozporządzenia 168/2013 oraz art. 8 rozporządzenia 2018/858.</w:t>
            </w:r>
          </w:p>
          <w:p w14:paraId="41636DA3"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Pojazdy, przedmioty wyposażenia lub części są pobierane nieodpłatnie przez Dyrektora TDT jako organ nadzoru rynku do badań, o których mowa w ust. 1, od podmiotu gospodarczego lub posiadacza pojazdu, przedmiotu wyposażenia lub części, niebędącego użytkownikiem końcowym.</w:t>
            </w:r>
          </w:p>
          <w:p w14:paraId="1E71E933"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Do pobrania pojazdu, przedmiotu wyposażenia lub części do badań laboratoryjnych, o którym mowa w ust. 1, stosuje się odpowiednio przepisy art. 68zb.</w:t>
            </w:r>
          </w:p>
          <w:p w14:paraId="130BFAFC"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Dyrektor TDT jako organ nadzoru rynku przeprowadza kontrolę fizyczną pojazdu, przedmiotu wyposażenia lub części, a następnie poddaje pobrany pojazd, przedmiot wyposażenia lub część, badaniom laboratoryjnym, zlecając ich przeprowadzenie laboratorium badawczemu, o którym mowa w art. 68zi.</w:t>
            </w:r>
          </w:p>
          <w:p w14:paraId="4DA84487"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Z badań laboratoryjnych, o których mowa w ust. 4, sporządza się sprawozdanie z badań.</w:t>
            </w:r>
          </w:p>
          <w:p w14:paraId="4B59C49C"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6. Po przeprowadzeniu badań laboratoryjnych, o których mowa w ust. 4, Dyrektor TDT jako organ nadzoru rynku zwraca podmiotowi gospodarczemu lub posiadaczowi pojazdu, przedmiotu wyposażenia lub części, niebędącego użytkownikiem końcowym, pojazd, przedmiot wyposażenia lub część wraz z protokołem z kontroli oraz ze sprawozdaniem z badań.</w:t>
            </w:r>
          </w:p>
          <w:p w14:paraId="4DD87F25" w14:textId="77777777" w:rsidR="00E55F04" w:rsidRPr="00FB76A9" w:rsidRDefault="00CF3C6A"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68zi.</w:t>
            </w:r>
            <w:r w:rsidRPr="00FB76A9">
              <w:rPr>
                <w:rStyle w:val="Ppogrubienie"/>
                <w:rFonts w:ascii="Times New Roman" w:hAnsi="Times New Roman" w:cs="Times New Roman"/>
                <w:szCs w:val="24"/>
              </w:rPr>
              <w:t xml:space="preserve"> </w:t>
            </w:r>
            <w:r w:rsidRPr="00FB76A9">
              <w:rPr>
                <w:rFonts w:ascii="Times New Roman" w:hAnsi="Times New Roman" w:cs="Times New Roman"/>
                <w:szCs w:val="24"/>
              </w:rPr>
              <w:t xml:space="preserve">Laboratorium </w:t>
            </w:r>
            <w:r w:rsidRPr="00565B65">
              <w:rPr>
                <w:rFonts w:ascii="Times New Roman" w:hAnsi="Times New Roman" w:cs="Times New Roman"/>
                <w:szCs w:val="24"/>
              </w:rPr>
              <w:t>badawcze</w:t>
            </w:r>
            <w:r w:rsidR="00565B65">
              <w:rPr>
                <w:rFonts w:ascii="Times New Roman" w:hAnsi="Times New Roman" w:cs="Times New Roman"/>
                <w:strike/>
                <w:szCs w:val="24"/>
              </w:rPr>
              <w:t xml:space="preserve"> </w:t>
            </w:r>
            <w:r w:rsidRPr="00565B65">
              <w:rPr>
                <w:rFonts w:ascii="Times New Roman" w:hAnsi="Times New Roman" w:cs="Times New Roman"/>
                <w:szCs w:val="24"/>
              </w:rPr>
              <w:t>powinno</w:t>
            </w:r>
            <w:r w:rsidRPr="00FB76A9">
              <w:rPr>
                <w:rFonts w:ascii="Times New Roman" w:hAnsi="Times New Roman" w:cs="Times New Roman"/>
                <w:szCs w:val="24"/>
              </w:rPr>
              <w:t>:</w:t>
            </w:r>
          </w:p>
          <w:p w14:paraId="05928C8E"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 xml:space="preserve">1) </w:t>
            </w:r>
            <w:r w:rsidRPr="00FB76A9">
              <w:rPr>
                <w:rFonts w:ascii="Times New Roman" w:hAnsi="Times New Roman" w:cs="Times New Roman"/>
                <w:szCs w:val="24"/>
              </w:rPr>
              <w:tab/>
              <w:t>być krajowym laboratorium badawczym lub laboratorium sieci Unii Europejskiej;</w:t>
            </w:r>
          </w:p>
          <w:p w14:paraId="6226DC74"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być osobą prawną ustanowioną na mocy prawa państwa członkowskiego Unii Europejskiej;</w:t>
            </w:r>
          </w:p>
          <w:p w14:paraId="07E4492D"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posiadać akredytację zgodnie z wymogami określonymi w normie PN-EN ISO/IEC 17025 lub EN ISO/IEC 17025 w sprawie ogólnych wymagań dotyczących kompetencji laboratoriów badawczych i wzorcujących, w zakresie badań przeprowadzanych na wniosek Dyrektora TDT jako organu nadzoru rynku;</w:t>
            </w:r>
          </w:p>
          <w:p w14:paraId="5BD80090"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w:t>
            </w:r>
            <w:r w:rsidRPr="00FB76A9">
              <w:rPr>
                <w:rFonts w:ascii="Times New Roman" w:hAnsi="Times New Roman" w:cs="Times New Roman"/>
                <w:szCs w:val="24"/>
              </w:rPr>
              <w:tab/>
              <w:t>nie być zaangażowane w proces projektowania, produkcji, dostaw lub konserwacji pojazdów, przedmiotów wyposażenia lub części, które ocenia lub bada;</w:t>
            </w:r>
          </w:p>
          <w:p w14:paraId="089A7D84"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5) </w:t>
            </w:r>
            <w:r w:rsidRPr="00FB76A9">
              <w:rPr>
                <w:rFonts w:ascii="Times New Roman" w:hAnsi="Times New Roman" w:cs="Times New Roman"/>
                <w:szCs w:val="24"/>
              </w:rPr>
              <w:tab/>
              <w:t>być w pełni bezstronne i niezależne w zakresie organizacji i sposobu działania wynikającego z prawa własności, podległości, zarządzania, personelu, współdzielonych zasobów, finansów, umów, działalności marketingowej, łącznie z promowaniem marki, prowizji od sprzedaży lub innych środków motywacyjnych w celu pozyskania nowych klientów;</w:t>
            </w:r>
          </w:p>
          <w:p w14:paraId="29CDE554"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6) </w:t>
            </w:r>
            <w:r w:rsidRPr="00FB76A9">
              <w:rPr>
                <w:rFonts w:ascii="Times New Roman" w:hAnsi="Times New Roman" w:cs="Times New Roman"/>
                <w:szCs w:val="24"/>
              </w:rPr>
              <w:tab/>
              <w:t>identyfikować oraz nadzorować ryzyka związane z działalnością, bezstronnością, niezależnością oraz poufnością;</w:t>
            </w:r>
          </w:p>
          <w:p w14:paraId="5AE3A014"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7) </w:t>
            </w:r>
            <w:r w:rsidRPr="00FB76A9">
              <w:rPr>
                <w:rFonts w:ascii="Times New Roman" w:hAnsi="Times New Roman" w:cs="Times New Roman"/>
                <w:szCs w:val="24"/>
              </w:rPr>
              <w:tab/>
              <w:t xml:space="preserve">przedstawić oświadczenie stwierdzające, że przestrzega poufności w kontekście ochrony </w:t>
            </w:r>
            <w:r w:rsidRPr="00FB76A9">
              <w:rPr>
                <w:rFonts w:ascii="Times New Roman" w:hAnsi="Times New Roman" w:cs="Times New Roman"/>
                <w:szCs w:val="24"/>
              </w:rPr>
              <w:lastRenderedPageBreak/>
              <w:t>tajemnicy handlowej i ochrony danych osobowych oraz że jego pracownicy przestrzegają tajemnicy zawodowej w odniesieniu do wszystkich informacji przekazywanych przez producentów, w tym świadectw homologacji typu i załączników do nich oraz danych udostępnianych przez Dyrektora TDT jako organu nadzoru rynku.</w:t>
            </w:r>
          </w:p>
          <w:p w14:paraId="698113ED" w14:textId="77777777" w:rsidR="00E55F04" w:rsidRPr="00FB76A9" w:rsidRDefault="00E55F04"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Art. 68zj. 1. Na podstawie negatywnych wyników przeprowadzonych czynności wyjaśniających lub kontroli pojazdu, przedmiotu wyposażenia lub części w zakresie spełnienia wymagań technicznych lub stwarzania poważnego ryzyka, przeprowadzonej u podmiotu gospodarczego lub posiadacza pojazdu, przedmiotu wyposażenia lub części  niebędącego użytkownikiem końcowym, lub negatywnych wyników badań laboratoryjnych, o których mowa w art. 68zh ust. 1, Dyrektor TDT jako organ nadzoru rynku wszczyna z urzędu postępowanie administracyjne, zakończone wydaniem decyzji administracyjnej w sprawie stwierdzenia niezgodności pojazdu, przedmiotu wyposażenia lub części z wymaganiami technicznymi lub stwarzania przez nie poważnego ryzyka.</w:t>
            </w:r>
          </w:p>
          <w:p w14:paraId="17E6642F" w14:textId="77777777" w:rsidR="00E55F04" w:rsidRPr="00FB76A9" w:rsidRDefault="00E55F04"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2. Użytkownik końcowy, o którym mowa w art. 68y ust. 1 pkt 3, nie jest stroną postępowania, o którym mowa w ust. 1.</w:t>
            </w:r>
          </w:p>
          <w:p w14:paraId="7C9E26ED" w14:textId="77777777" w:rsidR="00E55F04" w:rsidRPr="00FB76A9" w:rsidRDefault="00E55F04" w:rsidP="00FD5CD5">
            <w:pPr>
              <w:suppressAutoHyphens/>
              <w:autoSpaceDE w:val="0"/>
              <w:autoSpaceDN w:val="0"/>
              <w:adjustRightInd w:val="0"/>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3. Raport z czynności wyjaśniających, o którym mowa w art. 68z ust. 7, protokół z kontroli, o którym mowa w art. 68zc ust. 1 wraz z aktami kontroli, lub sprawozdanie z badań, o </w:t>
            </w:r>
            <w:r w:rsidRPr="00FB76A9">
              <w:rPr>
                <w:rFonts w:ascii="Times New Roman" w:eastAsiaTheme="minorEastAsia" w:hAnsi="Times New Roman" w:cs="Times New Roman"/>
                <w:sz w:val="24"/>
                <w:szCs w:val="24"/>
                <w:lang w:eastAsia="pl-PL"/>
              </w:rPr>
              <w:lastRenderedPageBreak/>
              <w:t xml:space="preserve">którym mowa w art. 68zh ust. 5, stanowią dowody w sprawie. </w:t>
            </w:r>
          </w:p>
          <w:p w14:paraId="5A4859B7" w14:textId="77777777" w:rsidR="00E55F04" w:rsidRPr="00FB76A9" w:rsidRDefault="00E55F04"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4. Do zawiadomienie o wszczęciu postępowania, o którym mowa w ust. 1, dołącza się dokumenty, o których mowa w ust. 3.</w:t>
            </w:r>
          </w:p>
          <w:p w14:paraId="24A6B8FE" w14:textId="77777777" w:rsidR="00E55F04" w:rsidRPr="00FB76A9" w:rsidRDefault="00E55F04"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Art. 68zk. 1. Dyrektor TDT jako organ nadzoru rynku w decyzji, o której mowa w art. 68zj ust. 1, nakazuje podmiotowi gospodarczemu w określonym terminie:</w:t>
            </w:r>
          </w:p>
          <w:p w14:paraId="2B13B740"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podać do publicznej wiadomości w sposób wskazany w decyzji informację o pojeździe, przedmiocie wyposażenia lub części objętych obowiązkiem wycofania z obrotu lub użytkowania oraz</w:t>
            </w:r>
          </w:p>
          <w:p w14:paraId="2E69D6F6"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 xml:space="preserve">usunięcie niezgodności z wymaganiami technicznymi lub usunięcie ryzyka, a w przypadku gdy ich usunięcie nie jest możliwe, zakazuje udostępniania na rynku pojazdu, przedmiotu wyposażenia lub części; w przypadku gdy pojazd, przedmiot wyposażenia lub część zostały już udostępnione, nakazuje ich wycofanie z obrotu lub użytkowania oraz nakazuje odkupienie pojazdu, przedmiotu wyposażenia lub części od użytkowników końcowych albo wymianę na nowy pojazd, przedmiot wyposażenia lub część zgodne z wymaganiami technicznymi. </w:t>
            </w:r>
          </w:p>
          <w:p w14:paraId="2D686480"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W decyzji, o której mowa w art. 68zj ust. 1, Dyrektor TDT jako organ nadzoru rynku może:</w:t>
            </w:r>
          </w:p>
          <w:p w14:paraId="18E440C5"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 xml:space="preserve">1) </w:t>
            </w:r>
            <w:r w:rsidRPr="00FB76A9">
              <w:rPr>
                <w:rFonts w:ascii="Times New Roman" w:hAnsi="Times New Roman" w:cs="Times New Roman"/>
                <w:szCs w:val="24"/>
              </w:rPr>
              <w:tab/>
              <w:t>określić warunki na jakich pojazd, przedmiot wyposażenia lub część mogą być udostępniane na rynku;</w:t>
            </w:r>
          </w:p>
          <w:p w14:paraId="079576DF"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nakazać umieszczenie na pojeździe, przedmiocie wyposażenia lub części ostrzeżeń o ryzyku jakie pojazd, przedmiot wyposażenia lub część mogą stwarzać;</w:t>
            </w:r>
          </w:p>
          <w:p w14:paraId="0BFE106C" w14:textId="77777777" w:rsidR="00E55F04" w:rsidRPr="00FB76A9" w:rsidRDefault="00CF3C6A"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r>
            <w:r w:rsidRPr="00BC15FA">
              <w:t>nakazać zniszczenie pojazdu, przedmiotu wyposażenia lub części, w przypadku, gdy pojazd, przedmiot wyposażenia lub część stwarzają poważne ryzyko i nie da się tego ryzyka usunąć – w określonym terminie po odkupieniu pojazdu, przedmiotu wyposażenia lub części od użytkownika końcowego albo wymianie na nowy pojazd, przedmiot wyposażenia lub część zgodną z wymaganiami technicznymi,</w:t>
            </w:r>
          </w:p>
          <w:p w14:paraId="2CC8B6AF"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4)</w:t>
            </w:r>
            <w:r w:rsidRPr="00FB76A9">
              <w:rPr>
                <w:rFonts w:ascii="Times New Roman" w:hAnsi="Times New Roman" w:cs="Times New Roman"/>
                <w:szCs w:val="24"/>
              </w:rPr>
              <w:tab/>
              <w:t>nakazać usunięcie lub zablokowanie dostępu do ofert dotyczących pojazdu, przedmiotu wyposażenia i części</w:t>
            </w:r>
          </w:p>
          <w:p w14:paraId="2B151AF0"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 w zależności od rodzaju stwierdzonych niezgodności z wymaganiami technicznymi lub stopnia ryzyka stwarzanego przez pojazd, przedmiot wyposażenia lub część. </w:t>
            </w:r>
          </w:p>
          <w:p w14:paraId="63B727FA"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Podmiot lub osoba posiadająca tytuł prawny do pojazdu, przedmiotu wyposażenia lub części objętego decyzją, o której mowa w art. 68zj ust. 1, ma prawo żądać od podmiotu gospodarczego, który wprowadził do obrotu ten pojazd, przedmiot wyposażenia lub część, odkupienia po cenie sprzedaży albo wymiany na nowy pojazd, przedmiot wyposażenia lub część </w:t>
            </w:r>
            <w:r w:rsidRPr="00FB76A9">
              <w:rPr>
                <w:rFonts w:ascii="Times New Roman" w:hAnsi="Times New Roman" w:cs="Times New Roman"/>
                <w:szCs w:val="24"/>
              </w:rPr>
              <w:lastRenderedPageBreak/>
              <w:t>spełniające wymagania techniczne lub niestwarzające poważnego ryzyka.</w:t>
            </w:r>
          </w:p>
          <w:p w14:paraId="048583E8"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W przypadku braku realizacji żądania, o którym mowa w ust. 3, podmiot lub osoba posiadająca tytuł prawny, o której mowa w ust. 3, powiadamia o tym Dyrektora TDT jako organ nadzoru rynku. </w:t>
            </w:r>
          </w:p>
          <w:p w14:paraId="112205D8"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5. Podmiot gospodarczy powiadamia Dyrektora TDT jako organ nadzoru rynku o wykonaniu decyzji, o której mowa w art. 68zj ust. 1, w terminie 14 dni od dnia upływu terminu wskazanego w tej decyzji. </w:t>
            </w:r>
          </w:p>
          <w:p w14:paraId="6146E989" w14:textId="77777777" w:rsidR="00E55F04" w:rsidRPr="00FB76A9" w:rsidRDefault="00E55F04" w:rsidP="00FD5CD5">
            <w:pPr>
              <w:pStyle w:val="USTustnpkodeksu"/>
              <w:spacing w:line="240" w:lineRule="auto"/>
              <w:ind w:left="510"/>
              <w:jc w:val="left"/>
              <w:rPr>
                <w:rFonts w:ascii="Times New Roman" w:hAnsi="Times New Roman" w:cs="Times New Roman"/>
                <w:szCs w:val="24"/>
              </w:rPr>
            </w:pPr>
            <w:r w:rsidRPr="00FB76A9">
              <w:rPr>
                <w:rFonts w:ascii="Times New Roman" w:hAnsi="Times New Roman" w:cs="Times New Roman"/>
                <w:szCs w:val="24"/>
              </w:rPr>
              <w:t>6. Jeżeli podmiot gospodarczy nie wykonał decyzji, o której mowa w art. 68zj ust. 1, w zakresie określonym w art. 68zk ust. 2 pkt 4, Dyrektor TDT jako organ nadzoru rynku, w drodze decyzji administracyjnej nakazuje operatorowi platformy usunięcie z interfejsu online treści odnoszących się do oferty pojazdów, przedmiotów wyposażenia lub części, zawieszenie konta podmiotu gospodarczego na platformie lub wyświetlanie wyraźnego ostrzeżenia dla użytkowników końcowych uzyskujących dostęp do oferty tego pojazdu, przedmiotu wyposażenia lub części.</w:t>
            </w:r>
          </w:p>
          <w:p w14:paraId="787A2434" w14:textId="77777777" w:rsidR="00E55F04" w:rsidRPr="00FB76A9" w:rsidRDefault="00E55F04" w:rsidP="00FD5CD5">
            <w:pPr>
              <w:pStyle w:val="USTustnpkodeksu"/>
              <w:spacing w:line="240" w:lineRule="auto"/>
              <w:ind w:left="510"/>
              <w:jc w:val="left"/>
              <w:rPr>
                <w:rFonts w:ascii="Times New Roman" w:hAnsi="Times New Roman" w:cs="Times New Roman"/>
                <w:szCs w:val="24"/>
              </w:rPr>
            </w:pPr>
            <w:r w:rsidRPr="00FB76A9">
              <w:rPr>
                <w:rFonts w:ascii="Times New Roman" w:hAnsi="Times New Roman" w:cs="Times New Roman"/>
                <w:szCs w:val="24"/>
              </w:rPr>
              <w:t>7. W decyzji, o której mowa w ust. 6, określa się:</w:t>
            </w:r>
          </w:p>
          <w:p w14:paraId="00CBCD44" w14:textId="77777777" w:rsidR="00E55F04" w:rsidRPr="00FB76A9" w:rsidRDefault="00E55F04" w:rsidP="00FD5CD5">
            <w:pPr>
              <w:pStyle w:val="PKTpunkt"/>
              <w:spacing w:line="240" w:lineRule="auto"/>
              <w:ind w:left="102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nazwę podmiotu gospodarczego, wobec którego wydano decyzję, o której mowa w art. 68zj ust. 1;</w:t>
            </w:r>
          </w:p>
          <w:p w14:paraId="258E4C3F" w14:textId="77777777" w:rsidR="00E55F04" w:rsidRPr="00FB76A9" w:rsidRDefault="00E55F04" w:rsidP="00FD5CD5">
            <w:pPr>
              <w:pStyle w:val="PKTpunkt"/>
              <w:spacing w:line="240" w:lineRule="auto"/>
              <w:ind w:left="102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 xml:space="preserve">określenie treści odnoszących się do oferty dotyczących pojazdu, przedmiotu </w:t>
            </w:r>
            <w:r w:rsidRPr="00FB76A9">
              <w:rPr>
                <w:rFonts w:ascii="Times New Roman" w:hAnsi="Times New Roman" w:cs="Times New Roman"/>
                <w:szCs w:val="24"/>
              </w:rPr>
              <w:lastRenderedPageBreak/>
              <w:t>wyposażenia lub części objętego decyzją, o której mowa w art. 68zj ust. 1;</w:t>
            </w:r>
          </w:p>
          <w:p w14:paraId="5F0FDC9C" w14:textId="77777777" w:rsidR="00E55F04" w:rsidRPr="00FB76A9" w:rsidRDefault="00E55F04" w:rsidP="00FD5CD5">
            <w:pPr>
              <w:pStyle w:val="PKTpunkt"/>
              <w:spacing w:line="240" w:lineRule="auto"/>
              <w:ind w:left="1020"/>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określenie treści nakazu, w tym treść ostrzeżenia dla użytkowników końcowych;</w:t>
            </w:r>
          </w:p>
          <w:p w14:paraId="7E8F3C33" w14:textId="77777777" w:rsidR="00E55F04" w:rsidRPr="00FB76A9" w:rsidRDefault="00E55F04" w:rsidP="00FD5CD5">
            <w:pPr>
              <w:pStyle w:val="ZUSTzmustartykuempunktem"/>
              <w:keepNext/>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4)</w:t>
            </w:r>
            <w:r w:rsidRPr="00FB76A9">
              <w:rPr>
                <w:rFonts w:ascii="Times New Roman" w:hAnsi="Times New Roman" w:cs="Times New Roman"/>
                <w:szCs w:val="24"/>
              </w:rPr>
              <w:tab/>
              <w:t>termin wykonania decyzji.</w:t>
            </w:r>
          </w:p>
          <w:p w14:paraId="58056BDC" w14:textId="77777777" w:rsidR="00E55F04" w:rsidRPr="00FB76A9" w:rsidRDefault="00E55F04"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8. Jeżeli podmiot gospodarczy nie wykonał decyzji, o której mowa w art. 68zj ust. 1 w zakresie określonym w art. 68zk ust. 2 pkt 4, oraz jeżeli jest konieczne podjęcie natychmiastowego działania mającego na celu usunięcie poważnego ryzyka stwarzanego przez pojazd, przedmiot wyposażenia lub część objętego decyzją lub doprowadzenie ich do stanu zgodności z wymaganiami technicznymi, Dyrektor TDT jako organ nadzoru rynku w drodze decyzji administracyjnej, nakazuje dostawcy usług społeczeństwa informacyjnego nieodpłatne ograniczenie temu podmiotowi, dostępu do interfejsu online lub wyłączenie dostępu do interfejsu online.</w:t>
            </w:r>
          </w:p>
          <w:p w14:paraId="6307B029" w14:textId="77777777" w:rsidR="00E55F04" w:rsidRPr="00FB76A9" w:rsidRDefault="00E55F04" w:rsidP="00FD5CD5">
            <w:pPr>
              <w:pStyle w:val="USTustnpkodeksu"/>
              <w:spacing w:line="240" w:lineRule="auto"/>
              <w:ind w:left="510"/>
              <w:jc w:val="left"/>
              <w:rPr>
                <w:rFonts w:ascii="Times New Roman" w:hAnsi="Times New Roman" w:cs="Times New Roman"/>
                <w:szCs w:val="24"/>
              </w:rPr>
            </w:pPr>
            <w:r w:rsidRPr="00FB76A9">
              <w:rPr>
                <w:rFonts w:ascii="Times New Roman" w:hAnsi="Times New Roman" w:cs="Times New Roman"/>
                <w:szCs w:val="24"/>
              </w:rPr>
              <w:t>9. W decyzji, o której mowa w ust. 8, określa się:</w:t>
            </w:r>
          </w:p>
          <w:p w14:paraId="38FDFB8C" w14:textId="77777777" w:rsidR="00E55F04" w:rsidRPr="00FB76A9" w:rsidRDefault="00E55F04" w:rsidP="00FD5CD5">
            <w:pPr>
              <w:pStyle w:val="PKTpunkt"/>
              <w:spacing w:line="240" w:lineRule="auto"/>
              <w:ind w:left="102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nazwę podmiotu gospodarczego, wobec którego wydano decyzję, o której mowa w art. 68zj ust. 1;</w:t>
            </w:r>
          </w:p>
          <w:p w14:paraId="02A7FDDC" w14:textId="77777777" w:rsidR="00E55F04" w:rsidRPr="00FB76A9" w:rsidRDefault="00E55F04" w:rsidP="00FD5CD5">
            <w:pPr>
              <w:pStyle w:val="PKTpunkt"/>
              <w:spacing w:line="240" w:lineRule="auto"/>
              <w:ind w:left="102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szczegółowe dane dotyczące interfejsu online, do którego dostęp podlega ograniczeniu lub wyłączeniu;</w:t>
            </w:r>
          </w:p>
          <w:p w14:paraId="01C285CA" w14:textId="77777777" w:rsidR="00E55F04" w:rsidRPr="00FB76A9" w:rsidRDefault="00E55F04" w:rsidP="00FD5CD5">
            <w:pPr>
              <w:pStyle w:val="ZUSTzmustartykuempunktem"/>
              <w:keepNext/>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termin wykonania decyzji.</w:t>
            </w:r>
          </w:p>
          <w:p w14:paraId="1E9357F3" w14:textId="77777777" w:rsidR="00E55F04" w:rsidRPr="00FB76A9" w:rsidRDefault="00E55F04" w:rsidP="00FD5CD5">
            <w:pPr>
              <w:pStyle w:val="ZUSTzmustartykuempunktem"/>
              <w:tabs>
                <w:tab w:val="left" w:pos="3969"/>
              </w:tabs>
              <w:spacing w:line="240" w:lineRule="auto"/>
              <w:jc w:val="left"/>
              <w:rPr>
                <w:rFonts w:ascii="Times New Roman" w:hAnsi="Times New Roman" w:cs="Times New Roman"/>
                <w:szCs w:val="24"/>
              </w:rPr>
            </w:pPr>
            <w:r w:rsidRPr="00FB76A9">
              <w:rPr>
                <w:rFonts w:ascii="Times New Roman" w:hAnsi="Times New Roman" w:cs="Times New Roman"/>
                <w:szCs w:val="24"/>
              </w:rPr>
              <w:t xml:space="preserve">10. Decyzje, o których mowa w ust. 6 i 8, podlegają natychmiastowemu  wykonaniu. </w:t>
            </w:r>
          </w:p>
          <w:p w14:paraId="15A1CD48"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11. Operator platformy oraz dostawca usług społeczeństwa informacyjnego powiadamia Dyrektora TDT jako organ nadzoru rynku o wykonaniu decyzji, o której mowa w ust. 6 i 8, w terminie 14 dni od upływu tego termin wskazanego w tej decyzji.</w:t>
            </w:r>
          </w:p>
          <w:p w14:paraId="7B4D0457" w14:textId="77777777" w:rsidR="00E55F04" w:rsidRPr="00FB76A9" w:rsidRDefault="00E55F04" w:rsidP="00FD5CD5">
            <w:pPr>
              <w:pStyle w:val="ZUSTzmustartykuempunktem"/>
              <w:tabs>
                <w:tab w:val="left" w:pos="3969"/>
              </w:tabs>
              <w:spacing w:line="240" w:lineRule="auto"/>
              <w:jc w:val="left"/>
              <w:rPr>
                <w:rFonts w:ascii="Times New Roman" w:hAnsi="Times New Roman" w:cs="Times New Roman"/>
                <w:szCs w:val="24"/>
              </w:rPr>
            </w:pPr>
            <w:r w:rsidRPr="00FB76A9">
              <w:rPr>
                <w:rFonts w:ascii="Times New Roman" w:hAnsi="Times New Roman" w:cs="Times New Roman"/>
                <w:szCs w:val="24"/>
              </w:rPr>
              <w:t>12. W przypadku, gdy organ nadzoru rynku innego państwa członkowskiego Unii Europejskiej lub Komisja Europejska wyda decyzję o wycofaniu z obrotu lub użytkowania pojazdu, przedmiotu wyposażenia lub części, Dyrektor TDT jako organ nadzoru rynku z urzędu wszczyna postępowanie administracyjne w tej sprawie i wydaje decyzję administracyjną o wycofaniu z obrotu lub użytkowania takiego pojazdu, przedmiotu wyposażenia lub części na terytorium Rzeczypospolitej Polskiej.</w:t>
            </w:r>
          </w:p>
          <w:p w14:paraId="54AC7EDB" w14:textId="77777777" w:rsidR="00E55F04" w:rsidRPr="00FB76A9" w:rsidRDefault="00E55F04" w:rsidP="00FD5CD5">
            <w:pPr>
              <w:pStyle w:val="ZUSTzmustartykuempunktem"/>
              <w:tabs>
                <w:tab w:val="left" w:pos="3969"/>
              </w:tabs>
              <w:spacing w:line="240" w:lineRule="auto"/>
              <w:jc w:val="left"/>
              <w:rPr>
                <w:rFonts w:ascii="Times New Roman" w:hAnsi="Times New Roman" w:cs="Times New Roman"/>
                <w:szCs w:val="24"/>
              </w:rPr>
            </w:pPr>
            <w:r w:rsidRPr="00FB76A9">
              <w:rPr>
                <w:rFonts w:ascii="Times New Roman" w:hAnsi="Times New Roman" w:cs="Times New Roman"/>
                <w:szCs w:val="24"/>
              </w:rPr>
              <w:t xml:space="preserve">13. W przypadku, gdy decyzja, o której mowa w art. 68zj ust. 1, dotyczy dystrybutora, środki naprawcze przewidziane w decyzji mają zastosowanie wyłącznie wobec pojazdów, przedmiotów wyposażenia lub części, które zostały przez niego udostępnione na rynku. </w:t>
            </w:r>
          </w:p>
          <w:p w14:paraId="788B7E22" w14:textId="77777777" w:rsidR="00E55F04" w:rsidRPr="00FB76A9" w:rsidRDefault="00E55F04" w:rsidP="00FD5CD5">
            <w:pPr>
              <w:suppressAutoHyphens/>
              <w:autoSpaceDE w:val="0"/>
              <w:autoSpaceDN w:val="0"/>
              <w:adjustRightInd w:val="0"/>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Art. 68zl. 1. Dyrektor TDT jako organ nadzoru rynku po wydaniu decyzji, o której mowa w art. 68zj ust. 1 lub art. 68zk ust. 12, informuje organ właściwy w sprawach homologacji, który przeprowadził ocenę zgodności pojazdu, przedmiotu wyposażenia lub części, o stwierdzeniu niezgodności z wymaganiami technicznymi lub stwarzaniu przez pojazd, przedmiot wyposażenia lub część </w:t>
            </w:r>
            <w:r w:rsidRPr="00FB76A9">
              <w:rPr>
                <w:rFonts w:ascii="Times New Roman" w:eastAsiaTheme="minorEastAsia" w:hAnsi="Times New Roman" w:cs="Times New Roman"/>
                <w:sz w:val="24"/>
                <w:szCs w:val="24"/>
                <w:lang w:eastAsia="pl-PL"/>
              </w:rPr>
              <w:lastRenderedPageBreak/>
              <w:t>poważnego ryzyka, wskazując stwierdzone niezgodności lub ryzyka.</w:t>
            </w:r>
          </w:p>
          <w:p w14:paraId="1A72D1BE"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Dyrektor TDT jako organ nadzoru rynku powiadamia o wydaniu decyzji, o której mowa w art. 68zj ust. 1 lub art. 68zk ust. 12, w tym podjętych środków naprawczych, opinię publiczną w trybie określonym w art. 68zt oraz przekazuje informację o wydaniu decyzji Komisji Europejskiej oraz organom nadzoru rynku w państwach członkowskich Unii Europejskiej za pomocą systemu Safety Gate oraz systemu ICSMS.</w:t>
            </w:r>
          </w:p>
          <w:p w14:paraId="41E5355F" w14:textId="77777777" w:rsidR="00E55F04" w:rsidRPr="00FB76A9" w:rsidRDefault="00E55F04"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3. Dyrektor TDT jako organ nadzoru rynku przekazuje do ewidencji informacje, o wydaniu decyzji, o której mowa w art. 68zj ust. 1 lub art. 68zk ust. 12, w zakresie wycofania pojazdu z obrotu lub użytkowania.</w:t>
            </w:r>
          </w:p>
          <w:p w14:paraId="113D6511" w14:textId="77777777" w:rsidR="00E55F04" w:rsidRPr="00FB76A9" w:rsidRDefault="00E55F04"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Art. 68zm. Dyrektor TDT jako organ nadzoru rynku wydaje decyzję o umorzeniu postępowania, o którym mowa w art. 68zj  ust. 1, w przypadku gdy:</w:t>
            </w:r>
          </w:p>
          <w:p w14:paraId="7B5AF1B2"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stwierdzi, że pojazd, przedmiot wyposażenia lub część są zgodne z wymaganiami technicznymi lub nie stwarzają poważnego ryzyka;</w:t>
            </w:r>
          </w:p>
          <w:p w14:paraId="6AF74687"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postępowanie z innych przyczyn stało się bezprzedmiotowe.</w:t>
            </w:r>
          </w:p>
          <w:p w14:paraId="2B599577"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68zn. W przypadku wydania decyzji, o której mowa w art. 68zj ust. 1, w której stwierdzono, iż pojazd, przedmiot wyposażenia lub część stwarzają poważne ryzyko oraz znajdują się w posiadaniu użytkowników </w:t>
            </w:r>
            <w:r w:rsidRPr="00FB76A9">
              <w:rPr>
                <w:rFonts w:ascii="Times New Roman" w:hAnsi="Times New Roman" w:cs="Times New Roman"/>
                <w:szCs w:val="24"/>
              </w:rPr>
              <w:lastRenderedPageBreak/>
              <w:t>końcowych, Dyrektor TDT jako organ nadzoru rynku publikuje na stronie podmiotowej Transportowego Dozoru Technicznego informację o możliwości zwrotu pojazdu, przedmiotu wyposażenia lub części do podmiotu gospodarczego, który wprowadził do obrotu ten pojazd, przedmiot wyposażenia lub część oraz informację o poważnych ryzykach dotyczących tego pojazdu, przedmiotu wyposażenia lub części.</w:t>
            </w:r>
          </w:p>
          <w:p w14:paraId="26C7C9C7" w14:textId="77777777" w:rsidR="00E55F04" w:rsidRPr="00FB76A9" w:rsidRDefault="00E55F04" w:rsidP="00FD5CD5">
            <w:pPr>
              <w:spacing w:after="0" w:line="240" w:lineRule="auto"/>
              <w:ind w:left="510" w:firstLine="510"/>
              <w:rPr>
                <w:rFonts w:ascii="Times New Roman" w:hAnsi="Times New Roman" w:cs="Times New Roman"/>
                <w:sz w:val="24"/>
                <w:szCs w:val="24"/>
              </w:rPr>
            </w:pPr>
            <w:r w:rsidRPr="00FB76A9">
              <w:rPr>
                <w:rFonts w:ascii="Times New Roman" w:hAnsi="Times New Roman" w:cs="Times New Roman"/>
                <w:sz w:val="24"/>
                <w:szCs w:val="24"/>
              </w:rPr>
              <w:t>Art. 68zo.</w:t>
            </w:r>
            <w:r w:rsidRPr="00FB76A9">
              <w:rPr>
                <w:rFonts w:ascii="Times New Roman" w:hAnsi="Times New Roman" w:cs="Times New Roman"/>
                <w:b/>
                <w:sz w:val="24"/>
                <w:szCs w:val="24"/>
              </w:rPr>
              <w:t xml:space="preserve"> </w:t>
            </w:r>
            <w:r w:rsidRPr="00FB76A9">
              <w:rPr>
                <w:rFonts w:ascii="Times New Roman" w:hAnsi="Times New Roman" w:cs="Times New Roman"/>
                <w:sz w:val="24"/>
                <w:szCs w:val="24"/>
              </w:rPr>
              <w:t>Opinie eksperckie, o których mowa art. 68s ust. 1 pkt 5, mogą być sporządzane przez:</w:t>
            </w:r>
          </w:p>
          <w:p w14:paraId="59949F13" w14:textId="77777777" w:rsidR="00E55F04" w:rsidRPr="00FB76A9" w:rsidRDefault="00E55F04" w:rsidP="00FD5CD5">
            <w:pPr>
              <w:pStyle w:val="ZUSTzmustartykuempunktem"/>
              <w:keepNext/>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osoby będące:</w:t>
            </w:r>
          </w:p>
          <w:p w14:paraId="35A77631" w14:textId="77777777" w:rsidR="00E55F04" w:rsidRPr="00FB76A9" w:rsidRDefault="00E55F04" w:rsidP="00FD5CD5">
            <w:pPr>
              <w:pStyle w:val="ZLITzmlitartykuempunktem"/>
              <w:spacing w:line="240" w:lineRule="auto"/>
              <w:ind w:left="1418"/>
              <w:jc w:val="left"/>
              <w:rPr>
                <w:rFonts w:ascii="Times New Roman" w:hAnsi="Times New Roman" w:cs="Times New Roman"/>
                <w:szCs w:val="24"/>
              </w:rPr>
            </w:pPr>
            <w:r w:rsidRPr="00FB76A9">
              <w:rPr>
                <w:rFonts w:ascii="Times New Roman" w:hAnsi="Times New Roman" w:cs="Times New Roman"/>
                <w:szCs w:val="24"/>
              </w:rPr>
              <w:t xml:space="preserve">a) </w:t>
            </w:r>
            <w:r w:rsidRPr="00FB76A9">
              <w:rPr>
                <w:rFonts w:ascii="Times New Roman" w:hAnsi="Times New Roman" w:cs="Times New Roman"/>
                <w:szCs w:val="24"/>
              </w:rPr>
              <w:tab/>
              <w:t>rzeczoznawcami samochodowymi, o których mowa w art. 79a ustawy z dnia 20 czerwca 1997 r. – Prawo o ruchu drogowym lub biegłymi sądowymi z dziedziny mechanika, maszyny, urządzenia, o którym mowa w art. 157 ustawy z dnia 27 lipca 2001 r. – Prawo o ustroju sądów powszechnych (Dz. U. z 2024 r. poz. 334, z późn. zm.</w:t>
            </w:r>
            <w:r w:rsidRPr="00FB76A9">
              <w:rPr>
                <w:rStyle w:val="Odwoanieprzypisudolnego"/>
                <w:rFonts w:ascii="Times New Roman" w:hAnsi="Times New Roman"/>
                <w:szCs w:val="24"/>
              </w:rPr>
              <w:footnoteReference w:id="3"/>
            </w:r>
            <w:r w:rsidRPr="00FB76A9">
              <w:rPr>
                <w:rFonts w:ascii="Times New Roman" w:hAnsi="Times New Roman" w:cs="Times New Roman"/>
                <w:szCs w:val="24"/>
                <w:vertAlign w:val="superscript"/>
              </w:rPr>
              <w:t>)</w:t>
            </w:r>
            <w:r w:rsidRPr="00FB76A9">
              <w:rPr>
                <w:rFonts w:ascii="Times New Roman" w:hAnsi="Times New Roman" w:cs="Times New Roman"/>
                <w:szCs w:val="24"/>
              </w:rPr>
              <w:t>), oraz</w:t>
            </w:r>
          </w:p>
          <w:p w14:paraId="746E0AEB" w14:textId="77777777" w:rsidR="00E55F04" w:rsidRPr="00FB76A9" w:rsidRDefault="00E55F04" w:rsidP="00FD5CD5">
            <w:pPr>
              <w:pStyle w:val="ZLITzmlitartykuempunktem"/>
              <w:spacing w:line="240" w:lineRule="auto"/>
              <w:ind w:left="1418"/>
              <w:jc w:val="left"/>
              <w:rPr>
                <w:rFonts w:ascii="Times New Roman" w:hAnsi="Times New Roman" w:cs="Times New Roman"/>
                <w:szCs w:val="24"/>
              </w:rPr>
            </w:pPr>
            <w:r w:rsidRPr="00FB76A9">
              <w:rPr>
                <w:rFonts w:ascii="Times New Roman" w:hAnsi="Times New Roman" w:cs="Times New Roman"/>
                <w:szCs w:val="24"/>
              </w:rPr>
              <w:t xml:space="preserve">b)  </w:t>
            </w:r>
            <w:r w:rsidRPr="00FB76A9">
              <w:rPr>
                <w:rFonts w:ascii="Times New Roman" w:hAnsi="Times New Roman" w:cs="Times New Roman"/>
                <w:szCs w:val="24"/>
              </w:rPr>
              <w:tab/>
              <w:t>posiadające co najmniej 6-letnią praktykę zawodową w dziedzinie związanej z motoryzacją;</w:t>
            </w:r>
          </w:p>
          <w:p w14:paraId="3CA5C066" w14:textId="77777777" w:rsidR="00E55F04" w:rsidRPr="00FB76A9" w:rsidRDefault="00E55F04" w:rsidP="00FD5CD5">
            <w:pPr>
              <w:pStyle w:val="PKTpunkt"/>
              <w:spacing w:line="240" w:lineRule="auto"/>
              <w:ind w:left="1020"/>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 xml:space="preserve">instytuty naukowe lub naukowo-badawcze oraz inne podmioty posiadające specjalistyczną wiedzę w dziedzinie związanej z motoryzacją. </w:t>
            </w:r>
          </w:p>
          <w:p w14:paraId="3DD2D99A"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Art. 68zp. 1. Pojazd, przedmiot wyposażenia lub część pobrana w ramach kontroli lub badań, o których mowa w art. 68za ust. 1 pkt 12 albo art. 68zh ust. 1, lub nabyta w ramach zakupu kontrolnego, o którym mowa w art. 68zg ust. 1, podlega zwrotowi po zakończeniu kontroli lub badań, a jeżeli w związku z ustaleniami z kontroli lub badań zostało wszczęte postępowanie administracyjne, po zakończeniu tego postępowania, jeżeli pojazd, przedmiot wyposażenia lub część nadal mogą być użytkowane zgodnie z przeznaczeniem.</w:t>
            </w:r>
          </w:p>
          <w:p w14:paraId="5CF2CCE6"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Podmiot gospodarczy lub posiadacz pojazdu, przedmiotu wyposażenia lub części niebędący użytkownikiem końcowym, od którego pobrano lub nabyto pojazd, przedmiot wyposażenia lub część w ramach kontroli, badań lub zakupu kontrolnego, jest obowiązany do przyjęcia zwracanego pojazdu, przedmiotu wyposażenia lub części, a w przypadku zakupu kontrolnego również do zwrotu </w:t>
            </w:r>
            <w:r w:rsidR="008031F8">
              <w:rPr>
                <w:rFonts w:ascii="Times New Roman" w:hAnsi="Times New Roman" w:cs="Times New Roman"/>
                <w:szCs w:val="24"/>
              </w:rPr>
              <w:t>za</w:t>
            </w:r>
            <w:r w:rsidRPr="00FB76A9">
              <w:rPr>
                <w:rFonts w:ascii="Times New Roman" w:hAnsi="Times New Roman" w:cs="Times New Roman"/>
                <w:szCs w:val="24"/>
              </w:rPr>
              <w:t>płaty za zwracany pojazd, przedmiot wyposażenia lub część.</w:t>
            </w:r>
          </w:p>
          <w:p w14:paraId="69AB793B"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 przypadku zakwalifikowania pojazdu, przedmiotu wyposażenia lub części jako próbki, po zakończeniu kontroli lub badań, o których mowa w art. 68za ust. 1 pkt 12 albo art. 68zh ust. 1, Dyrektor TDT jako organ nadzoru rynku, w drodze postanowienia, rozstrzyga o obowiązku przyjęcia zwracanego pojazdu, przedmiotu wyposażenia lub części, a w przypadku zakupu kontrolnego również o obowiązku zwrotu </w:t>
            </w:r>
            <w:r w:rsidR="008031F8">
              <w:rPr>
                <w:rFonts w:ascii="Times New Roman" w:hAnsi="Times New Roman" w:cs="Times New Roman"/>
                <w:szCs w:val="24"/>
              </w:rPr>
              <w:t xml:space="preserve">zapłaty </w:t>
            </w:r>
            <w:r w:rsidRPr="00FB76A9">
              <w:rPr>
                <w:rFonts w:ascii="Times New Roman" w:hAnsi="Times New Roman" w:cs="Times New Roman"/>
                <w:szCs w:val="24"/>
              </w:rPr>
              <w:lastRenderedPageBreak/>
              <w:t>w określonym terminie opłaty za zwracany pojazd, przedmiot wyposażenia lub część. Na postanowienie, o którym mowa w zdaniu pierwszym służy zażalenie.</w:t>
            </w:r>
          </w:p>
          <w:p w14:paraId="7256B8ED"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W przypadku niezakwalifikowania pojazdu, przedmiotu wyposażenia lub części jako próbki, podlega ona niezwłocznemu zwrotowi.</w:t>
            </w:r>
          </w:p>
          <w:p w14:paraId="04015CE7"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5. W przypadku, o którym mowa w ust. 4, Dyrektor TDT jako organ nadzoru rynku, w drodze postanowienia, rozstrzyga o obowiązku przyjęcia zwracanego pojazdu, przedmiotu wyposażenia lub części, a w przypadku zakupu kontrolnego również o obowiązku zwrotu </w:t>
            </w:r>
            <w:r w:rsidR="008031F8">
              <w:rPr>
                <w:rFonts w:ascii="Times New Roman" w:hAnsi="Times New Roman" w:cs="Times New Roman"/>
                <w:szCs w:val="24"/>
              </w:rPr>
              <w:t xml:space="preserve">zapłaty </w:t>
            </w:r>
            <w:r w:rsidRPr="00FB76A9">
              <w:rPr>
                <w:rFonts w:ascii="Times New Roman" w:hAnsi="Times New Roman" w:cs="Times New Roman"/>
                <w:szCs w:val="24"/>
              </w:rPr>
              <w:t>w określonym terminie opłaty za zwracany pojazd, przedmiot wyposażenia lub część. Na postanowienie, o którym mowa w zdaniu pierwszym, służy zażalenie.</w:t>
            </w:r>
          </w:p>
          <w:p w14:paraId="4355C6AF" w14:textId="77777777" w:rsidR="00E55F04" w:rsidRPr="00FB76A9" w:rsidRDefault="00E55F04"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Art. 68zr. 1. W przypadku odmowy przyjęcia zwracanego pojazdu, przedmiotu wyposażenia lub części podlega on zniszczeniu, o którym mowa w art. 68zs ust. 1, albo może być przedmiotem:</w:t>
            </w:r>
          </w:p>
          <w:p w14:paraId="4CB40D54"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nieodpłatnego przekazania lub darowizny na rzecz jednostek sektora finansów publicznych lub państwowych osób prawnych, które nie są jednostkami sektora finansów publicznych;</w:t>
            </w:r>
          </w:p>
          <w:p w14:paraId="32701C9E"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darowizny na rzecz jednostek organizacyjnych, o których mowa w art. 2 ustawy z dnia 14 grudnia 2016 r. – Prawo oświatowe (Dz. U. z 202</w:t>
            </w:r>
            <w:r w:rsidR="00565B65">
              <w:rPr>
                <w:rFonts w:ascii="Times New Roman" w:hAnsi="Times New Roman" w:cs="Times New Roman"/>
                <w:szCs w:val="24"/>
              </w:rPr>
              <w:t>6</w:t>
            </w:r>
            <w:r w:rsidRPr="00FB76A9">
              <w:rPr>
                <w:rFonts w:ascii="Times New Roman" w:hAnsi="Times New Roman" w:cs="Times New Roman"/>
                <w:szCs w:val="24"/>
              </w:rPr>
              <w:t xml:space="preserve"> r. poz. </w:t>
            </w:r>
            <w:r w:rsidR="00565B65">
              <w:rPr>
                <w:rFonts w:ascii="Times New Roman" w:hAnsi="Times New Roman" w:cs="Times New Roman"/>
                <w:szCs w:val="24"/>
              </w:rPr>
              <w:t>820</w:t>
            </w:r>
            <w:r w:rsidRPr="00FB76A9">
              <w:rPr>
                <w:rFonts w:ascii="Times New Roman" w:hAnsi="Times New Roman" w:cs="Times New Roman"/>
                <w:szCs w:val="24"/>
              </w:rPr>
              <w:t xml:space="preserve">), niebędących jednostkami sektora finansów </w:t>
            </w:r>
            <w:r w:rsidRPr="00FB76A9">
              <w:rPr>
                <w:rFonts w:ascii="Times New Roman" w:hAnsi="Times New Roman" w:cs="Times New Roman"/>
                <w:szCs w:val="24"/>
              </w:rPr>
              <w:lastRenderedPageBreak/>
              <w:t>publicznych, oraz fundacji lub organizacji pożytku publicznego, które prowadzą działalność charytatywną, opiekuńczą, kulturalną, leczniczą, oświatową, naukową, badawczo</w:t>
            </w:r>
            <w:r w:rsidRPr="00FB76A9">
              <w:rPr>
                <w:rFonts w:ascii="Times New Roman" w:hAnsi="Times New Roman" w:cs="Times New Roman"/>
                <w:szCs w:val="24"/>
              </w:rPr>
              <w:noBreakHyphen/>
              <w:t>rozwojową, wychowawczą, sportową lub turystyczną, z przeznaczeniem na realizację ich celów statutowych.</w:t>
            </w:r>
          </w:p>
          <w:p w14:paraId="1206AFB8" w14:textId="77777777" w:rsidR="00E55F04" w:rsidRPr="00FB76A9" w:rsidRDefault="00E55F04" w:rsidP="00FD5CD5">
            <w:pPr>
              <w:pStyle w:val="ZPKTzmpktartykuempunktem"/>
              <w:spacing w:line="240" w:lineRule="auto"/>
              <w:ind w:left="510" w:firstLine="510"/>
              <w:jc w:val="left"/>
              <w:rPr>
                <w:rFonts w:ascii="Times New Roman" w:hAnsi="Times New Roman" w:cs="Times New Roman"/>
                <w:szCs w:val="24"/>
              </w:rPr>
            </w:pPr>
            <w:r w:rsidRPr="00FB76A9">
              <w:rPr>
                <w:rFonts w:ascii="Times New Roman" w:hAnsi="Times New Roman" w:cs="Times New Roman"/>
                <w:szCs w:val="24"/>
              </w:rPr>
              <w:t>2. Dyrektor TDT jako organ nadzory rynku dokonuje oceny, czy pojazd, przedmiot wyposażenia lub część może być użytkowana zgodnie z przeznaczeniem oraz czy jest zgodna z wymaganiami technicznymi oraz nie stwarza poważnego ryzyka i może zostać przekazana lub darowana podmiotom, o których mowa w ust. 1.</w:t>
            </w:r>
          </w:p>
          <w:p w14:paraId="258FE2EA" w14:textId="77777777" w:rsidR="00E55F04" w:rsidRPr="00FB76A9" w:rsidRDefault="00E55F04" w:rsidP="00FD5CD5">
            <w:pPr>
              <w:pStyle w:val="ZPKTzmpktartykuempunktem"/>
              <w:spacing w:line="240" w:lineRule="auto"/>
              <w:ind w:left="510" w:firstLine="510"/>
              <w:jc w:val="left"/>
              <w:rPr>
                <w:rFonts w:ascii="Times New Roman" w:hAnsi="Times New Roman" w:cs="Times New Roman"/>
                <w:szCs w:val="24"/>
              </w:rPr>
            </w:pPr>
            <w:r w:rsidRPr="00FB76A9">
              <w:rPr>
                <w:rFonts w:ascii="Times New Roman" w:hAnsi="Times New Roman" w:cs="Times New Roman"/>
                <w:szCs w:val="24"/>
              </w:rPr>
              <w:t xml:space="preserve">3. Dyrektor TDT jako organ nadzoru rynku po dokonaniu oceny, o której mowa </w:t>
            </w:r>
            <w:r w:rsidRPr="00FB76A9">
              <w:rPr>
                <w:rFonts w:ascii="Times New Roman" w:hAnsi="Times New Roman" w:cs="Times New Roman"/>
                <w:szCs w:val="24"/>
              </w:rPr>
              <w:br/>
              <w:t xml:space="preserve">w ust. 2, zamieszcza w Biuletynie Informacji Publicznej Transportowego Dozoru Technicznego informacje o pojazdach, przedmiotach wyposażenia lub częściach, które mogą być przedmiotem przekazania lub darowizny podmiotom, o których mowa </w:t>
            </w:r>
            <w:r w:rsidRPr="00FB76A9">
              <w:rPr>
                <w:rFonts w:ascii="Times New Roman" w:hAnsi="Times New Roman" w:cs="Times New Roman"/>
                <w:szCs w:val="24"/>
              </w:rPr>
              <w:br/>
              <w:t>w ust. 1.</w:t>
            </w:r>
          </w:p>
          <w:p w14:paraId="1C00DFE9" w14:textId="77777777" w:rsidR="00E55F04" w:rsidRPr="00FB76A9" w:rsidRDefault="00E55F04" w:rsidP="00FD5CD5">
            <w:pPr>
              <w:autoSpaceDE w:val="0"/>
              <w:autoSpaceDN w:val="0"/>
              <w:adjustRightInd w:val="0"/>
              <w:spacing w:after="0" w:line="240" w:lineRule="auto"/>
              <w:ind w:left="510" w:firstLine="510"/>
              <w:rPr>
                <w:rFonts w:ascii="Times New Roman" w:eastAsiaTheme="minorEastAsia" w:hAnsi="Times New Roman" w:cs="Times New Roman"/>
                <w:bCs/>
                <w:sz w:val="24"/>
                <w:szCs w:val="24"/>
                <w:lang w:eastAsia="pl-PL"/>
              </w:rPr>
            </w:pPr>
            <w:r w:rsidRPr="00FB76A9">
              <w:rPr>
                <w:rFonts w:ascii="Times New Roman" w:eastAsiaTheme="minorEastAsia" w:hAnsi="Times New Roman" w:cs="Times New Roman"/>
                <w:bCs/>
                <w:sz w:val="24"/>
                <w:szCs w:val="24"/>
                <w:lang w:eastAsia="pl-PL"/>
              </w:rPr>
              <w:t>4. Dyrektor TDT dokonuje przekazania lub darowizny pojazdu, przedmiotu wyposażenia lub części podmiotowi, o którym mowa w ust. 1, na podstawie kolejności dokonanych zgłoszeń.</w:t>
            </w:r>
          </w:p>
          <w:p w14:paraId="689AAA42" w14:textId="77777777" w:rsidR="00E55F04" w:rsidRPr="00FB76A9" w:rsidRDefault="00E55F04" w:rsidP="00FD5CD5">
            <w:pPr>
              <w:pStyle w:val="ZPKTzmpktartykuempunktem"/>
              <w:spacing w:line="240" w:lineRule="auto"/>
              <w:ind w:left="510" w:firstLine="510"/>
              <w:jc w:val="left"/>
              <w:rPr>
                <w:rFonts w:ascii="Times New Roman" w:hAnsi="Times New Roman" w:cs="Times New Roman"/>
                <w:szCs w:val="24"/>
              </w:rPr>
            </w:pPr>
            <w:r w:rsidRPr="00FB76A9">
              <w:rPr>
                <w:rFonts w:ascii="Times New Roman" w:hAnsi="Times New Roman" w:cs="Times New Roman"/>
                <w:bCs w:val="0"/>
                <w:szCs w:val="24"/>
              </w:rPr>
              <w:t xml:space="preserve">5. Dyrektor TDT </w:t>
            </w:r>
            <w:r w:rsidRPr="00FB76A9">
              <w:rPr>
                <w:rFonts w:ascii="Times New Roman" w:hAnsi="Times New Roman" w:cs="Times New Roman"/>
                <w:szCs w:val="24"/>
              </w:rPr>
              <w:t xml:space="preserve">jako organ nadzoru rynku zamieszcza w Biuletynie Informacji Publicznej Transportowego Dozoru Technicznego informacje o przekazaniach lub darowiznach, o których mowa w ust. 1. </w:t>
            </w:r>
          </w:p>
          <w:p w14:paraId="1082A429" w14:textId="77777777" w:rsidR="00E55F04" w:rsidRPr="00FB76A9" w:rsidRDefault="00E55F04" w:rsidP="00FD5CD5">
            <w:pPr>
              <w:pStyle w:val="ZPKTzmpktartykuempunktem"/>
              <w:spacing w:line="240" w:lineRule="auto"/>
              <w:ind w:left="510" w:firstLine="510"/>
              <w:jc w:val="left"/>
              <w:rPr>
                <w:rFonts w:ascii="Times New Roman" w:hAnsi="Times New Roman" w:cs="Times New Roman"/>
                <w:szCs w:val="24"/>
              </w:rPr>
            </w:pPr>
            <w:r w:rsidRPr="00FB76A9">
              <w:rPr>
                <w:rFonts w:ascii="Times New Roman" w:hAnsi="Times New Roman" w:cs="Times New Roman"/>
                <w:szCs w:val="24"/>
              </w:rPr>
              <w:lastRenderedPageBreak/>
              <w:t xml:space="preserve">6. Do przekazania lub darowizny stosuje się odpowiednio przepisy wydane na podstawie art. 5 ust. 2 ustawy z dnia 16 grudnia 2016 r. o zasadach zarządzania mieniem państwowym (Dz. U. z 2026 r. poz. 373). </w:t>
            </w:r>
          </w:p>
          <w:p w14:paraId="7EE067DF" w14:textId="77777777" w:rsidR="00E55F04" w:rsidRPr="00FB76A9" w:rsidRDefault="00E55F04" w:rsidP="00FD5CD5">
            <w:pPr>
              <w:pStyle w:val="ZARTzmartartykuempunktem"/>
              <w:keepNext/>
              <w:spacing w:line="240" w:lineRule="auto"/>
              <w:jc w:val="left"/>
              <w:rPr>
                <w:rFonts w:ascii="Times New Roman" w:hAnsi="Times New Roman" w:cs="Times New Roman"/>
                <w:szCs w:val="24"/>
              </w:rPr>
            </w:pPr>
            <w:r w:rsidRPr="00FB76A9">
              <w:rPr>
                <w:rFonts w:ascii="Times New Roman" w:eastAsiaTheme="minorHAnsi" w:hAnsi="Times New Roman" w:cs="Times New Roman"/>
                <w:szCs w:val="24"/>
              </w:rPr>
              <w:t xml:space="preserve">Art. 68zs. 1. W przypadku wydania przez Dyrektora TDT jako organ nadzoru rynku  decyzji, o której mowa w art. 68zj ust. 1 lub art. 68zk ust. 12, zobowiązującej podmiot gospodarczy, który wprowadził do obrotu lub udostępnił na rynku pojazd, przedmiot wyposażenia lub część do dokonania ich zniszczenia, </w:t>
            </w:r>
            <w:r w:rsidRPr="00FB76A9">
              <w:rPr>
                <w:rFonts w:ascii="Times New Roman" w:hAnsi="Times New Roman" w:cs="Times New Roman"/>
                <w:szCs w:val="24"/>
              </w:rPr>
              <w:t>zniszczenie to przeprowadza się w zakładzie posiadającym:</w:t>
            </w:r>
          </w:p>
          <w:p w14:paraId="01FDD1F2" w14:textId="77777777" w:rsidR="00E55F04" w:rsidRPr="00FB76A9" w:rsidRDefault="00E55F04" w:rsidP="005E0F9D">
            <w:pPr>
              <w:pStyle w:val="ZPKTzmpktartykuempunktem"/>
              <w:numPr>
                <w:ilvl w:val="0"/>
                <w:numId w:val="27"/>
              </w:numPr>
              <w:spacing w:line="240" w:lineRule="auto"/>
              <w:jc w:val="left"/>
              <w:rPr>
                <w:rFonts w:ascii="Times New Roman" w:hAnsi="Times New Roman" w:cs="Times New Roman"/>
                <w:szCs w:val="24"/>
              </w:rPr>
            </w:pPr>
            <w:r w:rsidRPr="00FB76A9">
              <w:rPr>
                <w:rFonts w:ascii="Times New Roman" w:hAnsi="Times New Roman" w:cs="Times New Roman"/>
                <w:szCs w:val="24"/>
              </w:rPr>
              <w:t>zezwolenie na prowadzenie stacji demontażu pojazdów, o którym mowa w ustawie z dnia 20 stycznia 2005 r. o recyklingu pojazdów wycofanych z eksploatacji (Dz. U. z 2020 r. poz. 2056 i z 202</w:t>
            </w:r>
            <w:r w:rsidR="00074CD7">
              <w:rPr>
                <w:rFonts w:ascii="Times New Roman" w:hAnsi="Times New Roman" w:cs="Times New Roman"/>
                <w:szCs w:val="24"/>
              </w:rPr>
              <w:t>0</w:t>
            </w:r>
            <w:r w:rsidRPr="00FB76A9">
              <w:rPr>
                <w:rFonts w:ascii="Times New Roman" w:hAnsi="Times New Roman" w:cs="Times New Roman"/>
                <w:szCs w:val="24"/>
              </w:rPr>
              <w:t xml:space="preserve"> r. poz. 1517), lub</w:t>
            </w:r>
          </w:p>
          <w:p w14:paraId="016BF52E" w14:textId="77777777" w:rsidR="00E55F04" w:rsidRPr="00FB76A9" w:rsidRDefault="00E55F04" w:rsidP="005E0F9D">
            <w:pPr>
              <w:pStyle w:val="ZPKTzmpktartykuempunktem"/>
              <w:numPr>
                <w:ilvl w:val="0"/>
                <w:numId w:val="27"/>
              </w:numPr>
              <w:spacing w:line="240" w:lineRule="auto"/>
              <w:jc w:val="left"/>
              <w:rPr>
                <w:rFonts w:ascii="Times New Roman" w:hAnsi="Times New Roman" w:cs="Times New Roman"/>
                <w:szCs w:val="24"/>
              </w:rPr>
            </w:pPr>
            <w:r w:rsidRPr="00FB76A9">
              <w:rPr>
                <w:rFonts w:ascii="Times New Roman" w:hAnsi="Times New Roman" w:cs="Times New Roman"/>
                <w:szCs w:val="24"/>
              </w:rPr>
              <w:t>inne uprawnienie wydane przez organ właściwy w zakresie gospodarowania odpadami niebezpiecznymi.</w:t>
            </w:r>
          </w:p>
          <w:p w14:paraId="25A98509"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Zakład, o którym mowa w ust. 1, obowiązany jest stosować technologie zapewniające nieodwracalność zniszczenia pojazdu, przedmiotu wyposażenia lub części oraz wyeliminowanie ich ponownego udostępnienia na rynku.</w:t>
            </w:r>
          </w:p>
          <w:p w14:paraId="736171E4"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Zniszczenie pojazdu, przedmiotu wyposażenia lub części odbywa się z zachowaniem przepisów dotyczących ochrony środowiska, w tym w zakresie postępowania z </w:t>
            </w:r>
            <w:r w:rsidRPr="00FB76A9">
              <w:rPr>
                <w:rFonts w:ascii="Times New Roman" w:hAnsi="Times New Roman" w:cs="Times New Roman"/>
                <w:szCs w:val="24"/>
              </w:rPr>
              <w:lastRenderedPageBreak/>
              <w:t>odpadami niebezpiecznymi oraz przepisów bezpieczeństwa i higieny pracy.</w:t>
            </w:r>
          </w:p>
          <w:p w14:paraId="7C5B3DC2"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Zniszczenie pojazdu, przedmiotu wyposażenia lub części odbywa się pod nadzorem Dyrektora TDT jako organu nadzoru rynku, z uwzględnieniem ust. 5.</w:t>
            </w:r>
          </w:p>
          <w:p w14:paraId="535D42B9"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Dyrektor TDT jako organ nadzoru rynku może odstąpić od nadzoru nad zniszczeniem pojazdu,  jeżeli czynności tej dokonują zakłady, o których mowa w ust. 1 pkt 1.</w:t>
            </w:r>
          </w:p>
          <w:p w14:paraId="3BD587CD"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6. Dyrektor TDT jako organ nadzoru rynku może zezwolić na przemieszczenie pojazdu, przedmiotu wyposażenia lub części objętego obowiązkiem zniszczenia, pod nadzorem Dyrektora TDT jako organu nadzoru rynku między różnymi miejscami na obszarze państw członkowskich Unii Europejskiej w celu ich zniszczenia pod nadzorem organów nadzoru rynku innego państwa członkowskiego Unii Europejskiej.</w:t>
            </w:r>
          </w:p>
          <w:p w14:paraId="09C7A016"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7. Zakład, o którym mowa w ust. 1, sporządza protokół ze zniszczenia zawierający:</w:t>
            </w:r>
          </w:p>
          <w:p w14:paraId="4A5532F3" w14:textId="77777777" w:rsidR="00E55F04" w:rsidRPr="00FB76A9" w:rsidRDefault="00E55F04" w:rsidP="005E0F9D">
            <w:pPr>
              <w:pStyle w:val="ZPKTzmpktartykuempunktem"/>
              <w:numPr>
                <w:ilvl w:val="0"/>
                <w:numId w:val="28"/>
              </w:numPr>
              <w:spacing w:line="240" w:lineRule="auto"/>
              <w:jc w:val="left"/>
              <w:rPr>
                <w:rFonts w:ascii="Times New Roman" w:hAnsi="Times New Roman" w:cs="Times New Roman"/>
                <w:szCs w:val="24"/>
              </w:rPr>
            </w:pPr>
            <w:r w:rsidRPr="00FB76A9">
              <w:rPr>
                <w:rFonts w:ascii="Times New Roman" w:hAnsi="Times New Roman" w:cs="Times New Roman"/>
                <w:szCs w:val="24"/>
              </w:rPr>
              <w:t>nazwę i adres zakładu;</w:t>
            </w:r>
          </w:p>
          <w:p w14:paraId="41906EA4" w14:textId="77777777" w:rsidR="00E55F04" w:rsidRPr="00FB76A9" w:rsidRDefault="00E55F04" w:rsidP="005E0F9D">
            <w:pPr>
              <w:pStyle w:val="ZPKTzmpktartykuempunktem"/>
              <w:numPr>
                <w:ilvl w:val="0"/>
                <w:numId w:val="28"/>
              </w:numPr>
              <w:spacing w:line="240" w:lineRule="auto"/>
              <w:jc w:val="left"/>
              <w:rPr>
                <w:rFonts w:ascii="Times New Roman" w:hAnsi="Times New Roman" w:cs="Times New Roman"/>
                <w:szCs w:val="24"/>
              </w:rPr>
            </w:pPr>
            <w:r w:rsidRPr="00FB76A9">
              <w:rPr>
                <w:rFonts w:ascii="Times New Roman" w:hAnsi="Times New Roman" w:cs="Times New Roman"/>
                <w:szCs w:val="24"/>
              </w:rPr>
              <w:t>datę i miejsce zniszczenia;</w:t>
            </w:r>
          </w:p>
          <w:p w14:paraId="5CF165AA" w14:textId="77777777" w:rsidR="00E55F04" w:rsidRPr="00FB76A9" w:rsidRDefault="00E55F04" w:rsidP="005E0F9D">
            <w:pPr>
              <w:pStyle w:val="ZPKTzmpktartykuempunktem"/>
              <w:numPr>
                <w:ilvl w:val="0"/>
                <w:numId w:val="28"/>
              </w:numPr>
              <w:spacing w:line="240" w:lineRule="auto"/>
              <w:jc w:val="left"/>
              <w:rPr>
                <w:rFonts w:ascii="Times New Roman" w:hAnsi="Times New Roman" w:cs="Times New Roman"/>
                <w:szCs w:val="24"/>
              </w:rPr>
            </w:pPr>
            <w:r w:rsidRPr="00FB76A9">
              <w:rPr>
                <w:rFonts w:ascii="Times New Roman" w:hAnsi="Times New Roman" w:cs="Times New Roman"/>
                <w:szCs w:val="24"/>
              </w:rPr>
              <w:t>nazwę i adres podmiotu gospodarczego zlecającego zniszczenie;</w:t>
            </w:r>
          </w:p>
          <w:p w14:paraId="33D60DAA" w14:textId="77777777" w:rsidR="00E55F04" w:rsidRPr="00FB76A9" w:rsidRDefault="00E55F04" w:rsidP="005E0F9D">
            <w:pPr>
              <w:pStyle w:val="ZPKTzmpktartykuempunktem"/>
              <w:numPr>
                <w:ilvl w:val="0"/>
                <w:numId w:val="28"/>
              </w:numPr>
              <w:spacing w:line="240" w:lineRule="auto"/>
              <w:jc w:val="left"/>
              <w:rPr>
                <w:rFonts w:ascii="Times New Roman" w:hAnsi="Times New Roman" w:cs="Times New Roman"/>
                <w:szCs w:val="24"/>
              </w:rPr>
            </w:pPr>
            <w:r w:rsidRPr="00FB76A9">
              <w:rPr>
                <w:rFonts w:ascii="Times New Roman" w:hAnsi="Times New Roman" w:cs="Times New Roman"/>
                <w:szCs w:val="24"/>
              </w:rPr>
              <w:t>oznaczenie pojazdu, przedmiotu wyposażenia lub części, w tym numer VIN lub inny numer umożliwiający identyfikację pojazdu, przedmiotu wyposażenia lub części;</w:t>
            </w:r>
          </w:p>
          <w:p w14:paraId="35D7039B" w14:textId="77777777" w:rsidR="00E55F04" w:rsidRPr="00FB76A9" w:rsidRDefault="00E55F04" w:rsidP="005E0F9D">
            <w:pPr>
              <w:pStyle w:val="ZPKTzmpktartykuempunktem"/>
              <w:numPr>
                <w:ilvl w:val="0"/>
                <w:numId w:val="28"/>
              </w:numPr>
              <w:spacing w:line="240" w:lineRule="auto"/>
              <w:jc w:val="left"/>
              <w:rPr>
                <w:rFonts w:ascii="Times New Roman" w:hAnsi="Times New Roman" w:cs="Times New Roman"/>
                <w:szCs w:val="24"/>
              </w:rPr>
            </w:pPr>
            <w:r w:rsidRPr="00FB76A9">
              <w:rPr>
                <w:rFonts w:ascii="Times New Roman" w:hAnsi="Times New Roman" w:cs="Times New Roman"/>
                <w:szCs w:val="24"/>
              </w:rPr>
              <w:t>liczbę oraz wagę zniszczonych pojazdów, przedmiotów wyposażenia lub części;</w:t>
            </w:r>
          </w:p>
          <w:p w14:paraId="14B22AC7" w14:textId="77777777" w:rsidR="00E55F04" w:rsidRPr="00FB76A9" w:rsidRDefault="00E55F04" w:rsidP="005E0F9D">
            <w:pPr>
              <w:pStyle w:val="ZPKTzmpktartykuempunktem"/>
              <w:numPr>
                <w:ilvl w:val="0"/>
                <w:numId w:val="28"/>
              </w:numPr>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opis zastosowanej metody zniszczenia;</w:t>
            </w:r>
          </w:p>
          <w:p w14:paraId="121FC320" w14:textId="77777777" w:rsidR="00E55F04" w:rsidRPr="00FB76A9" w:rsidRDefault="00E55F04" w:rsidP="005E0F9D">
            <w:pPr>
              <w:pStyle w:val="ZPKTzmpktartykuempunktem"/>
              <w:numPr>
                <w:ilvl w:val="0"/>
                <w:numId w:val="28"/>
              </w:numPr>
              <w:spacing w:line="240" w:lineRule="auto"/>
              <w:jc w:val="left"/>
              <w:rPr>
                <w:rFonts w:ascii="Times New Roman" w:hAnsi="Times New Roman" w:cs="Times New Roman"/>
                <w:szCs w:val="24"/>
              </w:rPr>
            </w:pPr>
            <w:r w:rsidRPr="00FB76A9">
              <w:rPr>
                <w:rFonts w:ascii="Times New Roman" w:hAnsi="Times New Roman" w:cs="Times New Roman"/>
                <w:szCs w:val="24"/>
              </w:rPr>
              <w:t>podpis osoby odpowiedzialnej za przeprowadzenie zniszczenia.</w:t>
            </w:r>
          </w:p>
          <w:p w14:paraId="678D6A41"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8. Protokół, o którym mowa w ust. 7, przekazywany jest w terminie 7 dni od dnia zniszczenia:</w:t>
            </w:r>
          </w:p>
          <w:p w14:paraId="37323254" w14:textId="77777777" w:rsidR="00E55F04" w:rsidRPr="00FB76A9" w:rsidRDefault="00E55F04" w:rsidP="005E0F9D">
            <w:pPr>
              <w:pStyle w:val="ZPKTzmpktartykuempunktem"/>
              <w:numPr>
                <w:ilvl w:val="0"/>
                <w:numId w:val="16"/>
              </w:numPr>
              <w:spacing w:line="240" w:lineRule="auto"/>
              <w:jc w:val="left"/>
              <w:rPr>
                <w:rFonts w:ascii="Times New Roman" w:hAnsi="Times New Roman" w:cs="Times New Roman"/>
                <w:szCs w:val="24"/>
              </w:rPr>
            </w:pPr>
            <w:r w:rsidRPr="00FB76A9">
              <w:rPr>
                <w:rFonts w:ascii="Times New Roman" w:hAnsi="Times New Roman" w:cs="Times New Roman"/>
                <w:szCs w:val="24"/>
              </w:rPr>
              <w:t>Dyrektorowi Transportowego Dozoru Technicznego jako organowi nadzoru rynku – w celu potwierdzenia wykonania decyzji,</w:t>
            </w:r>
            <w:r w:rsidRPr="00FB76A9">
              <w:rPr>
                <w:rFonts w:ascii="Times New Roman" w:eastAsiaTheme="minorHAnsi" w:hAnsi="Times New Roman" w:cs="Times New Roman"/>
                <w:szCs w:val="24"/>
              </w:rPr>
              <w:t xml:space="preserve"> o której mowa w art. 68zj ust. 1 w zakresie art. 68zk ust. 2 pkt 3 lub art. 68zk ust. 12</w:t>
            </w:r>
            <w:r w:rsidRPr="00FB76A9">
              <w:rPr>
                <w:rFonts w:ascii="Times New Roman" w:hAnsi="Times New Roman" w:cs="Times New Roman"/>
                <w:szCs w:val="24"/>
              </w:rPr>
              <w:t>;</w:t>
            </w:r>
          </w:p>
          <w:p w14:paraId="1BC19DE1" w14:textId="77777777" w:rsidR="00E55F04" w:rsidRPr="00FB76A9" w:rsidRDefault="00E55F04" w:rsidP="005E0F9D">
            <w:pPr>
              <w:pStyle w:val="ZPKTzmpktartykuempunktem"/>
              <w:numPr>
                <w:ilvl w:val="0"/>
                <w:numId w:val="16"/>
              </w:numPr>
              <w:spacing w:line="240" w:lineRule="auto"/>
              <w:jc w:val="left"/>
              <w:rPr>
                <w:rFonts w:ascii="Times New Roman" w:hAnsi="Times New Roman" w:cs="Times New Roman"/>
                <w:szCs w:val="24"/>
              </w:rPr>
            </w:pPr>
            <w:r w:rsidRPr="00FB76A9">
              <w:rPr>
                <w:rFonts w:ascii="Times New Roman" w:hAnsi="Times New Roman" w:cs="Times New Roman"/>
                <w:szCs w:val="24"/>
              </w:rPr>
              <w:t>podmiotowi gospodarczemu, na którego nałożono obowiązek wykonania decyzji,</w:t>
            </w:r>
            <w:r w:rsidRPr="00FB76A9">
              <w:rPr>
                <w:rFonts w:ascii="Times New Roman" w:eastAsiaTheme="minorHAnsi" w:hAnsi="Times New Roman" w:cs="Times New Roman"/>
                <w:szCs w:val="24"/>
              </w:rPr>
              <w:t xml:space="preserve"> o której mowa w art. 68zj ust. 1 w zakresie art. 68zk ust. 2 pkt 3 lub art. 68zk ust. 12</w:t>
            </w:r>
            <w:r w:rsidRPr="00FB76A9">
              <w:rPr>
                <w:rFonts w:ascii="Times New Roman" w:hAnsi="Times New Roman" w:cs="Times New Roman"/>
                <w:szCs w:val="24"/>
              </w:rPr>
              <w:t>.</w:t>
            </w:r>
          </w:p>
          <w:p w14:paraId="6DD280A6"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9. Podmiot gospodarczy, o którym mowa w ust. 1, informuje Dyrektora TDT jako organ nadzoru rynku o wykonaniu decyzji, o której mowa w art. 68zj ust. 1</w:t>
            </w:r>
            <w:r w:rsidRPr="00FB76A9">
              <w:rPr>
                <w:rFonts w:ascii="Times New Roman" w:eastAsiaTheme="minorHAnsi" w:hAnsi="Times New Roman" w:cs="Times New Roman"/>
                <w:szCs w:val="24"/>
              </w:rPr>
              <w:t xml:space="preserve"> lub art. 68zk ust. 12, w zakresie </w:t>
            </w:r>
            <w:r w:rsidRPr="00FB76A9">
              <w:rPr>
                <w:rFonts w:ascii="Times New Roman" w:hAnsi="Times New Roman" w:cs="Times New Roman"/>
                <w:szCs w:val="24"/>
              </w:rPr>
              <w:t xml:space="preserve">zniszczenia pojazdu, przedmiotu wyposażenia lub części, w terminie 14 dni od dnia upływu terminu wskazanego w tej decyzji. </w:t>
            </w:r>
          </w:p>
          <w:p w14:paraId="3F9E5E2F" w14:textId="77777777" w:rsidR="00E55F04" w:rsidRPr="00FB76A9" w:rsidRDefault="00CF3C6A" w:rsidP="00FD5CD5">
            <w:pPr>
              <w:pStyle w:val="ZUSTzmustartykuempunktem"/>
              <w:spacing w:line="240" w:lineRule="auto"/>
              <w:jc w:val="left"/>
              <w:rPr>
                <w:rFonts w:ascii="Times New Roman" w:hAnsi="Times New Roman" w:cs="Times New Roman"/>
                <w:szCs w:val="24"/>
              </w:rPr>
            </w:pPr>
            <w:r w:rsidRPr="00BC15FA">
              <w:t xml:space="preserve">10. W przypadku gdy podmiot gospodarczy nie wykonał decyzji, o której mowa w art. 68zj lub art. 68zk ust. 12, </w:t>
            </w:r>
            <w:r w:rsidRPr="00BC15FA">
              <w:rPr>
                <w:rFonts w:eastAsiaTheme="minorHAnsi"/>
              </w:rPr>
              <w:t>w zakresie zniszczenia w terminie określonym w tej decyzji pojazdu, przedmiotu wyposażenia lub części</w:t>
            </w:r>
            <w:r w:rsidRPr="00BC15FA">
              <w:t xml:space="preserve">, Dyrektor TDT jako organ nadzoru rynku ma prawo wstępu na teren nieruchomości, obiektu, lokalu lub ich części tego podmiotu gospodarczego celem odebrania mu pojazdu, przedmiotu wyposażenia lub części objętego decyzją i dokonania ich </w:t>
            </w:r>
            <w:r w:rsidRPr="00BC15FA">
              <w:lastRenderedPageBreak/>
              <w:t>zniszczenia na koszt tego podmiotu. Przepisy art. 68zd stosuje się odpowiednio.</w:t>
            </w:r>
          </w:p>
          <w:p w14:paraId="399010E9"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11. Dyrektor TDT jako organ nadzoru rynku w drodze decyzji administracyjnej określa wysokość oraz termin uiszczenia opłaty stanowiącej równowartość kosztów zniszczenia pojazdu, wyposażenia lub części oraz innych poniesionych przez Dyrektora TDT kosztów związanych z ich zniszczeniem, w tym kosztów transportu i przechowywania. </w:t>
            </w:r>
          </w:p>
          <w:p w14:paraId="66E57A55"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12. Opłata, o której mowa w ust. 11, stanowi przychód Dyrektora TDT jako organu nadzoru rynku. </w:t>
            </w:r>
          </w:p>
          <w:p w14:paraId="0C92F7DB" w14:textId="77777777" w:rsidR="00E55F04" w:rsidRPr="00FB76A9" w:rsidRDefault="00E55F04"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13. Minister właściwy do spraw transportu określi, w drodze rozporządzenia, wzór protokołu ze zniszczenia pojazdu, przedmiotu wyposażenia lub części, mając na względzie jednolitość dokumentacji i danych w nich zawartych. </w:t>
            </w:r>
          </w:p>
          <w:p w14:paraId="7D3B5263" w14:textId="77777777" w:rsidR="00E55F04" w:rsidRPr="00FB76A9" w:rsidRDefault="00E55F04"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Art. 68zt. 1. Dyrektor TDT jako organ nadzoru rynku podaje do publicznej wiadomości, w tym poprzez publikację na stronie podmiotowej Transportowego Dozoru Technicznego:</w:t>
            </w:r>
          </w:p>
          <w:p w14:paraId="67D4AB41"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komunikaty i ostrzeżenia dotyczące pojazdów, przedmiotów wyposażenia lub części, które są niezgodne z wymaganiami technicznymi lub stwarzają poważne ryzyko;</w:t>
            </w:r>
          </w:p>
          <w:p w14:paraId="64BAD03A" w14:textId="77777777" w:rsidR="00E55F04" w:rsidRPr="00FB76A9" w:rsidRDefault="00E55F04" w:rsidP="00FD5CD5">
            <w:pPr>
              <w:pStyle w:val="ZPKTzmpk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informacje o przeprowadzonych kontrolach i ich wynikach zawierające dane identyfikujące:</w:t>
            </w:r>
          </w:p>
          <w:p w14:paraId="6DD32552" w14:textId="77777777" w:rsidR="00E55F04" w:rsidRPr="00FB76A9" w:rsidRDefault="00E55F04"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a)</w:t>
            </w:r>
            <w:r w:rsidRPr="00FB76A9">
              <w:rPr>
                <w:rFonts w:ascii="Times New Roman" w:hAnsi="Times New Roman" w:cs="Times New Roman"/>
                <w:szCs w:val="24"/>
              </w:rPr>
              <w:tab/>
              <w:t xml:space="preserve">podmiot gospodarczy udostępniający na rynku pojazd, przedmiot </w:t>
            </w:r>
            <w:r w:rsidRPr="00FB76A9">
              <w:rPr>
                <w:rFonts w:ascii="Times New Roman" w:hAnsi="Times New Roman" w:cs="Times New Roman"/>
                <w:szCs w:val="24"/>
              </w:rPr>
              <w:lastRenderedPageBreak/>
              <w:t>wyposażenia lub część  w zakresie nazwy i adresu siedziby,</w:t>
            </w:r>
          </w:p>
          <w:p w14:paraId="584BBC57" w14:textId="77777777" w:rsidR="00E55F04" w:rsidRPr="00FB76A9" w:rsidRDefault="00E55F04"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b)</w:t>
            </w:r>
            <w:r w:rsidRPr="00FB76A9">
              <w:rPr>
                <w:rFonts w:ascii="Times New Roman" w:hAnsi="Times New Roman" w:cs="Times New Roman"/>
                <w:szCs w:val="24"/>
              </w:rPr>
              <w:tab/>
              <w:t>pojazd, przedmiot wyposażenia lub część</w:t>
            </w:r>
            <w:r w:rsidRPr="00FB76A9" w:rsidDel="00A31BBF">
              <w:rPr>
                <w:rFonts w:ascii="Times New Roman" w:hAnsi="Times New Roman" w:cs="Times New Roman"/>
                <w:szCs w:val="24"/>
              </w:rPr>
              <w:t xml:space="preserve"> </w:t>
            </w:r>
            <w:r w:rsidRPr="00FB76A9">
              <w:rPr>
                <w:rFonts w:ascii="Times New Roman" w:hAnsi="Times New Roman" w:cs="Times New Roman"/>
                <w:szCs w:val="24"/>
              </w:rPr>
              <w:t>poddany kontroli oraz ich producenta – w zakresie jego nazwy i adresu siedziby;</w:t>
            </w:r>
          </w:p>
          <w:p w14:paraId="6C8531B1"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decyzje, o których mowa w 68zj ust. 1 lub art. 68zk ust, 12, ze wskazaniem czy decyzja jest prawomocna, pomijając informacje stanowiące tajemnice podlegające ochronie na podstawie przepisów odrębnych.</w:t>
            </w:r>
          </w:p>
          <w:p w14:paraId="4CD03635" w14:textId="77777777" w:rsidR="00E55F04" w:rsidRPr="00FB76A9" w:rsidRDefault="00E55F04" w:rsidP="00FD5CD5">
            <w:pPr>
              <w:spacing w:after="0" w:line="240" w:lineRule="auto"/>
              <w:ind w:left="510" w:firstLine="510"/>
              <w:rPr>
                <w:rFonts w:ascii="Times New Roman" w:hAnsi="Times New Roman" w:cs="Times New Roman"/>
                <w:sz w:val="24"/>
                <w:szCs w:val="24"/>
              </w:rPr>
            </w:pPr>
            <w:r w:rsidRPr="00FB76A9">
              <w:rPr>
                <w:rFonts w:ascii="Times New Roman" w:hAnsi="Times New Roman" w:cs="Times New Roman"/>
                <w:sz w:val="24"/>
                <w:szCs w:val="24"/>
              </w:rPr>
              <w:t>2. W przypadku, gdy podmiotem którego dotyczy publikacja, o której mowa w ust. 1 pkt 2 lub 3, jest osoba fizyczna wykonująca działalność gospodarczą, dane identyfikujące ten podmiot, obejmują firmę i miejsce wykonywania działalności gospodarczej.</w:t>
            </w:r>
          </w:p>
          <w:p w14:paraId="6ABC6019" w14:textId="77777777" w:rsidR="00E55F04" w:rsidRPr="00FB76A9" w:rsidRDefault="00E55F04"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3. Dyrektor TDT jako organ nadzoru rynku prowadzi wykaz pojazdów, przedmiotów wyposażenia oraz części niezgodnych z wymaganiami technicznymi lub które stwarzają poważne ryzyko, zwany dalej „wykazem niezgodności”, oraz wykaz akcji serwisowych, zwany dalej „wykazem akcji”.</w:t>
            </w:r>
          </w:p>
          <w:p w14:paraId="57BF9EE9" w14:textId="77777777" w:rsidR="00E55F04" w:rsidRPr="00FB76A9" w:rsidRDefault="00E55F04"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4. W wykazie niezgodności</w:t>
            </w:r>
            <w:r w:rsidRPr="00FB76A9" w:rsidDel="00F720AF">
              <w:rPr>
                <w:rFonts w:ascii="Times New Roman" w:hAnsi="Times New Roman" w:cs="Times New Roman"/>
                <w:szCs w:val="24"/>
              </w:rPr>
              <w:t xml:space="preserve"> </w:t>
            </w:r>
            <w:r w:rsidRPr="00FB76A9">
              <w:rPr>
                <w:rFonts w:ascii="Times New Roman" w:hAnsi="Times New Roman" w:cs="Times New Roman"/>
                <w:szCs w:val="24"/>
              </w:rPr>
              <w:t>są gromadzone:</w:t>
            </w:r>
          </w:p>
          <w:p w14:paraId="6D4025D6" w14:textId="77777777" w:rsidR="00E55F04" w:rsidRPr="00FB76A9" w:rsidRDefault="00E55F04"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dane umożliwiające identyfikację pojazdu, przedmiotu wyposażenia lub części;</w:t>
            </w:r>
          </w:p>
          <w:p w14:paraId="50F870BC" w14:textId="77777777" w:rsidR="00E55F04" w:rsidRPr="00FB76A9" w:rsidRDefault="00E55F04"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informacje o:</w:t>
            </w:r>
          </w:p>
          <w:p w14:paraId="6609CF03" w14:textId="77777777" w:rsidR="00E55F04" w:rsidRPr="00FB76A9" w:rsidRDefault="00E55F04" w:rsidP="00FD5CD5">
            <w:pPr>
              <w:pStyle w:val="ZARTzmartartykuempunktem"/>
              <w:spacing w:line="240" w:lineRule="auto"/>
              <w:ind w:left="1497" w:hanging="476"/>
              <w:jc w:val="left"/>
              <w:rPr>
                <w:rFonts w:ascii="Times New Roman" w:hAnsi="Times New Roman" w:cs="Times New Roman"/>
                <w:szCs w:val="24"/>
              </w:rPr>
            </w:pPr>
            <w:r w:rsidRPr="00FB76A9">
              <w:rPr>
                <w:rFonts w:ascii="Times New Roman" w:hAnsi="Times New Roman" w:cs="Times New Roman"/>
                <w:szCs w:val="24"/>
              </w:rPr>
              <w:t>a)</w:t>
            </w:r>
            <w:r w:rsidRPr="00FB76A9">
              <w:rPr>
                <w:rFonts w:ascii="Times New Roman" w:hAnsi="Times New Roman" w:cs="Times New Roman"/>
                <w:szCs w:val="24"/>
              </w:rPr>
              <w:tab/>
              <w:t xml:space="preserve">rodzaju i zakresie niezgodności z wymaganiami technicznymi lub stwarzanym poważnym ryzykiem przez </w:t>
            </w:r>
            <w:r w:rsidRPr="00FB76A9">
              <w:rPr>
                <w:rFonts w:ascii="Times New Roman" w:hAnsi="Times New Roman" w:cs="Times New Roman"/>
                <w:szCs w:val="24"/>
              </w:rPr>
              <w:lastRenderedPageBreak/>
              <w:t>pojazd, przedmiot wyposażenia lub część,</w:t>
            </w:r>
          </w:p>
          <w:p w14:paraId="21578374" w14:textId="77777777" w:rsidR="00E55F04" w:rsidRPr="00FB76A9" w:rsidRDefault="00E55F04" w:rsidP="00FD5CD5">
            <w:pPr>
              <w:pStyle w:val="ZARTzmartartykuempunktem"/>
              <w:spacing w:line="240" w:lineRule="auto"/>
              <w:ind w:left="1497" w:hanging="476"/>
              <w:jc w:val="left"/>
              <w:rPr>
                <w:rFonts w:ascii="Times New Roman" w:hAnsi="Times New Roman" w:cs="Times New Roman"/>
                <w:szCs w:val="24"/>
              </w:rPr>
            </w:pPr>
            <w:r w:rsidRPr="00FB76A9">
              <w:rPr>
                <w:rFonts w:ascii="Times New Roman" w:hAnsi="Times New Roman" w:cs="Times New Roman"/>
                <w:szCs w:val="24"/>
              </w:rPr>
              <w:t>b)</w:t>
            </w:r>
            <w:r w:rsidRPr="00FB76A9">
              <w:rPr>
                <w:rFonts w:ascii="Times New Roman" w:hAnsi="Times New Roman" w:cs="Times New Roman"/>
                <w:szCs w:val="24"/>
              </w:rPr>
              <w:tab/>
              <w:t>środkach naprawczych, jakie zastosowano w odniesieniu do pojazdu, przedmiotu wyposażenia lub części.</w:t>
            </w:r>
          </w:p>
          <w:p w14:paraId="355AB90E" w14:textId="77777777" w:rsidR="00E55F04" w:rsidRPr="00FB76A9" w:rsidRDefault="00E55F04"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5. Dyrektor TDT jako organ nadzoru rynku dokonuje wpisu do wykazu niezgodności</w:t>
            </w:r>
            <w:r w:rsidRPr="00FB76A9" w:rsidDel="00F720AF">
              <w:rPr>
                <w:rFonts w:ascii="Times New Roman" w:hAnsi="Times New Roman" w:cs="Times New Roman"/>
                <w:szCs w:val="24"/>
              </w:rPr>
              <w:t xml:space="preserve"> </w:t>
            </w:r>
            <w:r w:rsidRPr="00FB76A9">
              <w:rPr>
                <w:rFonts w:ascii="Times New Roman" w:eastAsia="Times New Roman" w:hAnsi="Times New Roman" w:cs="Times New Roman"/>
                <w:color w:val="333333"/>
                <w:szCs w:val="24"/>
              </w:rPr>
              <w:t xml:space="preserve">niezwłocznie po dniu, w którym decyzja, o której mowa w 68zj ust. 1 lub art. 68zk ust. 12, stała się prawomocna, lub niezwłocznie po otrzymaniu zawiadomienia w systemie </w:t>
            </w:r>
            <w:r w:rsidRPr="00FB76A9">
              <w:rPr>
                <w:rFonts w:ascii="Times New Roman" w:hAnsi="Times New Roman" w:cs="Times New Roman"/>
                <w:szCs w:val="24"/>
              </w:rPr>
              <w:t>Safety Gate</w:t>
            </w:r>
            <w:r w:rsidRPr="00FB76A9">
              <w:rPr>
                <w:rFonts w:ascii="Times New Roman" w:eastAsia="Times New Roman" w:hAnsi="Times New Roman" w:cs="Times New Roman"/>
                <w:color w:val="333333"/>
                <w:szCs w:val="24"/>
              </w:rPr>
              <w:t xml:space="preserve"> o wydaniu prawomocnej decyzji przez organ nadzoru rynku innego państwa członkowskiego Unii Europejskiej.</w:t>
            </w:r>
          </w:p>
          <w:p w14:paraId="747A2599" w14:textId="77777777" w:rsidR="00E55F04" w:rsidRPr="00FB76A9" w:rsidRDefault="00E55F04"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6. Dyrektor TDT jako organ nadzoru rynku, z urzędu lub na wniosek innego organu nadzoru rynku, usuwa wpis z wykazu niezgodności, w przypadku gdy:</w:t>
            </w:r>
          </w:p>
          <w:p w14:paraId="0D0164C8" w14:textId="77777777" w:rsidR="00E55F04" w:rsidRPr="00FB76A9" w:rsidRDefault="00E55F04"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 xml:space="preserve">strona postępowania, o którym mowa w art. 68zj ust. 1 lub art. 68zk ust. 12 wykaże, że wykonała decyzję, o której mowa w tym przepisie; wpis usuwa się nie wcześniej niż po upływie 3 miesięcy od dnia tego wykazania; </w:t>
            </w:r>
          </w:p>
          <w:p w14:paraId="09840C6D" w14:textId="77777777" w:rsidR="00E55F04" w:rsidRPr="00FB76A9" w:rsidRDefault="00E55F04"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podmiot gospodarczy, będący stroną postępowania, o którym mowa w art. 68zj ust. 1 lub art. 68zk ust. 12, zaprzestał prowadzenia działalności gospodarczej; wpis usuwa się nie wcześniej niż po upływie 24 miesięcy od dnia zaprzestania prowadzenia działalności gospodarczej przez ten podmiot.</w:t>
            </w:r>
          </w:p>
          <w:p w14:paraId="29DD54D1" w14:textId="77777777" w:rsidR="00E55F04" w:rsidRPr="00FB76A9" w:rsidRDefault="00E55F04"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7. Dyrektor TDT jako organ nadzoru rynku może w każdym czasie podać do publicznej wiadomości informacje zawarte w wykazie niezgodności.</w:t>
            </w:r>
          </w:p>
          <w:p w14:paraId="2B0B97A4" w14:textId="77777777" w:rsidR="00E55F04" w:rsidRPr="00FB76A9" w:rsidRDefault="00E55F04" w:rsidP="00FD5CD5">
            <w:pPr>
              <w:shd w:val="clear" w:color="auto" w:fill="FFFFFF"/>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imes New Roman" w:hAnsi="Times New Roman" w:cs="Times New Roman"/>
                <w:color w:val="333333"/>
                <w:sz w:val="24"/>
                <w:szCs w:val="24"/>
                <w:lang w:eastAsia="pl-PL"/>
              </w:rPr>
              <w:t xml:space="preserve">8. </w:t>
            </w:r>
            <w:r w:rsidRPr="00FB76A9">
              <w:rPr>
                <w:rFonts w:ascii="Times New Roman" w:eastAsiaTheme="minorEastAsia" w:hAnsi="Times New Roman" w:cs="Times New Roman"/>
                <w:sz w:val="24"/>
                <w:szCs w:val="24"/>
                <w:lang w:eastAsia="pl-PL"/>
              </w:rPr>
              <w:t>Wykaz niezgodności jest prowadzony z wykorzystaniem systemu teleinformatycznego.</w:t>
            </w:r>
          </w:p>
          <w:p w14:paraId="76C52D84" w14:textId="77777777" w:rsidR="00E55F04" w:rsidRPr="00FB76A9" w:rsidRDefault="00E55F04"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 xml:space="preserve">9. Każdy wpis do </w:t>
            </w:r>
            <w:r w:rsidRPr="00FB76A9">
              <w:rPr>
                <w:rFonts w:ascii="Times New Roman" w:hAnsi="Times New Roman" w:cs="Times New Roman"/>
                <w:sz w:val="24"/>
                <w:szCs w:val="24"/>
              </w:rPr>
              <w:t>wykazu niezgodności</w:t>
            </w:r>
            <w:r w:rsidRPr="00FB76A9" w:rsidDel="00F720AF">
              <w:rPr>
                <w:rFonts w:ascii="Times New Roman" w:eastAsia="Times New Roman" w:hAnsi="Times New Roman" w:cs="Times New Roman"/>
                <w:color w:val="333333"/>
                <w:sz w:val="24"/>
                <w:szCs w:val="24"/>
                <w:lang w:eastAsia="pl-PL"/>
              </w:rPr>
              <w:t xml:space="preserve"> </w:t>
            </w:r>
            <w:r w:rsidRPr="00FB76A9">
              <w:rPr>
                <w:rFonts w:ascii="Times New Roman" w:eastAsia="Times New Roman" w:hAnsi="Times New Roman" w:cs="Times New Roman"/>
                <w:color w:val="333333"/>
                <w:sz w:val="24"/>
                <w:szCs w:val="24"/>
                <w:lang w:eastAsia="pl-PL"/>
              </w:rPr>
              <w:t>dotyczy jednego pojazdu, przedmiotu wyposażenia lub części.</w:t>
            </w:r>
          </w:p>
          <w:p w14:paraId="057010FA" w14:textId="77777777" w:rsidR="00E55F04" w:rsidRPr="00FB76A9" w:rsidRDefault="00E55F04"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10. W</w:t>
            </w:r>
            <w:r w:rsidRPr="00FB76A9">
              <w:rPr>
                <w:rFonts w:ascii="Times New Roman" w:hAnsi="Times New Roman" w:cs="Times New Roman"/>
                <w:sz w:val="24"/>
                <w:szCs w:val="24"/>
              </w:rPr>
              <w:t>ykaz niezgodności</w:t>
            </w:r>
            <w:r w:rsidRPr="00FB76A9">
              <w:rPr>
                <w:rFonts w:ascii="Times New Roman" w:eastAsia="Times New Roman" w:hAnsi="Times New Roman" w:cs="Times New Roman"/>
                <w:color w:val="333333"/>
                <w:sz w:val="24"/>
                <w:szCs w:val="24"/>
                <w:lang w:eastAsia="pl-PL"/>
              </w:rPr>
              <w:t xml:space="preserve"> umożliwia niezwłoczne wyszukanie, odczytanie oraz wydrukowanie całości albo części zapisanych danych.</w:t>
            </w:r>
          </w:p>
          <w:p w14:paraId="3747E937" w14:textId="77777777" w:rsidR="00E55F04" w:rsidRPr="00FB76A9" w:rsidRDefault="00E55F04"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11. W w</w:t>
            </w:r>
            <w:r w:rsidRPr="00FB76A9">
              <w:rPr>
                <w:rFonts w:ascii="Times New Roman" w:hAnsi="Times New Roman" w:cs="Times New Roman"/>
                <w:sz w:val="24"/>
                <w:szCs w:val="24"/>
              </w:rPr>
              <w:t>ykazie niezgodności</w:t>
            </w:r>
            <w:r w:rsidRPr="00FB76A9">
              <w:rPr>
                <w:rFonts w:ascii="Times New Roman" w:eastAsia="Times New Roman" w:hAnsi="Times New Roman" w:cs="Times New Roman"/>
                <w:color w:val="333333"/>
                <w:sz w:val="24"/>
                <w:szCs w:val="24"/>
                <w:lang w:eastAsia="pl-PL"/>
              </w:rPr>
              <w:t xml:space="preserve"> umieszcza się następujące dane:</w:t>
            </w:r>
          </w:p>
          <w:p w14:paraId="5CCAA4C4" w14:textId="77777777" w:rsidR="00E55F04" w:rsidRPr="00FB76A9" w:rsidRDefault="00E55F04"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w:t>
            </w:r>
            <w:r w:rsidRPr="00FB76A9">
              <w:rPr>
                <w:rFonts w:ascii="Times New Roman" w:eastAsia="Times New Roman" w:hAnsi="Times New Roman" w:cs="Times New Roman"/>
                <w:color w:val="333333"/>
                <w:sz w:val="24"/>
                <w:szCs w:val="24"/>
                <w:lang w:eastAsia="pl-PL"/>
              </w:rPr>
              <w:tab/>
              <w:t>datę wpisu do w</w:t>
            </w:r>
            <w:r w:rsidRPr="00FB76A9">
              <w:rPr>
                <w:rFonts w:ascii="Times New Roman" w:hAnsi="Times New Roman" w:cs="Times New Roman"/>
                <w:sz w:val="24"/>
                <w:szCs w:val="24"/>
              </w:rPr>
              <w:t>ykazu niezgodności</w:t>
            </w:r>
            <w:r w:rsidRPr="00FB76A9">
              <w:rPr>
                <w:rFonts w:ascii="Times New Roman" w:eastAsia="Times New Roman" w:hAnsi="Times New Roman" w:cs="Times New Roman"/>
                <w:color w:val="333333"/>
                <w:sz w:val="24"/>
                <w:szCs w:val="24"/>
                <w:lang w:eastAsia="pl-PL"/>
              </w:rPr>
              <w:t>;</w:t>
            </w:r>
          </w:p>
          <w:p w14:paraId="651FDF79" w14:textId="77777777" w:rsidR="00E55F04" w:rsidRPr="00FB76A9" w:rsidRDefault="00E55F04"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2)</w:t>
            </w:r>
            <w:r w:rsidRPr="00FB76A9">
              <w:rPr>
                <w:rFonts w:ascii="Times New Roman" w:eastAsia="Times New Roman" w:hAnsi="Times New Roman" w:cs="Times New Roman"/>
                <w:color w:val="333333"/>
                <w:sz w:val="24"/>
                <w:szCs w:val="24"/>
                <w:lang w:eastAsia="pl-PL"/>
              </w:rPr>
              <w:tab/>
              <w:t>numer identyfikacyjny wpisu;</w:t>
            </w:r>
          </w:p>
          <w:p w14:paraId="12CD10DB" w14:textId="77777777" w:rsidR="00E55F04" w:rsidRPr="00FB76A9" w:rsidRDefault="00E55F04"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3)</w:t>
            </w:r>
            <w:r w:rsidRPr="00FB76A9">
              <w:rPr>
                <w:rFonts w:ascii="Times New Roman" w:eastAsia="Times New Roman" w:hAnsi="Times New Roman" w:cs="Times New Roman"/>
                <w:color w:val="333333"/>
                <w:sz w:val="24"/>
                <w:szCs w:val="24"/>
                <w:lang w:eastAsia="pl-PL"/>
              </w:rPr>
              <w:tab/>
              <w:t>oznaczenie decyzji, o której mowa w art. 68zj ust. 1 lub art. 68zk ust. 12;</w:t>
            </w:r>
          </w:p>
          <w:p w14:paraId="600C6A9D"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color w:val="333333"/>
                <w:szCs w:val="24"/>
              </w:rPr>
              <w:t xml:space="preserve">4)      oznaczenie pojazdu, przedmiotu wyposażenia lub części, </w:t>
            </w:r>
            <w:r w:rsidRPr="00FB76A9">
              <w:rPr>
                <w:rFonts w:ascii="Times New Roman" w:hAnsi="Times New Roman" w:cs="Times New Roman"/>
                <w:szCs w:val="24"/>
              </w:rPr>
              <w:t>w tym numer VIN lub inny numer umożliwiający identyfikację pojazdu, przedmiotu wyposażenia lub części;</w:t>
            </w:r>
          </w:p>
          <w:p w14:paraId="5762E6B2" w14:textId="77777777" w:rsidR="00E55F04" w:rsidRPr="00FB76A9" w:rsidRDefault="00E55F04"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5)</w:t>
            </w:r>
            <w:r w:rsidRPr="00FB76A9">
              <w:rPr>
                <w:rFonts w:ascii="Times New Roman" w:eastAsia="Times New Roman" w:hAnsi="Times New Roman" w:cs="Times New Roman"/>
                <w:color w:val="333333"/>
                <w:sz w:val="24"/>
                <w:szCs w:val="24"/>
                <w:lang w:eastAsia="pl-PL"/>
              </w:rPr>
              <w:tab/>
              <w:t>Europejski Kod Towarowy (kod EAN) wyrobu, jeżeli kod taki w przypadku danego pojazdu, przedmiotu wyposażenia lub części występuje;</w:t>
            </w:r>
          </w:p>
          <w:p w14:paraId="08391674" w14:textId="77777777" w:rsidR="00E55F04" w:rsidRPr="00FB76A9" w:rsidRDefault="00E55F04"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6)</w:t>
            </w:r>
            <w:r w:rsidRPr="00FB76A9">
              <w:rPr>
                <w:rFonts w:ascii="Times New Roman" w:eastAsia="Times New Roman" w:hAnsi="Times New Roman" w:cs="Times New Roman"/>
                <w:color w:val="333333"/>
                <w:sz w:val="24"/>
                <w:szCs w:val="24"/>
                <w:lang w:eastAsia="pl-PL"/>
              </w:rPr>
              <w:tab/>
              <w:t>kraj produkcji pojazdu, przedmiotu wyposażenia lub części;</w:t>
            </w:r>
          </w:p>
          <w:p w14:paraId="111F272D" w14:textId="77777777" w:rsidR="00E55F04" w:rsidRPr="00FB76A9" w:rsidRDefault="00E55F04"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7)</w:t>
            </w:r>
            <w:r w:rsidRPr="00FB76A9">
              <w:rPr>
                <w:rFonts w:ascii="Times New Roman" w:eastAsia="Times New Roman" w:hAnsi="Times New Roman" w:cs="Times New Roman"/>
                <w:color w:val="333333"/>
                <w:sz w:val="24"/>
                <w:szCs w:val="24"/>
                <w:lang w:eastAsia="pl-PL"/>
              </w:rPr>
              <w:tab/>
              <w:t xml:space="preserve">firmę lub nazwę oraz adres podmiotu gospodarczego, który wprowadził do obrotu </w:t>
            </w:r>
            <w:r w:rsidRPr="00FB76A9">
              <w:rPr>
                <w:rFonts w:ascii="Times New Roman" w:eastAsia="Times New Roman" w:hAnsi="Times New Roman" w:cs="Times New Roman"/>
                <w:color w:val="333333"/>
                <w:sz w:val="24"/>
                <w:szCs w:val="24"/>
                <w:lang w:eastAsia="pl-PL"/>
              </w:rPr>
              <w:lastRenderedPageBreak/>
              <w:t>lub udostępnił pojazd, przedmiot wyposażenia lub część na rynku Rzeczypospolitej Polskiej, wraz ze wskazaniem czy działał on jako producent, przedstawiciel producenta, importer czy dystrybutor;</w:t>
            </w:r>
          </w:p>
          <w:p w14:paraId="732EA450" w14:textId="77777777" w:rsidR="00E55F04" w:rsidRPr="00FB76A9" w:rsidRDefault="00E55F04"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sz w:val="24"/>
                <w:szCs w:val="24"/>
                <w:lang w:eastAsia="pl-PL"/>
              </w:rPr>
              <w:t>8)</w:t>
            </w:r>
            <w:r w:rsidRPr="00FB76A9">
              <w:rPr>
                <w:rFonts w:ascii="Times New Roman" w:eastAsia="Times New Roman" w:hAnsi="Times New Roman" w:cs="Times New Roman"/>
                <w:color w:val="333333"/>
                <w:sz w:val="24"/>
                <w:szCs w:val="24"/>
                <w:lang w:eastAsia="pl-PL"/>
              </w:rPr>
              <w:tab/>
              <w:t xml:space="preserve">opis stwierdzonych </w:t>
            </w:r>
            <w:r w:rsidRPr="00FB76A9">
              <w:rPr>
                <w:rFonts w:ascii="Times New Roman" w:hAnsi="Times New Roman" w:cs="Times New Roman"/>
                <w:sz w:val="24"/>
                <w:szCs w:val="24"/>
              </w:rPr>
              <w:t>niezgodności z wymaganiami technicznymi lub stwarzanego poważnego ryzyka przez</w:t>
            </w:r>
            <w:r w:rsidRPr="00FB76A9">
              <w:rPr>
                <w:rFonts w:ascii="Times New Roman" w:eastAsia="Times New Roman" w:hAnsi="Times New Roman" w:cs="Times New Roman"/>
                <w:color w:val="333333"/>
                <w:sz w:val="24"/>
                <w:szCs w:val="24"/>
                <w:lang w:eastAsia="pl-PL"/>
              </w:rPr>
              <w:t xml:space="preserve"> pojazd, przedmiot wyposażenia lub część;</w:t>
            </w:r>
          </w:p>
          <w:p w14:paraId="5F628F64" w14:textId="77777777" w:rsidR="00E55F04" w:rsidRPr="00FB76A9" w:rsidRDefault="00E55F04"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9)</w:t>
            </w:r>
            <w:r w:rsidRPr="00FB76A9">
              <w:rPr>
                <w:rFonts w:ascii="Times New Roman" w:eastAsia="Times New Roman" w:hAnsi="Times New Roman" w:cs="Times New Roman"/>
                <w:color w:val="333333"/>
                <w:sz w:val="24"/>
                <w:szCs w:val="24"/>
                <w:lang w:eastAsia="pl-PL"/>
              </w:rPr>
              <w:tab/>
              <w:t xml:space="preserve">określenie środków naprawczych, jakie zastosowano w odniesieniu do pojazdu, przedmiotu wyposażenia lub części </w:t>
            </w:r>
            <w:r w:rsidRPr="00FB76A9">
              <w:rPr>
                <w:rFonts w:ascii="Times New Roman" w:hAnsi="Times New Roman" w:cs="Times New Roman"/>
                <w:sz w:val="24"/>
                <w:szCs w:val="24"/>
              </w:rPr>
              <w:t>niezgodnego z wymaganiami technicznymi lub stwarzającego poważne ryzyko</w:t>
            </w:r>
            <w:r w:rsidRPr="00FB76A9">
              <w:rPr>
                <w:rFonts w:ascii="Times New Roman" w:eastAsia="Times New Roman" w:hAnsi="Times New Roman" w:cs="Times New Roman"/>
                <w:color w:val="333333"/>
                <w:sz w:val="24"/>
                <w:szCs w:val="24"/>
                <w:lang w:eastAsia="pl-PL"/>
              </w:rPr>
              <w:t>;</w:t>
            </w:r>
          </w:p>
          <w:p w14:paraId="6323D2C2" w14:textId="77777777" w:rsidR="00E55F04" w:rsidRPr="00FB76A9" w:rsidRDefault="00E55F04"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10)</w:t>
            </w:r>
            <w:r w:rsidRPr="00FB76A9">
              <w:rPr>
                <w:rFonts w:ascii="Times New Roman" w:eastAsia="Times New Roman" w:hAnsi="Times New Roman" w:cs="Times New Roman"/>
                <w:color w:val="333333"/>
                <w:sz w:val="24"/>
                <w:szCs w:val="24"/>
                <w:lang w:eastAsia="pl-PL"/>
              </w:rPr>
              <w:tab/>
              <w:t>inne informacje wynikające z decyzji, o której mowa w art. 68zj ust. 1 lub art. 68zk ust. 12, których umieszczenie w rejestrze może mieć wpływ na zapewnienie bezpieczeństwa użytkownikom końcowym.</w:t>
            </w:r>
          </w:p>
          <w:p w14:paraId="705937BD" w14:textId="77777777" w:rsidR="00E55F04" w:rsidRPr="00FB76A9" w:rsidRDefault="00E55F04" w:rsidP="00FD5CD5">
            <w:pPr>
              <w:shd w:val="clear" w:color="auto" w:fill="FFFFFF"/>
              <w:spacing w:after="0" w:line="240" w:lineRule="auto"/>
              <w:ind w:left="510" w:firstLine="510"/>
              <w:rPr>
                <w:rFonts w:ascii="Times New Roman" w:hAnsi="Times New Roman" w:cs="Times New Roman"/>
                <w:sz w:val="24"/>
                <w:szCs w:val="24"/>
              </w:rPr>
            </w:pPr>
            <w:r w:rsidRPr="00FB76A9">
              <w:rPr>
                <w:rFonts w:ascii="Times New Roman" w:eastAsia="Times New Roman" w:hAnsi="Times New Roman" w:cs="Times New Roman"/>
                <w:color w:val="333333"/>
                <w:sz w:val="24"/>
                <w:szCs w:val="24"/>
                <w:lang w:eastAsia="pl-PL"/>
              </w:rPr>
              <w:t>12. W w</w:t>
            </w:r>
            <w:r w:rsidRPr="00FB76A9">
              <w:rPr>
                <w:rFonts w:ascii="Times New Roman" w:hAnsi="Times New Roman" w:cs="Times New Roman"/>
                <w:sz w:val="24"/>
                <w:szCs w:val="24"/>
              </w:rPr>
              <w:t>ykazie niezgodności</w:t>
            </w:r>
            <w:r w:rsidRPr="00FB76A9">
              <w:rPr>
                <w:rFonts w:ascii="Times New Roman" w:eastAsia="Times New Roman" w:hAnsi="Times New Roman" w:cs="Times New Roman"/>
                <w:color w:val="333333"/>
                <w:sz w:val="24"/>
                <w:szCs w:val="24"/>
                <w:lang w:eastAsia="pl-PL"/>
              </w:rPr>
              <w:t xml:space="preserve"> mogą być umieszczane zdjęcia pojazdu, przedmiotu wyposażenia lub części, lub ich opakowania.</w:t>
            </w:r>
          </w:p>
          <w:p w14:paraId="29BC30A4" w14:textId="77777777" w:rsidR="00E55F04" w:rsidRPr="00FB76A9" w:rsidRDefault="00E55F04" w:rsidP="00FD5CD5">
            <w:pPr>
              <w:shd w:val="clear" w:color="auto" w:fill="FFFFFF"/>
              <w:spacing w:after="0" w:line="240" w:lineRule="auto"/>
              <w:ind w:left="510" w:firstLine="510"/>
              <w:rPr>
                <w:rFonts w:ascii="Times New Roman" w:hAnsi="Times New Roman" w:cs="Times New Roman"/>
                <w:sz w:val="24"/>
                <w:szCs w:val="24"/>
              </w:rPr>
            </w:pPr>
            <w:r w:rsidRPr="00FB76A9">
              <w:rPr>
                <w:rFonts w:ascii="Times New Roman" w:eastAsia="Times New Roman" w:hAnsi="Times New Roman" w:cs="Times New Roman"/>
                <w:color w:val="333333"/>
                <w:sz w:val="24"/>
                <w:szCs w:val="24"/>
                <w:lang w:eastAsia="pl-PL"/>
              </w:rPr>
              <w:t xml:space="preserve">13. </w:t>
            </w:r>
            <w:r w:rsidRPr="00FB76A9">
              <w:rPr>
                <w:rFonts w:ascii="Times New Roman" w:hAnsi="Times New Roman" w:cs="Times New Roman"/>
                <w:sz w:val="24"/>
                <w:szCs w:val="24"/>
              </w:rPr>
              <w:t>W wykazie akcji</w:t>
            </w:r>
            <w:r w:rsidRPr="00FB76A9" w:rsidDel="00F720AF">
              <w:rPr>
                <w:rFonts w:ascii="Times New Roman" w:hAnsi="Times New Roman" w:cs="Times New Roman"/>
                <w:sz w:val="24"/>
                <w:szCs w:val="24"/>
              </w:rPr>
              <w:t xml:space="preserve"> </w:t>
            </w:r>
            <w:r w:rsidRPr="00FB76A9">
              <w:rPr>
                <w:rFonts w:ascii="Times New Roman" w:hAnsi="Times New Roman" w:cs="Times New Roman"/>
                <w:sz w:val="24"/>
                <w:szCs w:val="24"/>
              </w:rPr>
              <w:t>są gromadzone:</w:t>
            </w:r>
          </w:p>
          <w:p w14:paraId="33A2DB78" w14:textId="77777777" w:rsidR="00E55F04" w:rsidRPr="00FB76A9" w:rsidRDefault="00E55F04"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dane umożliwiające identyfikację pojazdu:</w:t>
            </w:r>
          </w:p>
          <w:p w14:paraId="09CA66E9" w14:textId="77777777" w:rsidR="00E55F04" w:rsidRPr="00FB76A9" w:rsidRDefault="00E55F04" w:rsidP="005E0F9D">
            <w:pPr>
              <w:pStyle w:val="ZARTzmartartykuempunktem"/>
              <w:numPr>
                <w:ilvl w:val="0"/>
                <w:numId w:val="16"/>
              </w:numPr>
              <w:spacing w:line="240" w:lineRule="auto"/>
              <w:jc w:val="left"/>
              <w:rPr>
                <w:rFonts w:ascii="Times New Roman" w:hAnsi="Times New Roman" w:cs="Times New Roman"/>
                <w:szCs w:val="24"/>
              </w:rPr>
            </w:pPr>
            <w:r w:rsidRPr="00FB76A9">
              <w:rPr>
                <w:rFonts w:ascii="Times New Roman" w:hAnsi="Times New Roman" w:cs="Times New Roman"/>
                <w:szCs w:val="24"/>
              </w:rPr>
              <w:t>datę i numer wpisu do wykazu akcji;</w:t>
            </w:r>
          </w:p>
          <w:p w14:paraId="34DAA3BB" w14:textId="77777777" w:rsidR="00E55F04" w:rsidRPr="00FB76A9" w:rsidRDefault="00E55F04" w:rsidP="005E0F9D">
            <w:pPr>
              <w:pStyle w:val="ZARTzmartartykuempunktem"/>
              <w:numPr>
                <w:ilvl w:val="0"/>
                <w:numId w:val="16"/>
              </w:numPr>
              <w:spacing w:line="240" w:lineRule="auto"/>
              <w:jc w:val="left"/>
              <w:rPr>
                <w:rFonts w:ascii="Times New Roman" w:hAnsi="Times New Roman" w:cs="Times New Roman"/>
                <w:szCs w:val="24"/>
              </w:rPr>
            </w:pPr>
            <w:r w:rsidRPr="00FB76A9">
              <w:rPr>
                <w:rFonts w:ascii="Times New Roman" w:hAnsi="Times New Roman" w:cs="Times New Roman"/>
                <w:szCs w:val="24"/>
              </w:rPr>
              <w:t>markę i model pojazdu;</w:t>
            </w:r>
          </w:p>
          <w:p w14:paraId="42C8016B" w14:textId="77777777" w:rsidR="00E55F04" w:rsidRPr="00FB76A9" w:rsidRDefault="00E55F04" w:rsidP="005E0F9D">
            <w:pPr>
              <w:pStyle w:val="ZARTzmartartykuempunktem"/>
              <w:numPr>
                <w:ilvl w:val="0"/>
                <w:numId w:val="16"/>
              </w:numPr>
              <w:spacing w:line="240" w:lineRule="auto"/>
              <w:jc w:val="left"/>
              <w:rPr>
                <w:rFonts w:ascii="Times New Roman" w:hAnsi="Times New Roman" w:cs="Times New Roman"/>
                <w:szCs w:val="24"/>
              </w:rPr>
            </w:pPr>
            <w:r w:rsidRPr="00FB76A9">
              <w:rPr>
                <w:rFonts w:ascii="Times New Roman" w:hAnsi="Times New Roman" w:cs="Times New Roman"/>
                <w:szCs w:val="24"/>
              </w:rPr>
              <w:t>okres produkcji;</w:t>
            </w:r>
          </w:p>
          <w:p w14:paraId="0DEB4076" w14:textId="77777777" w:rsidR="00E55F04" w:rsidRPr="00FB76A9" w:rsidRDefault="00E55F04" w:rsidP="005E0F9D">
            <w:pPr>
              <w:pStyle w:val="ZARTzmartartykuempunktem"/>
              <w:numPr>
                <w:ilvl w:val="0"/>
                <w:numId w:val="16"/>
              </w:numPr>
              <w:spacing w:line="240" w:lineRule="auto"/>
              <w:jc w:val="left"/>
              <w:rPr>
                <w:rFonts w:ascii="Times New Roman" w:hAnsi="Times New Roman" w:cs="Times New Roman"/>
                <w:szCs w:val="24"/>
              </w:rPr>
            </w:pPr>
            <w:r w:rsidRPr="00FB76A9">
              <w:rPr>
                <w:rFonts w:ascii="Times New Roman" w:eastAsia="Times New Roman" w:hAnsi="Times New Roman" w:cs="Times New Roman"/>
                <w:color w:val="333333"/>
                <w:szCs w:val="24"/>
              </w:rPr>
              <w:t>numer odpowiedniego dokumentu, o którym mowa w art. 14 ust. 4 w odniesieniu do pojazdu, jeśli dotyczy;</w:t>
            </w:r>
            <w:r w:rsidRPr="00FB76A9">
              <w:rPr>
                <w:rFonts w:ascii="Times New Roman" w:hAnsi="Times New Roman" w:cs="Times New Roman"/>
                <w:szCs w:val="24"/>
              </w:rPr>
              <w:t xml:space="preserve"> </w:t>
            </w:r>
          </w:p>
          <w:p w14:paraId="1514B980" w14:textId="77777777" w:rsidR="00E55F04" w:rsidRPr="00FB76A9" w:rsidRDefault="00E55F04" w:rsidP="005E0F9D">
            <w:pPr>
              <w:pStyle w:val="ZARTzmartartykuempunktem"/>
              <w:numPr>
                <w:ilvl w:val="0"/>
                <w:numId w:val="16"/>
              </w:numPr>
              <w:spacing w:line="240" w:lineRule="auto"/>
              <w:jc w:val="left"/>
              <w:rPr>
                <w:rFonts w:ascii="Times New Roman" w:hAnsi="Times New Roman" w:cs="Times New Roman"/>
                <w:szCs w:val="24"/>
              </w:rPr>
            </w:pPr>
            <w:r w:rsidRPr="00FB76A9">
              <w:rPr>
                <w:rFonts w:ascii="Times New Roman" w:hAnsi="Times New Roman" w:cs="Times New Roman"/>
                <w:szCs w:val="24"/>
              </w:rPr>
              <w:t>kod serwisowy producenta;</w:t>
            </w:r>
          </w:p>
          <w:p w14:paraId="571D13AE" w14:textId="77777777" w:rsidR="00E55F04" w:rsidRPr="00FB76A9" w:rsidRDefault="00E55F04" w:rsidP="005E0F9D">
            <w:pPr>
              <w:pStyle w:val="ZARTzmartartykuempunktem"/>
              <w:numPr>
                <w:ilvl w:val="0"/>
                <w:numId w:val="16"/>
              </w:numPr>
              <w:spacing w:line="240" w:lineRule="auto"/>
              <w:jc w:val="left"/>
              <w:rPr>
                <w:rFonts w:ascii="Times New Roman" w:hAnsi="Times New Roman" w:cs="Times New Roman"/>
                <w:szCs w:val="24"/>
              </w:rPr>
            </w:pPr>
            <w:r w:rsidRPr="00FB76A9">
              <w:rPr>
                <w:rFonts w:ascii="Times New Roman" w:eastAsia="Times New Roman" w:hAnsi="Times New Roman" w:cs="Times New Roman"/>
                <w:color w:val="333333"/>
                <w:szCs w:val="24"/>
              </w:rPr>
              <w:lastRenderedPageBreak/>
              <w:t xml:space="preserve">opis stwierdzonych </w:t>
            </w:r>
            <w:r w:rsidRPr="00FB76A9">
              <w:rPr>
                <w:rFonts w:ascii="Times New Roman" w:hAnsi="Times New Roman" w:cs="Times New Roman"/>
                <w:szCs w:val="24"/>
              </w:rPr>
              <w:t>niezgodności z wymaganiami technicznymi lub stwarzanego poważnego ryzyka przez</w:t>
            </w:r>
            <w:r w:rsidRPr="00FB76A9">
              <w:rPr>
                <w:rFonts w:ascii="Times New Roman" w:eastAsia="Times New Roman" w:hAnsi="Times New Roman" w:cs="Times New Roman"/>
                <w:color w:val="333333"/>
                <w:szCs w:val="24"/>
              </w:rPr>
              <w:t xml:space="preserve"> pojazd; </w:t>
            </w:r>
          </w:p>
          <w:p w14:paraId="1188CC30" w14:textId="77777777" w:rsidR="00E55F04" w:rsidRPr="00FB76A9" w:rsidRDefault="00E55F04" w:rsidP="005E0F9D">
            <w:pPr>
              <w:pStyle w:val="ZARTzmartartykuempunktem"/>
              <w:numPr>
                <w:ilvl w:val="0"/>
                <w:numId w:val="16"/>
              </w:numPr>
              <w:spacing w:line="240" w:lineRule="auto"/>
              <w:jc w:val="left"/>
              <w:rPr>
                <w:rFonts w:ascii="Times New Roman" w:hAnsi="Times New Roman" w:cs="Times New Roman"/>
                <w:szCs w:val="24"/>
              </w:rPr>
            </w:pPr>
            <w:r w:rsidRPr="00FB76A9">
              <w:rPr>
                <w:rFonts w:ascii="Times New Roman" w:hAnsi="Times New Roman" w:cs="Times New Roman"/>
                <w:szCs w:val="24"/>
              </w:rPr>
              <w:t>numer referencyjny Transportowego Dozoru Technicznego oraz informację o statusie monitorowania w Transportowym Dozorze Technicznym;</w:t>
            </w:r>
          </w:p>
          <w:p w14:paraId="480DF5F9" w14:textId="77777777" w:rsidR="00E55F04" w:rsidRPr="00FB76A9" w:rsidRDefault="00E55F04" w:rsidP="005E0F9D">
            <w:pPr>
              <w:pStyle w:val="ZARTzmartartykuempunktem"/>
              <w:numPr>
                <w:ilvl w:val="0"/>
                <w:numId w:val="16"/>
              </w:numPr>
              <w:spacing w:line="240" w:lineRule="auto"/>
              <w:jc w:val="left"/>
              <w:rPr>
                <w:rFonts w:ascii="Times New Roman" w:hAnsi="Times New Roman" w:cs="Times New Roman"/>
                <w:szCs w:val="24"/>
              </w:rPr>
            </w:pPr>
            <w:r w:rsidRPr="00FB76A9">
              <w:rPr>
                <w:rFonts w:ascii="Times New Roman" w:hAnsi="Times New Roman" w:cs="Times New Roman"/>
                <w:szCs w:val="24"/>
              </w:rPr>
              <w:t>dodatkowe informacje dotyczące możliwych ograniczeń modeli objętych akcją serwisową, znanych incydentów, liczby potencjalnie objętych akcją serwisową pojazdów w Unii Europejskiej oraz w Polsce, a także numery VIN tych pojazdów;</w:t>
            </w:r>
          </w:p>
          <w:p w14:paraId="5AA2358F" w14:textId="77777777" w:rsidR="00E55F04" w:rsidRPr="00FB76A9" w:rsidRDefault="00E55F04" w:rsidP="005E0F9D">
            <w:pPr>
              <w:pStyle w:val="ZARTzmartartykuempunktem"/>
              <w:numPr>
                <w:ilvl w:val="0"/>
                <w:numId w:val="16"/>
              </w:numPr>
              <w:spacing w:line="240" w:lineRule="auto"/>
              <w:jc w:val="left"/>
              <w:rPr>
                <w:rFonts w:ascii="Times New Roman" w:hAnsi="Times New Roman" w:cs="Times New Roman"/>
                <w:szCs w:val="24"/>
              </w:rPr>
            </w:pPr>
            <w:r w:rsidRPr="00FB76A9">
              <w:rPr>
                <w:rFonts w:ascii="Times New Roman" w:hAnsi="Times New Roman" w:cs="Times New Roman"/>
                <w:szCs w:val="24"/>
              </w:rPr>
              <w:t>dane kontaktowe do producenta pojazdu w zakresie numeru telefonu, adresu strony internetowej lub adresu poczty elektronicznej;</w:t>
            </w:r>
          </w:p>
          <w:p w14:paraId="1BEDA291" w14:textId="77777777" w:rsidR="00E55F04" w:rsidRPr="00FB76A9" w:rsidRDefault="00E55F04" w:rsidP="005E0F9D">
            <w:pPr>
              <w:pStyle w:val="ZARTzmartartykuempunktem"/>
              <w:numPr>
                <w:ilvl w:val="0"/>
                <w:numId w:val="16"/>
              </w:numPr>
              <w:spacing w:line="240" w:lineRule="auto"/>
              <w:jc w:val="left"/>
              <w:rPr>
                <w:rFonts w:ascii="Times New Roman" w:hAnsi="Times New Roman" w:cs="Times New Roman"/>
                <w:szCs w:val="24"/>
              </w:rPr>
            </w:pPr>
            <w:r w:rsidRPr="00FB76A9">
              <w:rPr>
                <w:rFonts w:ascii="Times New Roman" w:hAnsi="Times New Roman" w:cs="Times New Roman"/>
                <w:szCs w:val="24"/>
              </w:rPr>
              <w:t>inne informacje, których umieszczenie w wykazie akcji może mieć wpływ na zapewnienie bezpieczeństwa użytkownikom końcowym;</w:t>
            </w:r>
          </w:p>
          <w:p w14:paraId="06825292" w14:textId="77777777" w:rsidR="00E55F04" w:rsidRPr="00FB76A9" w:rsidRDefault="00E55F04"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informacje o:</w:t>
            </w:r>
          </w:p>
          <w:p w14:paraId="50A65FDD" w14:textId="77777777" w:rsidR="00E55F04" w:rsidRPr="00FB76A9" w:rsidRDefault="00E55F04" w:rsidP="00FD5CD5">
            <w:pPr>
              <w:pStyle w:val="ZARTzmartartykuempunktem"/>
              <w:spacing w:line="240" w:lineRule="auto"/>
              <w:ind w:left="1701" w:hanging="341"/>
              <w:jc w:val="left"/>
              <w:rPr>
                <w:rFonts w:ascii="Times New Roman" w:hAnsi="Times New Roman" w:cs="Times New Roman"/>
                <w:szCs w:val="24"/>
              </w:rPr>
            </w:pPr>
            <w:r w:rsidRPr="00FB76A9">
              <w:rPr>
                <w:rFonts w:ascii="Times New Roman" w:hAnsi="Times New Roman" w:cs="Times New Roman"/>
                <w:szCs w:val="24"/>
              </w:rPr>
              <w:t>a)</w:t>
            </w:r>
            <w:r w:rsidRPr="00FB76A9">
              <w:rPr>
                <w:rFonts w:ascii="Times New Roman" w:hAnsi="Times New Roman" w:cs="Times New Roman"/>
                <w:szCs w:val="24"/>
              </w:rPr>
              <w:tab/>
              <w:t>rodzaju i zakresie prowadzonej przez podmiot gospodarczy akcji serwisowej,</w:t>
            </w:r>
          </w:p>
          <w:p w14:paraId="19B87D4D" w14:textId="77777777" w:rsidR="00E55F04" w:rsidRPr="00FB76A9" w:rsidRDefault="00E55F04" w:rsidP="00FD5CD5">
            <w:pPr>
              <w:pStyle w:val="ZARTzmartartykuempunktem"/>
              <w:spacing w:line="240" w:lineRule="auto"/>
              <w:ind w:left="1700" w:hanging="340"/>
              <w:jc w:val="left"/>
              <w:rPr>
                <w:rFonts w:ascii="Times New Roman" w:hAnsi="Times New Roman" w:cs="Times New Roman"/>
                <w:szCs w:val="24"/>
              </w:rPr>
            </w:pPr>
            <w:r w:rsidRPr="00FB76A9">
              <w:rPr>
                <w:rFonts w:ascii="Times New Roman" w:hAnsi="Times New Roman" w:cs="Times New Roman"/>
                <w:szCs w:val="24"/>
              </w:rPr>
              <w:t>b)</w:t>
            </w:r>
            <w:r w:rsidRPr="00FB76A9">
              <w:rPr>
                <w:rFonts w:ascii="Times New Roman" w:hAnsi="Times New Roman" w:cs="Times New Roman"/>
                <w:szCs w:val="24"/>
              </w:rPr>
              <w:tab/>
              <w:t>warunkach i ograniczeniach prowadzonej przez podmiot gospodarczy akcji serwisowej.</w:t>
            </w:r>
          </w:p>
          <w:p w14:paraId="55ABA88C" w14:textId="77777777" w:rsidR="00E55F04" w:rsidRPr="00FB76A9" w:rsidRDefault="00E55F04" w:rsidP="00FD5CD5">
            <w:pPr>
              <w:shd w:val="clear" w:color="auto" w:fill="FFFFFF"/>
              <w:spacing w:after="0" w:line="240" w:lineRule="auto"/>
              <w:ind w:left="510" w:firstLine="510"/>
              <w:rPr>
                <w:rFonts w:ascii="Times New Roman" w:hAnsi="Times New Roman" w:cs="Times New Roman"/>
                <w:sz w:val="24"/>
                <w:szCs w:val="24"/>
              </w:rPr>
            </w:pPr>
            <w:r w:rsidRPr="00FB76A9">
              <w:rPr>
                <w:rFonts w:ascii="Times New Roman" w:eastAsia="Times New Roman" w:hAnsi="Times New Roman" w:cs="Times New Roman"/>
                <w:color w:val="333333"/>
                <w:sz w:val="24"/>
                <w:szCs w:val="24"/>
                <w:lang w:eastAsia="pl-PL"/>
              </w:rPr>
              <w:t xml:space="preserve">14. </w:t>
            </w:r>
            <w:r w:rsidRPr="00FB76A9">
              <w:rPr>
                <w:rFonts w:ascii="Times New Roman" w:hAnsi="Times New Roman" w:cs="Times New Roman"/>
                <w:sz w:val="24"/>
                <w:szCs w:val="24"/>
              </w:rPr>
              <w:t>Dyrektor TDT jako organ nadzoru rynku dokonuje wpisu do wykazu akcji</w:t>
            </w:r>
            <w:r w:rsidRPr="00FB76A9" w:rsidDel="00F720AF">
              <w:rPr>
                <w:rFonts w:ascii="Times New Roman" w:hAnsi="Times New Roman" w:cs="Times New Roman"/>
                <w:sz w:val="24"/>
                <w:szCs w:val="24"/>
              </w:rPr>
              <w:t xml:space="preserve"> </w:t>
            </w:r>
            <w:r w:rsidRPr="00FB76A9">
              <w:rPr>
                <w:rFonts w:ascii="Times New Roman" w:hAnsi="Times New Roman" w:cs="Times New Roman"/>
                <w:sz w:val="24"/>
                <w:szCs w:val="24"/>
              </w:rPr>
              <w:t>na podstawie:</w:t>
            </w:r>
          </w:p>
          <w:p w14:paraId="356DD7D4" w14:textId="77777777" w:rsidR="00E55F04" w:rsidRPr="00FB76A9" w:rsidRDefault="00E55F04" w:rsidP="005E0F9D">
            <w:pPr>
              <w:pStyle w:val="ZARTzmartartykuempunktem"/>
              <w:numPr>
                <w:ilvl w:val="0"/>
                <w:numId w:val="16"/>
              </w:numPr>
              <w:suppressAutoHyphens w:val="0"/>
              <w:adjustRightInd/>
              <w:spacing w:line="240" w:lineRule="auto"/>
              <w:jc w:val="left"/>
              <w:rPr>
                <w:rFonts w:ascii="Times New Roman" w:hAnsi="Times New Roman" w:cs="Times New Roman"/>
                <w:szCs w:val="24"/>
              </w:rPr>
            </w:pPr>
            <w:r w:rsidRPr="00FB76A9">
              <w:rPr>
                <w:rFonts w:ascii="Times New Roman" w:hAnsi="Times New Roman" w:cs="Times New Roman"/>
                <w:szCs w:val="24"/>
              </w:rPr>
              <w:t>własnych działań Dyrektora TDT jako organu nadzoru rynku lub</w:t>
            </w:r>
          </w:p>
          <w:p w14:paraId="51FDB91B" w14:textId="77777777" w:rsidR="00E55F04" w:rsidRPr="00FB76A9" w:rsidRDefault="00E55F04" w:rsidP="005E0F9D">
            <w:pPr>
              <w:pStyle w:val="ZARTzmartartykuempunktem"/>
              <w:numPr>
                <w:ilvl w:val="0"/>
                <w:numId w:val="16"/>
              </w:numPr>
              <w:suppressAutoHyphens w:val="0"/>
              <w:adjustRightInd/>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informacji zamieszczonych w systemie Safety Gate lub</w:t>
            </w:r>
          </w:p>
          <w:p w14:paraId="0DB31987" w14:textId="77777777" w:rsidR="00E55F04" w:rsidRPr="00FB76A9" w:rsidRDefault="00E55F04" w:rsidP="005E0F9D">
            <w:pPr>
              <w:pStyle w:val="ZARTzmartartykuempunktem"/>
              <w:numPr>
                <w:ilvl w:val="0"/>
                <w:numId w:val="16"/>
              </w:numPr>
              <w:shd w:val="clear" w:color="auto" w:fill="FFFFFF"/>
              <w:spacing w:line="240" w:lineRule="auto"/>
              <w:jc w:val="left"/>
              <w:rPr>
                <w:rFonts w:ascii="Times New Roman" w:eastAsia="Times New Roman" w:hAnsi="Times New Roman" w:cs="Times New Roman"/>
                <w:color w:val="333333"/>
                <w:szCs w:val="24"/>
              </w:rPr>
            </w:pPr>
            <w:r w:rsidRPr="00FB76A9">
              <w:rPr>
                <w:rFonts w:ascii="Times New Roman" w:hAnsi="Times New Roman" w:cs="Times New Roman"/>
                <w:szCs w:val="24"/>
              </w:rPr>
              <w:t>informacji przekazanych przez organ udzielający homologacji lub</w:t>
            </w:r>
          </w:p>
          <w:p w14:paraId="2AE705EB" w14:textId="77777777" w:rsidR="00E55F04" w:rsidRPr="00FB76A9" w:rsidRDefault="00E55F04" w:rsidP="005E0F9D">
            <w:pPr>
              <w:pStyle w:val="ZARTzmartartykuempunktem"/>
              <w:numPr>
                <w:ilvl w:val="0"/>
                <w:numId w:val="16"/>
              </w:numPr>
              <w:shd w:val="clear" w:color="auto" w:fill="FFFFFF"/>
              <w:spacing w:line="240" w:lineRule="auto"/>
              <w:jc w:val="left"/>
              <w:rPr>
                <w:rFonts w:ascii="Times New Roman" w:eastAsia="Times New Roman" w:hAnsi="Times New Roman" w:cs="Times New Roman"/>
                <w:color w:val="333333"/>
                <w:szCs w:val="24"/>
              </w:rPr>
            </w:pPr>
            <w:r w:rsidRPr="00FB76A9">
              <w:rPr>
                <w:rFonts w:ascii="Times New Roman" w:hAnsi="Times New Roman" w:cs="Times New Roman"/>
                <w:szCs w:val="24"/>
              </w:rPr>
              <w:t>informacji przekazanych przez podmiot gospodarczy.</w:t>
            </w:r>
          </w:p>
          <w:p w14:paraId="7BDAD2D9" w14:textId="77777777" w:rsidR="00E55F04" w:rsidRPr="00FB76A9" w:rsidRDefault="00E55F04" w:rsidP="00FD5CD5">
            <w:pPr>
              <w:pStyle w:val="ZARTzmartartykuempunktem"/>
              <w:spacing w:line="240" w:lineRule="auto"/>
              <w:jc w:val="left"/>
              <w:rPr>
                <w:rFonts w:ascii="Times New Roman" w:hAnsi="Times New Roman" w:cs="Times New Roman"/>
                <w:szCs w:val="24"/>
              </w:rPr>
            </w:pPr>
            <w:r w:rsidRPr="00FB76A9">
              <w:rPr>
                <w:rFonts w:ascii="Times New Roman" w:eastAsia="Times New Roman" w:hAnsi="Times New Roman" w:cs="Times New Roman"/>
                <w:color w:val="333333"/>
                <w:szCs w:val="24"/>
              </w:rPr>
              <w:t xml:space="preserve">15. </w:t>
            </w:r>
            <w:r w:rsidRPr="00FB76A9">
              <w:rPr>
                <w:rFonts w:ascii="Times New Roman" w:hAnsi="Times New Roman" w:cs="Times New Roman"/>
                <w:szCs w:val="24"/>
              </w:rPr>
              <w:t>Dyrektor TDT jako organ nadzoru rynku może w każdym czasie podać do publicznej wiadomości informacje zawarte w wykazie akcji.</w:t>
            </w:r>
          </w:p>
          <w:p w14:paraId="14D7BDCE" w14:textId="77777777" w:rsidR="00E55F04" w:rsidRPr="00FB76A9" w:rsidRDefault="00E55F04" w:rsidP="00FD5CD5">
            <w:pPr>
              <w:shd w:val="clear" w:color="auto" w:fill="FFFFFF"/>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imes New Roman" w:hAnsi="Times New Roman" w:cs="Times New Roman"/>
                <w:color w:val="333333"/>
                <w:sz w:val="24"/>
                <w:szCs w:val="24"/>
                <w:lang w:eastAsia="pl-PL"/>
              </w:rPr>
              <w:t xml:space="preserve">16. </w:t>
            </w:r>
            <w:r w:rsidRPr="00FB76A9">
              <w:rPr>
                <w:rFonts w:ascii="Times New Roman" w:eastAsiaTheme="minorEastAsia" w:hAnsi="Times New Roman" w:cs="Times New Roman"/>
                <w:sz w:val="24"/>
                <w:szCs w:val="24"/>
                <w:lang w:eastAsia="pl-PL"/>
              </w:rPr>
              <w:t>Wykaz akcji jest prowadzony z wykorzystaniem systemu teleinformatycznego.</w:t>
            </w:r>
          </w:p>
          <w:p w14:paraId="33993BC3" w14:textId="77777777" w:rsidR="00E55F04" w:rsidRPr="00FB76A9" w:rsidRDefault="00E55F04"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 xml:space="preserve">17. Każdy wpis do </w:t>
            </w:r>
            <w:r w:rsidRPr="00FB76A9">
              <w:rPr>
                <w:rFonts w:ascii="Times New Roman" w:hAnsi="Times New Roman" w:cs="Times New Roman"/>
                <w:sz w:val="24"/>
                <w:szCs w:val="24"/>
              </w:rPr>
              <w:t>wykazu akcji</w:t>
            </w:r>
            <w:r w:rsidRPr="00FB76A9" w:rsidDel="00F720AF">
              <w:rPr>
                <w:rFonts w:ascii="Times New Roman" w:eastAsia="Times New Roman" w:hAnsi="Times New Roman" w:cs="Times New Roman"/>
                <w:color w:val="333333"/>
                <w:sz w:val="24"/>
                <w:szCs w:val="24"/>
                <w:lang w:eastAsia="pl-PL"/>
              </w:rPr>
              <w:t xml:space="preserve"> </w:t>
            </w:r>
            <w:r w:rsidRPr="00FB76A9">
              <w:rPr>
                <w:rFonts w:ascii="Times New Roman" w:eastAsia="Times New Roman" w:hAnsi="Times New Roman" w:cs="Times New Roman"/>
                <w:color w:val="333333"/>
                <w:sz w:val="24"/>
                <w:szCs w:val="24"/>
                <w:lang w:eastAsia="pl-PL"/>
              </w:rPr>
              <w:t>dotyczy jednego pojazdu.</w:t>
            </w:r>
          </w:p>
          <w:p w14:paraId="18967CF6" w14:textId="77777777" w:rsidR="00E55F04" w:rsidRPr="00FB76A9" w:rsidRDefault="00E55F04"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18. Wykaz akcji umożliwia niezwłoczne wyszukanie, odczytanie oraz wydrukowanie całości albo części zapisanych danych.</w:t>
            </w:r>
          </w:p>
          <w:p w14:paraId="6044AA07" w14:textId="77777777" w:rsidR="00E55F04" w:rsidRPr="00FB76A9" w:rsidRDefault="00E55F04"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19. Dyrektor TDT jako organ nadzoru rynku dokonuje wpisu akcji serwisowej do w</w:t>
            </w:r>
            <w:r w:rsidRPr="00FB76A9">
              <w:rPr>
                <w:rFonts w:ascii="Times New Roman" w:hAnsi="Times New Roman" w:cs="Times New Roman"/>
                <w:sz w:val="24"/>
                <w:szCs w:val="24"/>
              </w:rPr>
              <w:t>ykazu akcji</w:t>
            </w:r>
            <w:r w:rsidRPr="00FB76A9">
              <w:rPr>
                <w:rFonts w:ascii="Times New Roman" w:eastAsia="Times New Roman" w:hAnsi="Times New Roman" w:cs="Times New Roman"/>
                <w:color w:val="333333"/>
                <w:sz w:val="24"/>
                <w:szCs w:val="24"/>
                <w:lang w:eastAsia="pl-PL"/>
              </w:rPr>
              <w:t xml:space="preserve"> niezwłocznie po dniu, w którym powziął o niej informacje.</w:t>
            </w:r>
          </w:p>
          <w:p w14:paraId="453BC561" w14:textId="77777777" w:rsidR="00E55F04" w:rsidRPr="00FB76A9" w:rsidRDefault="00E55F04"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68zu. 1. Wprowadzanie do obrotu na terytorium Rzeczypospolitej Polskiej pojazdów podlega opłacie, zwanej dalej „opłatą za nadzór rynku motoryzacyjnego”.</w:t>
            </w:r>
          </w:p>
          <w:p w14:paraId="210FF73A" w14:textId="77777777" w:rsidR="00E55F04" w:rsidRPr="00FB76A9" w:rsidRDefault="00E55F04"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Opłatę za nadzór rynku motoryzacyjnego uiszcza: </w:t>
            </w:r>
          </w:p>
          <w:p w14:paraId="7C8C2F81"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 xml:space="preserve">producent pojazdu niekompletnego albo kompletnego wprowadzający do obrotu na terytorium Rzeczypospolitej Polskiej ten pojazd, samodzielnie albo za pośrednictwem podmiotu gospodarczego; </w:t>
            </w:r>
          </w:p>
          <w:p w14:paraId="290753FD"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 xml:space="preserve">2) </w:t>
            </w:r>
            <w:r w:rsidRPr="00FB76A9">
              <w:rPr>
                <w:rFonts w:ascii="Times New Roman" w:hAnsi="Times New Roman" w:cs="Times New Roman"/>
                <w:szCs w:val="24"/>
              </w:rPr>
              <w:tab/>
              <w:t>podmiot gospodarczy wprowadzający do obrotu na terytorium Rzeczypospolitej Polskiej pojazd niekompletny albo kompletny;</w:t>
            </w:r>
          </w:p>
          <w:p w14:paraId="192DC896"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 xml:space="preserve">producent pojazdu wprowadzający do obrotu na terytorium Rzeczypospolitej Polskiej pojazd, który został skompletowany na terytorium innego niż Rzeczypospolita Polska państwa </w:t>
            </w:r>
          </w:p>
          <w:p w14:paraId="0C74D466" w14:textId="77777777" w:rsidR="00E55F04" w:rsidRPr="00FB76A9" w:rsidRDefault="00E55F04" w:rsidP="00FD5CD5">
            <w:pPr>
              <w:pStyle w:val="ZCZWSPPKTzmczciwsp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objęty jednym z dokumentów, o którym mowa w art. 13 ust. 1 pkt 1, ust. 2 i 3;</w:t>
            </w:r>
          </w:p>
          <w:p w14:paraId="7904FF7A" w14:textId="77777777" w:rsidR="00E55F04" w:rsidRPr="00FB76A9" w:rsidRDefault="00E55F04"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w:t>
            </w:r>
            <w:r w:rsidRPr="00FB76A9">
              <w:rPr>
                <w:rFonts w:ascii="Times New Roman" w:hAnsi="Times New Roman" w:cs="Times New Roman"/>
                <w:szCs w:val="24"/>
              </w:rPr>
              <w:tab/>
              <w:t xml:space="preserve">podmiot gospodarczy wprowadzający do obrotu na terytorium Rzeczypospolitej Polskiej pojazd objęty jednym z dokumentów, o którym mowa w art. 13 ust. 3, jeżeli przed wprowadzeniem do obrotu na terytorium Rzeczypospolitej Polskiej pojazd ten był zarejestrowany w innym niż Rzeczypospolita Polska państwie. </w:t>
            </w:r>
          </w:p>
          <w:p w14:paraId="4FC9F4E3" w14:textId="77777777" w:rsidR="00E55F04" w:rsidRPr="00FB76A9" w:rsidRDefault="00E55F04"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Opłata za nadzór rynku motoryzacyjnego stanowi przychód Dyrektora TDT jako organu nadzoru rynku i jest przeznaczona na finansowanie funkcjonowania i działania Dyrektora TDT jako organu nadzoru rynku w zakresie określonym w art. 3 ust. 3. </w:t>
            </w:r>
          </w:p>
          <w:p w14:paraId="11C49530" w14:textId="77777777" w:rsidR="00E55F04" w:rsidRPr="00FB76A9" w:rsidRDefault="00E55F04"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4. Stawka opłaty za nadzór rynku motoryzacyjnego wynosi:</w:t>
            </w:r>
          </w:p>
          <w:p w14:paraId="3D9C1B6B" w14:textId="77777777" w:rsidR="00E55F04" w:rsidRPr="00FB76A9" w:rsidRDefault="00E55F04" w:rsidP="00FD5CD5">
            <w:pPr>
              <w:pStyle w:val="ZPKTzmpk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 xml:space="preserve">0,05% ceny netto od każdego pojazdu wprowadzonego do obrotu na terytorium Rzeczypospolitej Polskiej w danym </w:t>
            </w:r>
            <w:r w:rsidRPr="00FB76A9">
              <w:rPr>
                <w:rFonts w:ascii="Times New Roman" w:hAnsi="Times New Roman" w:cs="Times New Roman"/>
                <w:szCs w:val="24"/>
              </w:rPr>
              <w:lastRenderedPageBreak/>
              <w:t>kwartale roku kalendarzowego, który został wyprodukowany przez:</w:t>
            </w:r>
          </w:p>
          <w:p w14:paraId="28D4AE91" w14:textId="77777777" w:rsidR="00E55F04" w:rsidRPr="00FB76A9" w:rsidRDefault="00E55F04"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 </w:t>
            </w:r>
            <w:r w:rsidRPr="00FB76A9">
              <w:rPr>
                <w:rFonts w:ascii="Times New Roman" w:hAnsi="Times New Roman" w:cs="Times New Roman"/>
                <w:szCs w:val="24"/>
              </w:rPr>
              <w:tab/>
              <w:t>producenta mającego siedzibę na terytorium jednego z państw członkowskich Unii Europejskiej, albo</w:t>
            </w:r>
          </w:p>
          <w:p w14:paraId="0239AA3A" w14:textId="77777777" w:rsidR="00E55F04" w:rsidRPr="00FB76A9" w:rsidRDefault="00E55F04"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b) </w:t>
            </w:r>
            <w:r w:rsidRPr="00FB76A9">
              <w:rPr>
                <w:rFonts w:ascii="Times New Roman" w:hAnsi="Times New Roman" w:cs="Times New Roman"/>
                <w:szCs w:val="24"/>
              </w:rPr>
              <w:tab/>
              <w:t>producenta nie posiadającego siedziby na terytorium jednego z państw członkowskich Unii Europejskiej, ale posiadającego na terytorium takiego państwa co najmniej jeden zakład produkcyjny, z uwzględnieniem pkt 2 lit. b;</w:t>
            </w:r>
          </w:p>
          <w:p w14:paraId="7944135C" w14:textId="77777777" w:rsidR="00E55F04" w:rsidRPr="00FB76A9" w:rsidRDefault="00E55F04" w:rsidP="00FD5CD5">
            <w:pPr>
              <w:pStyle w:val="ZPKTzmpk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1% ceny netto od każdego pojazdu wprowadzonego do obrotu na terytorium Rzeczypospolitej Polskiej w danym kwartale roku kalendarzowego, który został wyprodukowany przez:</w:t>
            </w:r>
          </w:p>
          <w:p w14:paraId="43A7BBA4" w14:textId="77777777" w:rsidR="00E55F04" w:rsidRPr="00FB76A9" w:rsidRDefault="00E55F04"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 </w:t>
            </w:r>
            <w:r w:rsidRPr="00FB76A9">
              <w:rPr>
                <w:rFonts w:ascii="Times New Roman" w:hAnsi="Times New Roman" w:cs="Times New Roman"/>
                <w:szCs w:val="24"/>
              </w:rPr>
              <w:tab/>
              <w:t>producenta nieposiadającego siedziby i zakładu produkcyjnego na terytorium jednego z państw członkowskich Unii Europejskiej, lub</w:t>
            </w:r>
          </w:p>
          <w:p w14:paraId="14D65FDE" w14:textId="77777777" w:rsidR="00E55F04" w:rsidRPr="00FB76A9" w:rsidRDefault="00E55F04"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b) </w:t>
            </w:r>
            <w:r w:rsidRPr="00FB76A9">
              <w:rPr>
                <w:rFonts w:ascii="Times New Roman" w:hAnsi="Times New Roman" w:cs="Times New Roman"/>
                <w:szCs w:val="24"/>
              </w:rPr>
              <w:tab/>
              <w:t xml:space="preserve">producenta wskazanego w art. 1 ust. 2 rozporządzenia wykonawczego Komisji (UE) 2024/2754 z dnia 29 października 2024 r. nakładającego ostateczne cło wyrównawcze na przywóz nowych pojazdów elektrycznych o napędzie akumulatorowym przeznaczonych do przewozu osób pochodzący z Chińskiej Republiki Ludowej (Dz. Urz. UE L 2024/2754 z 29.10.2024). </w:t>
            </w:r>
          </w:p>
          <w:p w14:paraId="7F288097" w14:textId="77777777" w:rsidR="00E55F04" w:rsidRPr="00FB76A9" w:rsidRDefault="00E55F04" w:rsidP="00FD5CD5">
            <w:pPr>
              <w:pStyle w:val="ZUSTzmus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5. Cena netto wprowadzonego do obrotu na terytorium Rzeczypospolitej Polskiej pojazdu jest ustalana przez producenta lub podmioty gospodarcze, o których mowa w ust. 2, na podstawie faktury lub rachunku wystawianego w związku z pierwszą umową umożliwiającą użytkowanie albo dystrybucję tego pojazdu na terytorium Rzeczypospolitej Polskiej.</w:t>
            </w:r>
          </w:p>
          <w:p w14:paraId="4FDA22DB"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68zv. 1. Podmioty, o których mowa w </w:t>
            </w:r>
            <w:r w:rsidRPr="00FB76A9">
              <w:rPr>
                <w:rFonts w:ascii="Times New Roman" w:hAnsi="Times New Roman" w:cs="Times New Roman"/>
                <w:szCs w:val="24"/>
              </w:rPr>
              <w:tab/>
              <w:t xml:space="preserve">ust. 2, bez wezwania obliczają i uiszczają opłatę za nadzór rynku motoryzacyjnego, na rachunek Dyrektora TDT jako organu nadzoru rynku za okres kwartalny, w terminie do dwudziestego dnia roboczego miesiąca następującego po zakończeniu danego kwartału. </w:t>
            </w:r>
          </w:p>
          <w:p w14:paraId="7E780B17"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Podmioty, o których mowa w art. 68zu ust. 2, przekazują Dyrektorowi TDT jako organowi nadzoru rynku, w drodze elektronicznej przez stronę podmiotową </w:t>
            </w:r>
            <w:hyperlink w:history="1">
              <w:r w:rsidRPr="00FB76A9">
                <w:rPr>
                  <w:rFonts w:ascii="Times New Roman" w:hAnsi="Times New Roman" w:cs="Times New Roman"/>
                  <w:szCs w:val="24"/>
                </w:rPr>
                <w:t>Transportowego Dozoru T</w:t>
              </w:r>
            </w:hyperlink>
            <w:r w:rsidRPr="00FB76A9">
              <w:rPr>
                <w:rFonts w:ascii="Times New Roman" w:hAnsi="Times New Roman" w:cs="Times New Roman"/>
                <w:szCs w:val="24"/>
              </w:rPr>
              <w:t>echnicznego, kwartalne informacje o wysokości obliczonych i uiszczonych opłat za nadzór rynku motoryzacyjnego, zgodnie z wzorem opublikowanym na tej stronie, za okres kwartalny, w terminie do dwudziestego dnia roboczego miesiąca następującego po zakończeniu danego kwartału.</w:t>
            </w:r>
          </w:p>
          <w:p w14:paraId="5E4E61E5"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3. W przypadku pojazdów wprowadzonych do obrotu na terytorium Rzeczypospolitej Polskiej przez podmioty, o których mowa w art. 68zu ust. 2, za pośrednictwem platform internetowych e-commerce, operatorzy platform przekazują Dyrektorowi TDT jako organowi </w:t>
            </w:r>
            <w:r w:rsidRPr="00FB76A9">
              <w:rPr>
                <w:rFonts w:ascii="Times New Roman" w:hAnsi="Times New Roman" w:cs="Times New Roman"/>
                <w:szCs w:val="24"/>
              </w:rPr>
              <w:lastRenderedPageBreak/>
              <w:t xml:space="preserve">nadzoru rynku, w drodze elektronicznej przez stronę podmiotową Transportowego Dozoru Technicznego, zbiorczą informację o tych podmiotach, które wprowadziły do obrotu pojazdy, pozwalającą na ustalenie przez Dyrektora TDT jako organ nadzoru rynku wysokości należnej opłaty za nadzór rynku motoryzacyjnego, zgodnie z wzorem opublikowanym na tej stronie, za okres kwartalny, w terminie do dwudziestego dnia roboczego miesiąca następującego po zakończeniu danego kwartału. </w:t>
            </w:r>
          </w:p>
          <w:p w14:paraId="000E87CE"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4. Podmioty, o których mowa w art. 68zu ust. 2 oraz operatorzy platform, o których mowa w ust. 3, są obowiązani przechowywać przekazane przez nich informacje przez okres 5 lat, licząc od początku roku następującego po roku obrotowym, w którym informacja została przekazana.</w:t>
            </w:r>
          </w:p>
          <w:p w14:paraId="487C95BE"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Informacje, o których mowa w ust. 2 i 3, opatruje się kwalifikowanym podpisem elektronicznym lub podpisem zaufanym.</w:t>
            </w:r>
          </w:p>
          <w:p w14:paraId="6E8984CC"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6. Treść informacji, o których mowa w ust. 2 i 3, wykorzystuje się wyłącznie w celu wykonywania zadań przez Dyrektora TDT jako organ nadzoru rynku.</w:t>
            </w:r>
          </w:p>
          <w:p w14:paraId="2CB8675E"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7. Treść informacji, o których mowa w ust. 2 i 3, stanowi tajemnicę przedsiębiorstwa w rozumieniu art. 11 ustawy z dnia 16 kwietnia 1993 r. o zwalczaniu nieuczciwej konkurencji (Dz. U. z 2026 r. poz. 85).</w:t>
            </w:r>
          </w:p>
          <w:p w14:paraId="3962524C"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lastRenderedPageBreak/>
              <w:t>Art. 68zw.</w:t>
            </w:r>
            <w:r w:rsidRPr="00FB76A9">
              <w:rPr>
                <w:rFonts w:ascii="Times New Roman" w:hAnsi="Times New Roman" w:cs="Times New Roman"/>
                <w:b/>
                <w:szCs w:val="24"/>
              </w:rPr>
              <w:t xml:space="preserve"> </w:t>
            </w:r>
            <w:r w:rsidRPr="00FB76A9">
              <w:rPr>
                <w:rFonts w:ascii="Times New Roman" w:hAnsi="Times New Roman" w:cs="Times New Roman"/>
                <w:szCs w:val="24"/>
              </w:rPr>
              <w:t>1. W celu dokonania kontroli poprawności złożenia informacji, o której mowa w art. 68zv ust. 2, oraz wyliczenia wysokości opłaty za nadzór rynku motoryzacyjnego, Dyrektor TDT jako organ nadzoru rynku może przeprowadzić kontrole u podmiotów, o których mowa w art. 68zu ust. 2 oraz u operatorów platform, o których mowa w art. 68zv ust. 3.</w:t>
            </w:r>
          </w:p>
          <w:p w14:paraId="0BFBFC96" w14:textId="77777777" w:rsidR="00E55F04" w:rsidRPr="00FB76A9" w:rsidRDefault="00E55F04" w:rsidP="00FD5CD5">
            <w:pPr>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2. Podmioty, o których mowa w art. 68zu ust. 2, oraz operatorzy platform, o których mowa w art. 68zv ust. 3, są obowiązani okazywać w toku kontroli, o której mowa w ust. 2, informacje, o których mowa w art. 68zv ust. 2 i 3 lub faktury lub rachunki, na podstawie których wypełnione zostały te informacje w celu sprawdzenia ich poprawności. </w:t>
            </w:r>
          </w:p>
          <w:p w14:paraId="5D15CB33"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W przypadku stwierdzenia przez Dyrektora TDT nieprawidłowości w ramach kontroli, o której mowa w ust. 1, Dyrektor TDT jako organ nadzoru rynku wydaje decyzję administracyjną:</w:t>
            </w:r>
          </w:p>
          <w:p w14:paraId="28215306"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 ustalającą prawidłową wysokość opłaty za nadzór rynku motoryzacyjnego oraz termin jej uiszczenia lub</w:t>
            </w:r>
          </w:p>
          <w:p w14:paraId="217ACB73"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 której może nakazać operatorowi platformy zawieszenie na platformie konta podmiotu, o którym mowa w art. 68zu ust. 2, w przypadku gdy podmiot ten nie uiścił opłaty za nadzór rynku motoryzacyjnego lub uiścił ją w niewłaściwej wysokości. </w:t>
            </w:r>
          </w:p>
          <w:p w14:paraId="7EDBAC14"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Do kontroli poprawności złożenia informacji oraz wyliczenia wysokości opłaty za </w:t>
            </w:r>
            <w:r w:rsidRPr="00FB76A9">
              <w:rPr>
                <w:rFonts w:ascii="Times New Roman" w:hAnsi="Times New Roman" w:cs="Times New Roman"/>
                <w:szCs w:val="24"/>
              </w:rPr>
              <w:lastRenderedPageBreak/>
              <w:t>nadzór rynku motoryzacyjnego, w zakresie nieuregulowanym w niniejszym artykule, stosuje się przepisy rozdziału 5 ustawy z dnia 6 marca 2018 r. – Prawo przedsiębiorców.</w:t>
            </w:r>
          </w:p>
          <w:p w14:paraId="4C656909"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Art. 68zx. 1. Na potrzeby dokonania kontroli poprawności złożenia informacji oraz wyliczenia wysokości opłaty za nadzór rynku motoryzacyjnego, o której mowa w art. 68zu ust. 1, Szef Krajowej Administracji Skarbowej sporządza i przedkłada Dyrektorowi TDT jako organowi nadzoru rynku, w terminie do ostatniego dnia miesiąca następującego po upływie każdego kwartału, informację o importerach wprowadzających do obrotu pojazdy.</w:t>
            </w:r>
          </w:p>
          <w:p w14:paraId="697B5C27" w14:textId="77777777" w:rsidR="00E55F04" w:rsidRPr="00FB76A9" w:rsidRDefault="00E55F04" w:rsidP="00FD5CD5">
            <w:pPr>
              <w:pStyle w:val="Default"/>
              <w:ind w:left="510" w:firstLine="510"/>
              <w:rPr>
                <w:color w:val="auto"/>
              </w:rPr>
            </w:pPr>
            <w:r w:rsidRPr="00FB76A9">
              <w:rPr>
                <w:color w:val="auto"/>
              </w:rPr>
              <w:t xml:space="preserve">2. </w:t>
            </w:r>
            <w:bookmarkStart w:id="69" w:name="_Hlk232066613"/>
            <w:r w:rsidRPr="00FB76A9">
              <w:rPr>
                <w:color w:val="auto"/>
              </w:rPr>
              <w:t>Informacja, o której mowa w ust. 1, zawiera</w:t>
            </w:r>
            <w:bookmarkEnd w:id="69"/>
            <w:r w:rsidRPr="00FB76A9">
              <w:rPr>
                <w:color w:val="auto"/>
              </w:rPr>
              <w:t>:</w:t>
            </w:r>
          </w:p>
          <w:p w14:paraId="3C8B34DC" w14:textId="77777777" w:rsidR="00E55F04" w:rsidRPr="00FB76A9" w:rsidRDefault="00E55F04" w:rsidP="005E0F9D">
            <w:pPr>
              <w:pStyle w:val="Default"/>
              <w:numPr>
                <w:ilvl w:val="0"/>
                <w:numId w:val="16"/>
              </w:numPr>
              <w:adjustRightInd/>
              <w:rPr>
                <w:color w:val="auto"/>
              </w:rPr>
            </w:pPr>
            <w:r w:rsidRPr="00FB76A9">
              <w:rPr>
                <w:color w:val="auto"/>
              </w:rPr>
              <w:t>numer EORI importera;</w:t>
            </w:r>
          </w:p>
          <w:p w14:paraId="4377BCF4" w14:textId="77777777" w:rsidR="00E55F04" w:rsidRPr="00FB76A9" w:rsidRDefault="00E55F04" w:rsidP="005E0F9D">
            <w:pPr>
              <w:pStyle w:val="Default"/>
              <w:numPr>
                <w:ilvl w:val="0"/>
                <w:numId w:val="16"/>
              </w:numPr>
              <w:adjustRightInd/>
              <w:rPr>
                <w:color w:val="auto"/>
              </w:rPr>
            </w:pPr>
            <w:r w:rsidRPr="00FB76A9">
              <w:rPr>
                <w:color w:val="auto"/>
              </w:rPr>
              <w:t>opis towaru ze zgłoszenia celnego i jego ilość;</w:t>
            </w:r>
          </w:p>
          <w:p w14:paraId="6398BF18" w14:textId="77777777" w:rsidR="00E55F04" w:rsidRPr="00FB76A9" w:rsidRDefault="00E55F04" w:rsidP="005E0F9D">
            <w:pPr>
              <w:pStyle w:val="Default"/>
              <w:numPr>
                <w:ilvl w:val="0"/>
                <w:numId w:val="16"/>
              </w:numPr>
              <w:adjustRightInd/>
              <w:rPr>
                <w:color w:val="auto"/>
              </w:rPr>
            </w:pPr>
            <w:r w:rsidRPr="00FB76A9">
              <w:rPr>
                <w:color w:val="auto"/>
              </w:rPr>
              <w:t>kod CN pojazdu;</w:t>
            </w:r>
          </w:p>
          <w:p w14:paraId="75E7EF7B" w14:textId="77777777" w:rsidR="00E55F04" w:rsidRPr="00FB76A9" w:rsidRDefault="00E55F04" w:rsidP="005E0F9D">
            <w:pPr>
              <w:pStyle w:val="Default"/>
              <w:numPr>
                <w:ilvl w:val="0"/>
                <w:numId w:val="16"/>
              </w:numPr>
              <w:adjustRightInd/>
              <w:rPr>
                <w:color w:val="auto"/>
              </w:rPr>
            </w:pPr>
            <w:r w:rsidRPr="00FB76A9">
              <w:rPr>
                <w:color w:val="auto"/>
              </w:rPr>
              <w:t>wartość statystyczną pojazdu.</w:t>
            </w:r>
          </w:p>
          <w:p w14:paraId="5DDB33DF" w14:textId="77777777" w:rsidR="00E55F04" w:rsidRPr="00FB76A9" w:rsidRDefault="00E55F04" w:rsidP="00FD5CD5">
            <w:pPr>
              <w:spacing w:after="0" w:line="240" w:lineRule="auto"/>
              <w:ind w:left="510" w:firstLine="510"/>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3. Informacje, o których mowa w ust. 1, mogą pozostawać w zasobach elektronicznych wykorzystywanych do ich przekazywania i przetwarzania nie dłużej, niż jest to konieczne, a Dyrektor TDT jako organ nadzoru rynku zapewnia ich poufność.</w:t>
            </w:r>
          </w:p>
          <w:p w14:paraId="3D61EB52" w14:textId="77777777" w:rsidR="00E55F04" w:rsidRPr="00FB76A9" w:rsidRDefault="00CF3C6A" w:rsidP="00FD5CD5">
            <w:pPr>
              <w:pStyle w:val="ZUSTzmustartykuempunktem"/>
              <w:spacing w:line="240" w:lineRule="auto"/>
              <w:jc w:val="left"/>
              <w:rPr>
                <w:rFonts w:ascii="Times New Roman" w:hAnsi="Times New Roman" w:cs="Times New Roman"/>
                <w:szCs w:val="24"/>
              </w:rPr>
            </w:pPr>
            <w:r w:rsidRPr="00BC15FA">
              <w:t xml:space="preserve">Art. 68zy. Minister właściwy do spraw informatyzacji sporządza na podstawie danych zawartych w ewidencji, o których mowa w art. 80b ust. 1 pkt 13 i 18 ustawy – Prawo o ruchu drogowym, i przedkłada Dyrektorowi TDT jako organowi nadzoru rynku, w terminie do 15 dnia </w:t>
            </w:r>
            <w:r w:rsidRPr="00BC15FA">
              <w:lastRenderedPageBreak/>
              <w:t>drugiego miesiąca następującego po upływie każdego kwartału, zestawienie zarejestrowanych na terytorium Rzeczypospolitej Polskiej pojazdów w danym kwartale, zawierające w szczególności dane i informacje obejmujące rodzaj, kategorię, producenta, markę, model, numer świadectwa homologacji typu oraz datę pierwszej rejestracji w kraju każdego z pojazdów.</w:t>
            </w:r>
          </w:p>
          <w:p w14:paraId="708D858C" w14:textId="77777777" w:rsidR="00E55F04" w:rsidRPr="00FB76A9" w:rsidRDefault="00E55F04"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Art. 68zz. Zasady postępowania Dyrektora TDT jako organu nadzoru rynku w odniesieniu do pojazdów, przedmiotów wyposażenia lub części objętych procedurą celną dopuszczenia do obrotu, o której mowa w art. 25 ust. 3 rozporządzenia 2019/1020, realizowaną przez organy celne, określają przepisy art. 26–28 tego rozporządzenia. </w:t>
            </w:r>
          </w:p>
          <w:p w14:paraId="0049471F" w14:textId="77777777" w:rsidR="00E55F04" w:rsidRDefault="00E55F04"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Art. 68zza. Przepisy niniejszego rozdziału, z wyłączeniem art. 68zl ust. 3 oraz art. 68zu, stosuje się odpowiednio do zadań Dyrektora TDT jako organu nadzoru rynku realizowanych w odniesieniu do rowerów, wózków rowerowych, hulajnóg elektrycznych oraz urządzeń transportu osobistego, a także do obowiązków podmiotów gospodarczych, które te rowery, wózki rowerowe, hulajnogi elektryczne oraz urządzenia transportu osobistego wprowadzają do obrotu na terytorium Rzeczypospolitej Polskiej.</w:t>
            </w:r>
          </w:p>
          <w:p w14:paraId="163A1C19" w14:textId="77777777" w:rsidR="008031F8" w:rsidRPr="00F51BEF" w:rsidRDefault="008031F8" w:rsidP="008031F8">
            <w:pPr>
              <w:pStyle w:val="ZUSTzmustartykuempunktem"/>
              <w:spacing w:line="240" w:lineRule="auto"/>
              <w:ind w:left="0" w:firstLine="0"/>
            </w:pPr>
            <w:bookmarkStart w:id="70" w:name="_Hlk232712372"/>
            <w:r w:rsidRPr="00F51BEF">
              <w:t>Art. 68zzb. 1. Koszty, o których mowa w art. 68zd ust. 11 i art. 68ze ust. 10</w:t>
            </w:r>
            <w:r>
              <w:t>,</w:t>
            </w:r>
            <w:r w:rsidRPr="00F51BEF">
              <w:t xml:space="preserve"> </w:t>
            </w:r>
            <w:bookmarkStart w:id="71" w:name="_Hlk232712524"/>
            <w:r>
              <w:t>kwoty stanowiące równowartość zwrotu za</w:t>
            </w:r>
            <w:r w:rsidRPr="00F51BEF">
              <w:t>płaty</w:t>
            </w:r>
            <w:bookmarkEnd w:id="71"/>
            <w:r w:rsidRPr="00F51BEF">
              <w:t>, o któr</w:t>
            </w:r>
            <w:r>
              <w:t>ej</w:t>
            </w:r>
            <w:r w:rsidRPr="00F51BEF">
              <w:t xml:space="preserve"> mowa w art. 68zp ust. 3 i 5</w:t>
            </w:r>
            <w:r>
              <w:t xml:space="preserve"> oraz opłaty, o których mowa w</w:t>
            </w:r>
            <w:r w:rsidRPr="00F51BEF">
              <w:t xml:space="preserve">art. 68zs ust. 11 i art. 68zw ust. 3 pkt 1, wraz z odsetkami ustawowymi za </w:t>
            </w:r>
            <w:r w:rsidRPr="00F51BEF">
              <w:lastRenderedPageBreak/>
              <w:t>opóźnienie, podlegają przymusowemu ściągnięciu w trybie określonym w ustawie z dnia 17 czerwca 1966 r. o postępowaniu egzekucyjnym w administracji (Dz. U. z 2026 r. poz. 268, 516 i 739).</w:t>
            </w:r>
          </w:p>
          <w:bookmarkEnd w:id="70"/>
          <w:p w14:paraId="4E54A886" w14:textId="77777777" w:rsidR="008031F8" w:rsidRPr="008031F8" w:rsidRDefault="008031F8" w:rsidP="008031F8">
            <w:pPr>
              <w:pStyle w:val="ZUSTzmustartykuempunktem"/>
              <w:spacing w:line="240" w:lineRule="auto"/>
              <w:ind w:left="0" w:firstLine="0"/>
            </w:pPr>
            <w:r w:rsidRPr="00F51BEF">
              <w:t>2. Obowiązek uiszczenia kosztów i opłat, o których mowa w ust. 1, przedawnia się z upływem 5 lat, licząc od ostatniego dnia roku kalendarzowego, w którym koszty lub opłaty powinny zostać uiszczone.</w:t>
            </w:r>
            <w:r>
              <w:t>”</w:t>
            </w:r>
          </w:p>
        </w:tc>
        <w:tc>
          <w:tcPr>
            <w:tcW w:w="1504" w:type="dxa"/>
            <w:tcBorders>
              <w:left w:val="single" w:sz="4" w:space="0" w:color="auto"/>
              <w:right w:val="single" w:sz="4" w:space="0" w:color="auto"/>
            </w:tcBorders>
          </w:tcPr>
          <w:p w14:paraId="20D202CA" w14:textId="77777777" w:rsidR="00E55F04" w:rsidRPr="00FB76A9" w:rsidRDefault="00E55F04" w:rsidP="00FD5CD5">
            <w:pPr>
              <w:spacing w:after="0" w:line="240" w:lineRule="auto"/>
              <w:rPr>
                <w:rFonts w:ascii="Times New Roman" w:eastAsia="Times New Roman" w:hAnsi="Times New Roman" w:cs="Times New Roman"/>
                <w:sz w:val="24"/>
                <w:szCs w:val="24"/>
                <w:lang w:eastAsia="pl-PL"/>
              </w:rPr>
            </w:pPr>
          </w:p>
        </w:tc>
      </w:tr>
      <w:tr w:rsidR="00344C09" w:rsidRPr="00FB76A9" w14:paraId="03D90832" w14:textId="77777777" w:rsidTr="00344C09">
        <w:trPr>
          <w:trHeight w:val="429"/>
        </w:trPr>
        <w:tc>
          <w:tcPr>
            <w:tcW w:w="797" w:type="dxa"/>
            <w:tcBorders>
              <w:top w:val="single" w:sz="4" w:space="0" w:color="auto"/>
              <w:left w:val="single" w:sz="4" w:space="0" w:color="auto"/>
              <w:bottom w:val="single" w:sz="4" w:space="0" w:color="auto"/>
              <w:right w:val="single" w:sz="4" w:space="0" w:color="auto"/>
            </w:tcBorders>
          </w:tcPr>
          <w:p w14:paraId="2D753FDD" w14:textId="77777777" w:rsidR="00344C09" w:rsidRPr="00FB76A9" w:rsidRDefault="00880AED"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lastRenderedPageBreak/>
              <w:t>Art. 46</w:t>
            </w:r>
          </w:p>
        </w:tc>
        <w:tc>
          <w:tcPr>
            <w:tcW w:w="5572" w:type="dxa"/>
            <w:gridSpan w:val="2"/>
            <w:tcBorders>
              <w:top w:val="single" w:sz="4" w:space="0" w:color="auto"/>
              <w:left w:val="single" w:sz="4" w:space="0" w:color="auto"/>
              <w:bottom w:val="single" w:sz="4" w:space="0" w:color="auto"/>
              <w:right w:val="single" w:sz="4" w:space="0" w:color="auto"/>
            </w:tcBorders>
          </w:tcPr>
          <w:p w14:paraId="061FDBE1" w14:textId="77777777" w:rsidR="00880AED" w:rsidRPr="00FB76A9" w:rsidRDefault="00880AED" w:rsidP="00FD5CD5">
            <w:pPr>
              <w:pStyle w:val="CM4"/>
              <w:rPr>
                <w:rFonts w:eastAsia="Times New Roman"/>
                <w:lang w:eastAsia="pl-PL"/>
              </w:rPr>
            </w:pPr>
            <w:r w:rsidRPr="00FB76A9">
              <w:rPr>
                <w:rFonts w:eastAsia="Times New Roman"/>
                <w:lang w:eastAsia="pl-PL"/>
              </w:rPr>
              <w:t xml:space="preserve">„Art. 46.1. W przypadku gdy organy nadzoru rynku jednego państwa członkowskiego podjęły działania zgodnie z art. 20 rozporządzenia (WE) nr 765/2008 lub mają wystarczające powody, aby sądzić, że dany pojazd, układ, komponent lub oddzielny zespół techniczny objęty zakresem niniejszego rozporządzenia stwarzają poważne zagrożenie dla zdrowia lub bezpieczeństwa osób lub innych aspektów ochrony interesów publicznych objętych zakresem niniejszego rozporządzenia, organ udzielający homologacji, który udzielił homologacji, dokonuje oceny danego pojazdu, układu, komponentu lub oddzielnego zespołu technicznego pod kątem spełniania wszystkich wymogów określonych w niniejszym rozporządzeniu. Odpowiednie podmioty gospodarcze w pełni współpracują z organami udzielającymi homologacji lub organami nadzoru rynku. </w:t>
            </w:r>
          </w:p>
          <w:p w14:paraId="0F42EB02" w14:textId="77777777" w:rsidR="00880AED" w:rsidRPr="00FB76A9" w:rsidRDefault="00880AED" w:rsidP="00FD5CD5">
            <w:pPr>
              <w:pStyle w:val="CM4"/>
              <w:rPr>
                <w:rFonts w:eastAsia="Times New Roman"/>
                <w:lang w:eastAsia="pl-PL"/>
              </w:rPr>
            </w:pPr>
            <w:r w:rsidRPr="00FB76A9">
              <w:rPr>
                <w:rFonts w:eastAsia="Times New Roman"/>
                <w:lang w:eastAsia="pl-PL"/>
              </w:rPr>
              <w:t xml:space="preserve">W przypadku gdy w trakcie tej oceny organ udzielający homologacji, który udzielił homologacji, stwierdzi, że dany pojazd, układ, komponent lub oddzielny zespół techniczny nie spełnia wymogów określonych w niniejszym rozporządzeniu, żąda on niezwłocznie od odpowiedniego podmiotu gospodarczego podjęcia wszystkich odpowiednich działań naprawczych w celu </w:t>
            </w:r>
            <w:r w:rsidRPr="00FB76A9">
              <w:rPr>
                <w:rFonts w:eastAsia="Times New Roman"/>
                <w:lang w:eastAsia="pl-PL"/>
              </w:rPr>
              <w:lastRenderedPageBreak/>
              <w:t xml:space="preserve">zapewnienia zgodności pojazdu, układu, komponentu lub oddzielnego zespołu technicznego, do wycofania go z obrotu lub od użytkowników w rozsądnym terminie, współmiernym do charakteru zagrożenia. </w:t>
            </w:r>
          </w:p>
          <w:p w14:paraId="153E5BE9" w14:textId="77777777" w:rsidR="00880AED" w:rsidRPr="00FB76A9" w:rsidRDefault="00880AED" w:rsidP="00FD5CD5">
            <w:pPr>
              <w:pStyle w:val="CM4"/>
              <w:rPr>
                <w:rFonts w:eastAsia="Times New Roman"/>
                <w:lang w:eastAsia="pl-PL"/>
              </w:rPr>
            </w:pPr>
            <w:r w:rsidRPr="00FB76A9">
              <w:rPr>
                <w:rFonts w:eastAsia="Times New Roman"/>
                <w:lang w:eastAsia="pl-PL"/>
              </w:rPr>
              <w:t xml:space="preserve">Do środków, o których mowa w akapicie drugim niniejszego ustępu, zastosowanie ma art. 21 rozporządzenia (WE) nr 765/2008. </w:t>
            </w:r>
          </w:p>
          <w:p w14:paraId="1458A541" w14:textId="77777777" w:rsidR="00880AED" w:rsidRPr="00FB76A9" w:rsidRDefault="00880AED" w:rsidP="00FD5CD5">
            <w:pPr>
              <w:pStyle w:val="CM4"/>
              <w:rPr>
                <w:rFonts w:eastAsia="Times New Roman"/>
                <w:lang w:eastAsia="pl-PL"/>
              </w:rPr>
            </w:pPr>
            <w:r w:rsidRPr="00FB76A9">
              <w:rPr>
                <w:rFonts w:eastAsia="Times New Roman"/>
                <w:lang w:eastAsia="pl-PL"/>
              </w:rPr>
              <w:t xml:space="preserve">2. W przypadku gdy organy udzielające homologacji uznają, że niezgodność nie ogranicza się wyłącznie do terytorium ich państwa, informują Komisję oraz pozostałe państwa członkowskie o wynikach oceny oraz działaniach wymaganych od danego podmiotu gospodarczego. </w:t>
            </w:r>
          </w:p>
          <w:p w14:paraId="27C87D84" w14:textId="77777777" w:rsidR="00880AED" w:rsidRPr="00FB76A9" w:rsidRDefault="00880AED" w:rsidP="00FD5CD5">
            <w:pPr>
              <w:pStyle w:val="CM4"/>
              <w:rPr>
                <w:rFonts w:eastAsia="Times New Roman"/>
                <w:lang w:eastAsia="pl-PL"/>
              </w:rPr>
            </w:pPr>
            <w:r w:rsidRPr="00FB76A9">
              <w:rPr>
                <w:rFonts w:eastAsia="Times New Roman"/>
                <w:lang w:eastAsia="pl-PL"/>
              </w:rPr>
              <w:t xml:space="preserve">3. Podmiot gospodarczy zapewnia podjęcie wszystkich odpowiednich działań naprawczych w odniesieniu do wszystkich niezgodnych z wymogami pojazdów, układów, komponentów lub oddzielnych zespołów technicznych, które wprowadził do obrotu, zarejestrował lub za które był odpowiedzialny w zakresie dopuszczenia w Unii. </w:t>
            </w:r>
          </w:p>
          <w:p w14:paraId="5183EEB1" w14:textId="77777777" w:rsidR="00880AED" w:rsidRPr="00FB76A9" w:rsidRDefault="00880AED" w:rsidP="00FD5CD5">
            <w:pPr>
              <w:pStyle w:val="CM4"/>
              <w:rPr>
                <w:rFonts w:eastAsia="Times New Roman"/>
                <w:lang w:eastAsia="pl-PL"/>
              </w:rPr>
            </w:pPr>
            <w:r w:rsidRPr="00FB76A9">
              <w:rPr>
                <w:rFonts w:eastAsia="Times New Roman"/>
                <w:lang w:eastAsia="pl-PL"/>
              </w:rPr>
              <w:t xml:space="preserve">4. W przypadku gdy podmiot gospodarczy nie podejmie odpowiednich działań naprawczych w terminie, o którym mowa w ust. 1 akapit drugi, organy krajowe podejmują wszystkie odpowiednie środki w celu zakazania lub ograniczenia udostępnienia na rynku, rejestracji lub dopuszczania niezgodnych z wymogami pojazdów, układów, komponentów lub oddzielnych zespołów technicznych na swoim rynku krajowym, ich wycofania z obrotu lub od użytkowników. </w:t>
            </w:r>
          </w:p>
          <w:p w14:paraId="4D68EFEA" w14:textId="77777777" w:rsidR="00880AED" w:rsidRPr="00FB76A9" w:rsidRDefault="00880AED" w:rsidP="00FD5CD5">
            <w:pPr>
              <w:pStyle w:val="CM4"/>
              <w:rPr>
                <w:rFonts w:eastAsia="Times New Roman"/>
                <w:lang w:eastAsia="pl-PL"/>
              </w:rPr>
            </w:pPr>
            <w:r w:rsidRPr="00FB76A9">
              <w:rPr>
                <w:rFonts w:eastAsia="Times New Roman"/>
                <w:lang w:eastAsia="pl-PL"/>
              </w:rPr>
              <w:t xml:space="preserve">5. Organy krajowe niezwłocznie informują Komisję i pozostałe państwa członkowskie o środkach przewidzianych w ust. 4. </w:t>
            </w:r>
          </w:p>
          <w:p w14:paraId="4DC8C843" w14:textId="77777777" w:rsidR="00880AED" w:rsidRPr="00FB76A9" w:rsidRDefault="00880AED" w:rsidP="00FD5CD5">
            <w:pPr>
              <w:pStyle w:val="CM4"/>
              <w:rPr>
                <w:rFonts w:eastAsia="Times New Roman"/>
                <w:lang w:eastAsia="pl-PL"/>
              </w:rPr>
            </w:pPr>
            <w:r w:rsidRPr="00FB76A9">
              <w:rPr>
                <w:rFonts w:eastAsia="Times New Roman"/>
                <w:lang w:eastAsia="pl-PL"/>
              </w:rPr>
              <w:lastRenderedPageBreak/>
              <w:t xml:space="preserve">Przekazane informacje obejmują wszystkie dostępne szczegóły, w szczególności dane niezbędne do identyfikacji pojazdów, układów, komponentów lub oddzielnych zespołów technicznych niespełniających wymogów, informacje na temat ich pochodzenia, charakteru występującej niezgodności i wynikającego z niej zagrożenia, rodzaju i okresu obowiązywania przyjętych środków krajowych, a także argumentów przedstawionych przez odpowiedni podmiot gospodarczy. W szczególności organy udzielające homologacji wskazują, czy niezgodność wynika z jednej z poniższych sytuacji: </w:t>
            </w:r>
          </w:p>
          <w:p w14:paraId="2AB78D87" w14:textId="77777777" w:rsidR="00880AED" w:rsidRPr="00FB76A9" w:rsidRDefault="00880AED" w:rsidP="00FD5CD5">
            <w:pPr>
              <w:pStyle w:val="CM4"/>
              <w:rPr>
                <w:rFonts w:eastAsia="Times New Roman"/>
                <w:lang w:eastAsia="pl-PL"/>
              </w:rPr>
            </w:pPr>
            <w:r w:rsidRPr="00FB76A9">
              <w:rPr>
                <w:rFonts w:eastAsia="Times New Roman"/>
                <w:lang w:eastAsia="pl-PL"/>
              </w:rPr>
              <w:t xml:space="preserve">a) niespełniania przez pojazdy, układy, komponenty lub oddzielne zespoły techniczne wymogów związanych ze zdrowiem lub bezpieczeństwem osób, ochroną środowiska lub z innymi aspektami ochrony interesu publicznego objętymi zakresem niniejszego rozporządzenia; </w:t>
            </w:r>
          </w:p>
          <w:p w14:paraId="5EBD500E" w14:textId="77777777" w:rsidR="00880AED" w:rsidRPr="00FB76A9" w:rsidRDefault="00880AED" w:rsidP="00FD5CD5">
            <w:pPr>
              <w:pStyle w:val="CM4"/>
              <w:rPr>
                <w:rFonts w:eastAsia="Times New Roman"/>
                <w:lang w:eastAsia="pl-PL"/>
              </w:rPr>
            </w:pPr>
            <w:r w:rsidRPr="00FB76A9">
              <w:rPr>
                <w:rFonts w:eastAsia="Times New Roman"/>
                <w:lang w:eastAsia="pl-PL"/>
              </w:rPr>
              <w:t xml:space="preserve">b) niedociągnięć w odpowiednich aktach wymienionych w załączniku II. </w:t>
            </w:r>
          </w:p>
          <w:p w14:paraId="1FB50506" w14:textId="77777777" w:rsidR="00880AED" w:rsidRPr="00FB76A9" w:rsidRDefault="00880AED" w:rsidP="00FD5CD5">
            <w:pPr>
              <w:pStyle w:val="CM4"/>
              <w:rPr>
                <w:rFonts w:eastAsia="Times New Roman"/>
                <w:lang w:eastAsia="pl-PL"/>
              </w:rPr>
            </w:pPr>
            <w:r w:rsidRPr="00FB76A9">
              <w:rPr>
                <w:rFonts w:eastAsia="Times New Roman"/>
                <w:lang w:eastAsia="pl-PL"/>
              </w:rPr>
              <w:t xml:space="preserve">6. Państwa członkowskie w terminie jednego miesiąca informują Komisję i pozostałe państwa członkowskie o wszystkich przyjętych środkach i przekazują wszelkie informacje dotyczące niezgodności danych pojazdów, układów, komponentów lub oddzielnych zespołów technicznych, którymi dysponują, a w przypadku sprzeciwu wobec zgłoszonego środka krajowego przedstawiają swoje zastrzeżenia. </w:t>
            </w:r>
          </w:p>
          <w:p w14:paraId="7E8E8C25" w14:textId="77777777" w:rsidR="00880AED" w:rsidRPr="00FB76A9" w:rsidRDefault="00880AED" w:rsidP="00FD5CD5">
            <w:pPr>
              <w:pStyle w:val="CM4"/>
              <w:rPr>
                <w:rFonts w:eastAsia="Times New Roman"/>
                <w:lang w:eastAsia="pl-PL"/>
              </w:rPr>
            </w:pPr>
            <w:r w:rsidRPr="00FB76A9">
              <w:rPr>
                <w:rFonts w:eastAsia="Times New Roman"/>
                <w:lang w:eastAsia="pl-PL"/>
              </w:rPr>
              <w:t xml:space="preserve">7. W przypadku gdy w terminie jednego miesiąca od otrzymania informacji, o których mowa w ust. 6 niniejszego artykułu, jedno spośród pozostałych państw członkowskich albo Komisja zgłosi sprzeciw wobec </w:t>
            </w:r>
            <w:r w:rsidRPr="00FB76A9">
              <w:rPr>
                <w:rFonts w:eastAsia="Times New Roman"/>
                <w:lang w:eastAsia="pl-PL"/>
              </w:rPr>
              <w:lastRenderedPageBreak/>
              <w:t xml:space="preserve">środka podjętego przez państwo członkowskie, Komisja poddaje ten środek ocenie zgodnie z art. 47. </w:t>
            </w:r>
          </w:p>
          <w:p w14:paraId="3DA366E5" w14:textId="77777777" w:rsidR="00344C09" w:rsidRPr="00FB76A9" w:rsidRDefault="00880AE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8. Państwa członkowskie zapewniają niezwłoczne przyjęcie odpowiednich środków ograniczających w odniesieniu do danych pojazdów, układów, komponentów lub oddzielnych zespołów technicznych, takich jak ich wycofanie z obrotu.”</w:t>
            </w:r>
          </w:p>
        </w:tc>
        <w:tc>
          <w:tcPr>
            <w:tcW w:w="932" w:type="dxa"/>
            <w:gridSpan w:val="2"/>
            <w:tcBorders>
              <w:top w:val="single" w:sz="4" w:space="0" w:color="auto"/>
              <w:left w:val="single" w:sz="4" w:space="0" w:color="auto"/>
              <w:bottom w:val="single" w:sz="4" w:space="0" w:color="auto"/>
              <w:right w:val="single" w:sz="4" w:space="0" w:color="auto"/>
            </w:tcBorders>
          </w:tcPr>
          <w:p w14:paraId="40AF37FB" w14:textId="77777777" w:rsidR="00344C09" w:rsidRPr="00FB76A9" w:rsidRDefault="00880AE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lastRenderedPageBreak/>
              <w:t>T</w:t>
            </w:r>
          </w:p>
        </w:tc>
        <w:tc>
          <w:tcPr>
            <w:tcW w:w="715" w:type="dxa"/>
            <w:tcBorders>
              <w:top w:val="single" w:sz="4" w:space="0" w:color="auto"/>
              <w:left w:val="single" w:sz="4" w:space="0" w:color="auto"/>
              <w:bottom w:val="single" w:sz="4" w:space="0" w:color="auto"/>
              <w:right w:val="single" w:sz="4" w:space="0" w:color="auto"/>
            </w:tcBorders>
          </w:tcPr>
          <w:p w14:paraId="1D037B64" w14:textId="77777777" w:rsidR="00344C09" w:rsidRPr="00FB76A9" w:rsidRDefault="00880AE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w:t>
            </w:r>
            <w:r w:rsidR="00AB0A60" w:rsidRPr="00FB76A9">
              <w:rPr>
                <w:rFonts w:ascii="Times New Roman" w:eastAsia="Times New Roman" w:hAnsi="Times New Roman" w:cs="Times New Roman"/>
                <w:sz w:val="24"/>
                <w:szCs w:val="24"/>
                <w:lang w:eastAsia="pl-PL"/>
              </w:rPr>
              <w:t>23</w:t>
            </w:r>
          </w:p>
        </w:tc>
        <w:tc>
          <w:tcPr>
            <w:tcW w:w="5475" w:type="dxa"/>
            <w:gridSpan w:val="2"/>
            <w:tcBorders>
              <w:top w:val="single" w:sz="4" w:space="0" w:color="auto"/>
              <w:left w:val="single" w:sz="4" w:space="0" w:color="auto"/>
              <w:bottom w:val="single" w:sz="4" w:space="0" w:color="auto"/>
              <w:right w:val="single" w:sz="4" w:space="0" w:color="auto"/>
            </w:tcBorders>
          </w:tcPr>
          <w:p w14:paraId="29A171B0"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„Rozdział 6</w:t>
            </w:r>
          </w:p>
          <w:p w14:paraId="319335EB"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Akcje serwisowe</w:t>
            </w:r>
          </w:p>
          <w:p w14:paraId="77884F0F"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Art. 70. 1. Podstawą do podjęcia akcji serwisowej na terytorium Rzeczpospolitej Polskiej w odniesieniu do pojazdów, przedmiotów wyposażenia lub części, dla których producent uzyskał świadectwo homologacji typu UE pojazdu, świadectwo homologacji typu UE albo świadectwo homologacji typu ONZ są:</w:t>
            </w:r>
          </w:p>
          <w:p w14:paraId="434DF8B9"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1)</w:t>
            </w:r>
            <w:r w:rsidRPr="00FB76A9">
              <w:rPr>
                <w:rFonts w:ascii="Times New Roman" w:hAnsi="Times New Roman" w:cs="Times New Roman"/>
              </w:rPr>
              <w:tab/>
              <w:t>własne działania Dyrektora TDT jako organu nadzoru rynku, lub</w:t>
            </w:r>
          </w:p>
          <w:p w14:paraId="214B97DE"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2)</w:t>
            </w:r>
            <w:r w:rsidRPr="00FB76A9">
              <w:rPr>
                <w:rFonts w:ascii="Times New Roman" w:hAnsi="Times New Roman" w:cs="Times New Roman"/>
              </w:rPr>
              <w:tab/>
              <w:t>informacje zamieszczone w systemie Safety Gate, lub</w:t>
            </w:r>
          </w:p>
          <w:p w14:paraId="6C0DDE23"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3)</w:t>
            </w:r>
            <w:r w:rsidRPr="00FB76A9">
              <w:rPr>
                <w:rFonts w:ascii="Times New Roman" w:hAnsi="Times New Roman" w:cs="Times New Roman"/>
              </w:rPr>
              <w:tab/>
              <w:t>informacje przekazane przez organ udzielający homologacji, lub</w:t>
            </w:r>
          </w:p>
          <w:p w14:paraId="6B0FD149"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4)</w:t>
            </w:r>
            <w:r w:rsidRPr="00FB76A9">
              <w:rPr>
                <w:rFonts w:ascii="Times New Roman" w:hAnsi="Times New Roman" w:cs="Times New Roman"/>
              </w:rPr>
              <w:tab/>
              <w:t>informacje przekazane przez podmiot gospodarczy.</w:t>
            </w:r>
          </w:p>
          <w:p w14:paraId="58DCBF00"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2. W przypadku stwierdzenia przez podmiot gospodarczy we wprowadzonym do obrotu pojeździe, przedmiocie wyposażenia lub części, o którym mowa w ust. 1, ryzyka lub poważnego ryzyka dla bezpieczeństwa, ochrony zdrowia i środowiska albo niezgodność pojazdu, przedmiotu wyposażenia lub części z </w:t>
            </w:r>
            <w:r w:rsidRPr="00FB76A9">
              <w:rPr>
                <w:rFonts w:ascii="Times New Roman" w:hAnsi="Times New Roman" w:cs="Times New Roman"/>
              </w:rPr>
              <w:lastRenderedPageBreak/>
              <w:t>wymaganiami technicznymi, podmiot ten jest obowiązany niezwłocznie powiadomić o tym Dyrektora TDT jako organ nadzoru rynku oraz podjąć działania zgodnie z przepisami rozdziału XII rozporządzenia 167/2013, rozdziału XII rozporządzenia 168/2013 lub rozdziału XI rozporządzenia 2018/858 – odpowiednio do kategorii pojazdu, przedmiotu wyposażenia lub części.</w:t>
            </w:r>
          </w:p>
          <w:p w14:paraId="279848FB"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3. Podmiot gospodarczy jest obowiązany do udostępniania użytkownikom końcowym informacji o konieczności sprawdzenia stanu technicznego pojazdu w warunkach serwisowych producenta w taki sposób, aby informacja ta była dostępna dla użytkownika końcowego na stronie podmiotowej podmiotu gospodarczego po wpisaniu numeru VIN pojazdu. Informacja dotycząca akcji serwisowej powinna zawierać co najmniej numer i krótki opis akcji serwisowej lub informację, że pojazd nie jest objęty akcją serwisową.</w:t>
            </w:r>
          </w:p>
          <w:p w14:paraId="183480D4"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4. Podmioty gospodarczy jest obowiązany do wdrożenia odpowiednich zabezpieczeń oraz mechanizmów ograniczających liczbę zapytań z jednego adresu IP albo innych równoważnych środków zapobiegających zautomatyzowanemu gromadzeniu danych. </w:t>
            </w:r>
          </w:p>
          <w:p w14:paraId="313F0EF9"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5. Dyrektor TDT jako organu nadzoru rynku na podstawie powiadomienia, o którym mowa w ust. 2, występuje do ewidencji o przekazanie aktualnych informacji dotyczących użytkowników końcowych pojazdów obejmujące </w:t>
            </w:r>
            <w:r w:rsidRPr="00FB76A9">
              <w:rPr>
                <w:rFonts w:ascii="Times New Roman" w:hAnsi="Times New Roman" w:cs="Times New Roman"/>
              </w:rPr>
              <w:lastRenderedPageBreak/>
              <w:t>nazwę lub imię i nazwisko, adres siedziby albo miejsca zamieszkania w powiązaniu z numerem VIN pojazdu oraz numerem tablicy rejestracyjnej.</w:t>
            </w:r>
          </w:p>
          <w:p w14:paraId="5B2E24A5"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6. Na podstawie danych otrzymanych z ewidencji Dyrektor TDT jako organ nadzoru rynku zawiadamia użytkowników końcowych o konieczności sprawdzenia stanu technicznego pojazdu w warunkach serwisowych producenta. </w:t>
            </w:r>
          </w:p>
          <w:p w14:paraId="1440C501"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7. Dyrektor TDT jako organ nadzoru rynku jest obowiązany do usunięcia z systemów informatycznych danych o użytkownikach końcowych pojazdów, w odniesieniu do których została przeprowadzona akcja serwisowa, w terminie do końca pierwszego kwartału następnego roku. </w:t>
            </w:r>
          </w:p>
          <w:p w14:paraId="13D282E5"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8. Dyrektor TDT jako organ nadzoru rynku, w drodze decyzji administracyjnej, określa wysokość opłaty i termin jej uiszczenia przez podmiot gospodarczy za powiadomienie przez Dyrektora TDT jako organ nadzoru rynku użytkowników końcowych o konieczności sprawdzenia stanu technicznego pojazdu w warunkach serwisowych producenta. Opłata uiszczana jest na wskazany rachunek bankowy Transportowego Dozoru Technicznego.</w:t>
            </w:r>
          </w:p>
          <w:p w14:paraId="0DF44244"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9. Wysokość opłaty za powiadomienie każdego użytkownika końcowego nie może przekroczyć 0,22% wysokości przeciętnego wynagrodzenia, o którym mowa w art. 68g ust. 4, od każdego powiadomienia.</w:t>
            </w:r>
          </w:p>
          <w:p w14:paraId="6E9EF195" w14:textId="77777777" w:rsidR="00BC15FA" w:rsidRPr="00BC15FA" w:rsidRDefault="00BC15FA" w:rsidP="00FD5CD5">
            <w:pPr>
              <w:pStyle w:val="ZROZDZODDZOZNzmoznrozdzoddzartykuempunktem"/>
              <w:spacing w:line="240" w:lineRule="auto"/>
              <w:jc w:val="left"/>
              <w:rPr>
                <w:rFonts w:ascii="Times New Roman" w:hAnsi="Times New Roman" w:cs="Times New Roman"/>
              </w:rPr>
            </w:pPr>
            <w:r w:rsidRPr="00BC15FA">
              <w:rPr>
                <w:rFonts w:ascii="Times New Roman" w:hAnsi="Times New Roman" w:cs="Times New Roman"/>
              </w:rPr>
              <w:t xml:space="preserve">10. Podmiot gospodarczy jest zobowiązany do informowania Dyrektora TDT jako organ nadzoru </w:t>
            </w:r>
            <w:r w:rsidRPr="00BC15FA">
              <w:rPr>
                <w:rFonts w:ascii="Times New Roman" w:hAnsi="Times New Roman" w:cs="Times New Roman"/>
              </w:rPr>
              <w:lastRenderedPageBreak/>
              <w:t>rynku o postępie w realizacji akcji serwisowych co najmniej raz na kwartał.</w:t>
            </w:r>
          </w:p>
          <w:p w14:paraId="62A6DAE3" w14:textId="77777777" w:rsidR="00BC15FA" w:rsidRPr="00BC15FA" w:rsidRDefault="00BC15FA" w:rsidP="00FD5CD5">
            <w:pPr>
              <w:pStyle w:val="ZROZDZODDZOZNzmoznrozdzoddzartykuempunktem"/>
              <w:spacing w:line="240" w:lineRule="auto"/>
              <w:jc w:val="left"/>
              <w:rPr>
                <w:rFonts w:ascii="Times New Roman" w:hAnsi="Times New Roman" w:cs="Times New Roman"/>
              </w:rPr>
            </w:pPr>
            <w:r w:rsidRPr="00BC15FA">
              <w:rPr>
                <w:rFonts w:ascii="Times New Roman" w:hAnsi="Times New Roman" w:cs="Times New Roman"/>
              </w:rPr>
              <w:t xml:space="preserve">11. Do opłaty, o której mowa w ust. 10, stosuje się przepisy art. 68zzb ust. 1 i 2. </w:t>
            </w:r>
          </w:p>
          <w:p w14:paraId="362816C0"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Art. 71. 1. Podstawą do podjęcia akcji serwisowej na terytorium Rzeczpospolitej Polskiej w odniesieniu do pojazdów, dla których producent uzyskał świadectwo krajowej homologacji typu pojazdu, tramwaju albo trolejbusu, są działania i informacje, o których mowa w art. 70 ust. 1 pkt 1, 3 i 4.</w:t>
            </w:r>
          </w:p>
          <w:p w14:paraId="3AFD86E3"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2. W przypadku stwierdzenia przez podmiot gospodarczy we wprowadzonym do obrotu pojeździe, o którym mowa w ust. 1, ryzyka albo poważnego ryzyka dla bezpieczeństwa, ochrony zdrowia i środowiska lub niezgodność pojazdu z wymaganiami technicznymi, podmiot ten jest obowiązany niezwłocznie powiadomić o tym Dyrektora TDT jako organ nadzoru rynku oraz podjąć działania polegające na usunięciu tych zagrożeń. </w:t>
            </w:r>
          </w:p>
          <w:p w14:paraId="2B2C82B7"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3. W celu usunięcia ryzyka lub niezgodności, o których mowa w ust. 2, podmiot gospodarczy: </w:t>
            </w:r>
          </w:p>
          <w:p w14:paraId="659F6E8F"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1) </w:t>
            </w:r>
            <w:r w:rsidRPr="00FB76A9">
              <w:rPr>
                <w:rFonts w:ascii="Times New Roman" w:hAnsi="Times New Roman" w:cs="Times New Roman"/>
              </w:rPr>
              <w:tab/>
              <w:t xml:space="preserve">opracowuje plan działań mających na celu usunięcie ryzyka albo poważnego ryzyka lub niezgodności z wymaganiami technicznymi, </w:t>
            </w:r>
            <w:r w:rsidRPr="00FB76A9">
              <w:rPr>
                <w:rFonts w:ascii="Times New Roman" w:hAnsi="Times New Roman" w:cs="Times New Roman"/>
              </w:rPr>
              <w:lastRenderedPageBreak/>
              <w:t xml:space="preserve">obejmujący zakres i harmonogram czynności oraz liczbę pojazdów; </w:t>
            </w:r>
          </w:p>
          <w:p w14:paraId="30615A1D"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2) </w:t>
            </w:r>
            <w:r w:rsidRPr="00FB76A9">
              <w:rPr>
                <w:rFonts w:ascii="Times New Roman" w:hAnsi="Times New Roman" w:cs="Times New Roman"/>
              </w:rPr>
              <w:tab/>
              <w:t xml:space="preserve">uzgadnia z Dyrektorem TDT jako organem nadzoru rynku plan działań, o którym mowa w pkt 1; </w:t>
            </w:r>
          </w:p>
          <w:p w14:paraId="21CACF2C"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3) </w:t>
            </w:r>
            <w:r w:rsidRPr="00FB76A9">
              <w:rPr>
                <w:rFonts w:ascii="Times New Roman" w:hAnsi="Times New Roman" w:cs="Times New Roman"/>
              </w:rPr>
              <w:tab/>
              <w:t>udostępnia użytkownikom końcowym informację o konieczności sprawdzenia stanu technicznego pojazdu w warunkach serwisowych producenta w taki sposób, aby informacja ta była dostępna dla użytkownika końcowego na stronie podmiotowej podmiotu gospodarczego po wpisaniu numeru VIN pojazdu. Informacja dotycząca akcji serwisowej powinna zawierać co najmniej numer i krótki opis akcji serwisowej lub informację, że pojazd nie jest objęty akcją serwisową.</w:t>
            </w:r>
          </w:p>
          <w:p w14:paraId="7C7A8D25"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4. Po otrzymaniu powiadomienia, o którym mowa w ust. 2, oraz planu działań, o którym mowa w ust. 3 pkt 1, Dyrektor TDT jako organ nadzoru rynku: </w:t>
            </w:r>
          </w:p>
          <w:p w14:paraId="0485AD32"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1) </w:t>
            </w:r>
            <w:r w:rsidRPr="00FB76A9">
              <w:rPr>
                <w:rFonts w:ascii="Times New Roman" w:hAnsi="Times New Roman" w:cs="Times New Roman"/>
              </w:rPr>
              <w:tab/>
              <w:t xml:space="preserve">ocenia plan działań, a w przypadku gdy ma do niego zastrzeżenia, nakazuje podmiotowi gospodarczemu uwzględnić zastrzeżenia w planie działań lub harmonogramie czynności; </w:t>
            </w:r>
          </w:p>
          <w:p w14:paraId="1752083F"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2) </w:t>
            </w:r>
            <w:r w:rsidRPr="00FB76A9">
              <w:rPr>
                <w:rFonts w:ascii="Times New Roman" w:hAnsi="Times New Roman" w:cs="Times New Roman"/>
              </w:rPr>
              <w:tab/>
              <w:t xml:space="preserve">akceptuje plan działań; </w:t>
            </w:r>
          </w:p>
          <w:p w14:paraId="41130B63"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3) </w:t>
            </w:r>
            <w:r w:rsidRPr="00FB76A9">
              <w:rPr>
                <w:rFonts w:ascii="Times New Roman" w:hAnsi="Times New Roman" w:cs="Times New Roman"/>
              </w:rPr>
              <w:tab/>
              <w:t xml:space="preserve">określa terminy informowania go o realizacji i zakończeniu działań; </w:t>
            </w:r>
          </w:p>
          <w:p w14:paraId="12A8BF24"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4)</w:t>
            </w:r>
            <w:r w:rsidRPr="00FB76A9">
              <w:rPr>
                <w:rFonts w:ascii="Times New Roman" w:hAnsi="Times New Roman" w:cs="Times New Roman"/>
              </w:rPr>
              <w:tab/>
              <w:t>zobowiązuje podmiot gospodarczy do informowania Dyrektora TDT jako organ nadzoru rynku o postępie w realizacji akcji serwisowych co najmniej raz na kwartał.</w:t>
            </w:r>
          </w:p>
          <w:p w14:paraId="6EB98A50"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lastRenderedPageBreak/>
              <w:t>5. Dyrektor TDT jako organ nadzoru rynku na podstawie powiadomienia, o którym mowa w ust. 2, występuje do ewidencji o przekazanie aktualnych informacji dotyczących użytkowników pojazdów obejmujące nazwę lub imię i nazwisko, adres siedziby albo miejsca zamieszkania w powiązaniu z numerem VIN pojazdu oraz numerem tablicy rejestracyjnej.</w:t>
            </w:r>
          </w:p>
          <w:p w14:paraId="5EFC0EC7"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6. Na podstawie danych otrzymanych z ewidencji Dyrektor TDT jako organ nadzoru rynku zawiadamia użytkowników końcowych o konieczności sprawdzenia stanu technicznego pojazdu w warunkach serwisowych producenta.</w:t>
            </w:r>
          </w:p>
          <w:p w14:paraId="06CFE1E8"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7. Dyrektor TDT jako organem nadzoru rynku jest obowiązany do usunięcia z systemów informatycznych danych o użytkownikach końcowych pojazdów, w odniesieniu do których została przeprowadzona akcja serwisowa, w terminie do końca pierwszego kwartału następnego roku. </w:t>
            </w:r>
          </w:p>
          <w:p w14:paraId="701A2D30"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8. Dyrektor TDT jako organ nadzoru rynku, w drodze decyzji administracyjnej, określa wysokość opłaty i termin jej uiszczenia przez podmiot gospodarczy za powiadomienie przez Dyrektora TDT jako organ nadzoru rynku użytkowników końcowych o konieczności sprawdzenia stanu technicznego pojazdu w warunkach serwisowych producenta. Opłata uiszczana jest na wskazany rachunek bankowy Transportowego Dozoru Technicznego.</w:t>
            </w:r>
          </w:p>
          <w:p w14:paraId="37447536"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9. Wysokość opłaty za powiadomienie każdego użytkownika końcowego nie może przekroczyć </w:t>
            </w:r>
            <w:r w:rsidRPr="00FB76A9">
              <w:rPr>
                <w:rFonts w:ascii="Times New Roman" w:hAnsi="Times New Roman" w:cs="Times New Roman"/>
              </w:rPr>
              <w:lastRenderedPageBreak/>
              <w:t>0,22% wysokości przeciętnego wynagrodzenia, o którym mowa w art. 68g ust. 4, od każdego powiadomienia.</w:t>
            </w:r>
          </w:p>
          <w:p w14:paraId="58516C50" w14:textId="77777777" w:rsidR="00BC15FA" w:rsidRPr="001F1A7B" w:rsidRDefault="00BC15FA" w:rsidP="00FD5CD5">
            <w:pPr>
              <w:pStyle w:val="ZUSTzmustartykuempunktem"/>
              <w:spacing w:line="240" w:lineRule="auto"/>
              <w:ind w:firstLine="0"/>
              <w:jc w:val="left"/>
            </w:pPr>
            <w:r w:rsidRPr="00A21A0C">
              <w:t>10. Do opłaty, o której mowa w ust. 8, stosuje się przepisy art. 68zzb ust. 1 i 2.</w:t>
            </w:r>
          </w:p>
          <w:p w14:paraId="46B50EC8"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11. Producent informuje Dyrektora TDT jako organ nadzoru rynku o: </w:t>
            </w:r>
          </w:p>
          <w:p w14:paraId="2B04E0B4"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1) </w:t>
            </w:r>
            <w:r w:rsidRPr="00FB76A9">
              <w:rPr>
                <w:rFonts w:ascii="Times New Roman" w:hAnsi="Times New Roman" w:cs="Times New Roman"/>
              </w:rPr>
              <w:tab/>
              <w:t xml:space="preserve">realizacji działań w celu usunięcia stwierdzonych zagrożeń w terminach wskazanych w harmonogramie czynności; </w:t>
            </w:r>
          </w:p>
          <w:p w14:paraId="752D2F41"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2) </w:t>
            </w:r>
            <w:r w:rsidRPr="00FB76A9">
              <w:rPr>
                <w:rFonts w:ascii="Times New Roman" w:hAnsi="Times New Roman" w:cs="Times New Roman"/>
              </w:rPr>
              <w:tab/>
              <w:t xml:space="preserve">zakończeniu działań oraz przedstawia sprawozdanie z przeprowadzonych działań. </w:t>
            </w:r>
          </w:p>
          <w:p w14:paraId="617AD6F5" w14:textId="77777777" w:rsidR="00AB0A60" w:rsidRPr="00FB76A9" w:rsidRDefault="00AB0A60" w:rsidP="00FD5CD5">
            <w:pPr>
              <w:pStyle w:val="ZROZDZODDZOZNzmoznrozdzoddzartykuempunktem"/>
              <w:spacing w:line="240" w:lineRule="auto"/>
              <w:jc w:val="left"/>
              <w:rPr>
                <w:rFonts w:ascii="Times New Roman" w:hAnsi="Times New Roman" w:cs="Times New Roman"/>
              </w:rPr>
            </w:pPr>
            <w:r w:rsidRPr="00FB76A9">
              <w:rPr>
                <w:rFonts w:ascii="Times New Roman" w:hAnsi="Times New Roman" w:cs="Times New Roman"/>
              </w:rPr>
              <w:t xml:space="preserve">12. Koszty działań związanych z usunięciem zagrożeń ponosi producent. </w:t>
            </w:r>
          </w:p>
          <w:p w14:paraId="40956911" w14:textId="77777777" w:rsidR="00344C09" w:rsidRDefault="00AB0A60" w:rsidP="00FD5CD5">
            <w:pPr>
              <w:spacing w:after="0" w:line="240" w:lineRule="auto"/>
              <w:rPr>
                <w:rFonts w:ascii="Times New Roman" w:hAnsi="Times New Roman" w:cs="Times New Roman"/>
                <w:sz w:val="24"/>
                <w:szCs w:val="24"/>
              </w:rPr>
            </w:pPr>
            <w:r w:rsidRPr="00FB76A9">
              <w:rPr>
                <w:rFonts w:ascii="Times New Roman" w:hAnsi="Times New Roman" w:cs="Times New Roman"/>
                <w:sz w:val="24"/>
                <w:szCs w:val="24"/>
              </w:rPr>
              <w:t>13. Obowiązki informacyjne importerów i dystrybutorów określone odpowiednio w rozporządzeniu 167/2013, rozporządzeniu 168/2013 albo rozporządzeniu 2018/858 dotyczą importerów i dystrybutorów pojazdów, przedmiotów wyposażenia lub części, które posiadają świadectwo krajowej homologacji typu pojazdu, tramwaju albo trolejbusu albo świadectwo homologacji typu ONZ.”</w:t>
            </w:r>
          </w:p>
          <w:p w14:paraId="3EEC98E0" w14:textId="77777777" w:rsidR="00054FF7" w:rsidRDefault="00054FF7" w:rsidP="00FD5CD5">
            <w:pPr>
              <w:spacing w:after="0" w:line="240" w:lineRule="auto"/>
              <w:rPr>
                <w:rFonts w:ascii="Times New Roman" w:eastAsia="Times New Roman" w:hAnsi="Times New Roman" w:cs="Times New Roman"/>
                <w:sz w:val="24"/>
                <w:szCs w:val="24"/>
                <w:lang w:eastAsia="pl-PL"/>
              </w:rPr>
            </w:pPr>
          </w:p>
          <w:p w14:paraId="15B1B234" w14:textId="1112B383" w:rsidR="00054FF7" w:rsidRPr="00054FF7" w:rsidRDefault="00054FF7" w:rsidP="00FD5CD5">
            <w:pPr>
              <w:spacing w:after="0" w:line="240" w:lineRule="auto"/>
              <w:rPr>
                <w:rFonts w:ascii="Times New Roman" w:eastAsia="Times New Roman" w:hAnsi="Times New Roman" w:cs="Times New Roman"/>
                <w:b/>
                <w:sz w:val="24"/>
                <w:szCs w:val="24"/>
                <w:lang w:eastAsia="pl-PL"/>
              </w:rPr>
            </w:pPr>
            <w:r w:rsidRPr="00054FF7">
              <w:rPr>
                <w:rFonts w:ascii="Times New Roman" w:eastAsia="Times New Roman" w:hAnsi="Times New Roman" w:cs="Times New Roman"/>
                <w:b/>
                <w:sz w:val="24"/>
                <w:szCs w:val="24"/>
                <w:lang w:eastAsia="pl-PL"/>
              </w:rPr>
              <w:t>W zakresie art. 46 ust.</w:t>
            </w:r>
            <w:r w:rsidR="006C73FB">
              <w:rPr>
                <w:rFonts w:ascii="Times New Roman" w:eastAsia="Times New Roman" w:hAnsi="Times New Roman" w:cs="Times New Roman"/>
                <w:b/>
                <w:sz w:val="24"/>
                <w:szCs w:val="24"/>
                <w:lang w:eastAsia="pl-PL"/>
              </w:rPr>
              <w:t xml:space="preserve"> 6,</w:t>
            </w:r>
            <w:r w:rsidRPr="00054FF7">
              <w:rPr>
                <w:rFonts w:ascii="Times New Roman" w:eastAsia="Times New Roman" w:hAnsi="Times New Roman" w:cs="Times New Roman"/>
                <w:b/>
                <w:sz w:val="24"/>
                <w:szCs w:val="24"/>
                <w:lang w:eastAsia="pl-PL"/>
              </w:rPr>
              <w:t xml:space="preserve"> 7 i 8 </w:t>
            </w:r>
            <w:r>
              <w:rPr>
                <w:rFonts w:ascii="Times New Roman" w:eastAsia="Times New Roman" w:hAnsi="Times New Roman" w:cs="Times New Roman"/>
                <w:b/>
                <w:sz w:val="24"/>
                <w:szCs w:val="24"/>
                <w:lang w:eastAsia="pl-PL"/>
              </w:rPr>
              <w:t xml:space="preserve">rozporządzenia (UE) </w:t>
            </w:r>
            <w:r w:rsidRPr="00054FF7">
              <w:rPr>
                <w:rFonts w:ascii="Times New Roman" w:eastAsia="Times New Roman" w:hAnsi="Times New Roman" w:cs="Times New Roman"/>
                <w:b/>
                <w:sz w:val="24"/>
                <w:szCs w:val="24"/>
                <w:lang w:eastAsia="pl-PL"/>
              </w:rPr>
              <w:t xml:space="preserve">- </w:t>
            </w:r>
            <w:r w:rsidRPr="00054FF7">
              <w:rPr>
                <w:rFonts w:ascii="Times New Roman" w:hAnsi="Times New Roman" w:cs="Times New Roman"/>
                <w:b/>
                <w:sz w:val="24"/>
                <w:szCs w:val="24"/>
              </w:rPr>
              <w:t>Dyrektor TDT jako organ nadzoru rynku poprzez system</w:t>
            </w:r>
            <w:r w:rsidRPr="00054FF7">
              <w:rPr>
                <w:b/>
              </w:rPr>
              <w:t xml:space="preserve"> </w:t>
            </w:r>
            <w:r w:rsidRPr="00054FF7">
              <w:rPr>
                <w:rFonts w:ascii="Times New Roman" w:hAnsi="Times New Roman" w:cs="Times New Roman"/>
                <w:b/>
                <w:sz w:val="24"/>
                <w:szCs w:val="24"/>
              </w:rPr>
              <w:t>Safety Gate (w związku art. 18 i 19 rozporządzenia 2019/1020), zgodnie z tabelą korelacji pomiędzy rozporządzeniami (WE) 765/2008 a 2019/1020 zawartą w załączniku III rozporządzenia 2019/1020. W ustawie art. 68s ust.1 pkt 9.</w:t>
            </w:r>
          </w:p>
        </w:tc>
        <w:tc>
          <w:tcPr>
            <w:tcW w:w="1504" w:type="dxa"/>
            <w:tcBorders>
              <w:left w:val="single" w:sz="4" w:space="0" w:color="auto"/>
              <w:right w:val="single" w:sz="4" w:space="0" w:color="auto"/>
            </w:tcBorders>
          </w:tcPr>
          <w:p w14:paraId="5D0E2CC9" w14:textId="77777777" w:rsidR="00344C09" w:rsidRPr="00FB76A9" w:rsidRDefault="00344C09" w:rsidP="00FD5CD5">
            <w:pPr>
              <w:spacing w:after="0" w:line="240" w:lineRule="auto"/>
              <w:rPr>
                <w:rFonts w:ascii="Times New Roman" w:eastAsia="Times New Roman" w:hAnsi="Times New Roman" w:cs="Times New Roman"/>
                <w:sz w:val="24"/>
                <w:szCs w:val="24"/>
                <w:lang w:eastAsia="pl-PL"/>
              </w:rPr>
            </w:pPr>
          </w:p>
        </w:tc>
      </w:tr>
      <w:tr w:rsidR="00CE30D2" w:rsidRPr="00FB76A9" w14:paraId="33402990" w14:textId="77777777" w:rsidTr="00344C09">
        <w:trPr>
          <w:trHeight w:val="438"/>
        </w:trPr>
        <w:tc>
          <w:tcPr>
            <w:tcW w:w="797" w:type="dxa"/>
            <w:tcBorders>
              <w:top w:val="single" w:sz="4" w:space="0" w:color="auto"/>
              <w:left w:val="single" w:sz="4" w:space="0" w:color="auto"/>
              <w:bottom w:val="single" w:sz="4" w:space="0" w:color="auto"/>
              <w:right w:val="single" w:sz="4" w:space="0" w:color="auto"/>
            </w:tcBorders>
          </w:tcPr>
          <w:p w14:paraId="381C0C3A" w14:textId="77777777" w:rsidR="00CE30D2" w:rsidRPr="00FB76A9" w:rsidRDefault="00CE30D2"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lastRenderedPageBreak/>
              <w:t>Art. 76</w:t>
            </w:r>
          </w:p>
        </w:tc>
        <w:tc>
          <w:tcPr>
            <w:tcW w:w="5572" w:type="dxa"/>
            <w:gridSpan w:val="2"/>
            <w:tcBorders>
              <w:top w:val="single" w:sz="4" w:space="0" w:color="auto"/>
              <w:left w:val="single" w:sz="4" w:space="0" w:color="auto"/>
              <w:bottom w:val="single" w:sz="4" w:space="0" w:color="auto"/>
              <w:right w:val="single" w:sz="4" w:space="0" w:color="auto"/>
            </w:tcBorders>
          </w:tcPr>
          <w:p w14:paraId="270DF167" w14:textId="77777777" w:rsidR="00CE30D2" w:rsidRPr="00FB76A9" w:rsidRDefault="00CE30D2" w:rsidP="00FD5CD5">
            <w:pPr>
              <w:pStyle w:val="CM4"/>
              <w:rPr>
                <w:rFonts w:eastAsia="Times New Roman"/>
                <w:lang w:eastAsia="pl-PL"/>
              </w:rPr>
            </w:pPr>
            <w:r w:rsidRPr="00FB76A9">
              <w:rPr>
                <w:rFonts w:eastAsia="Times New Roman"/>
                <w:lang w:eastAsia="pl-PL"/>
              </w:rPr>
              <w:t xml:space="preserve">1. Państwa członkowskie przewidują sankcje za naruszenie przez podmioty gospodarcze niniejszego rozporządzenia oraz aktów delegowanych lub wykonawczych przyjętych na mocy niniejszego rozporządzenia. Państwa członkowskie podejmują wszystkie środki niezbędne do zapewnienia wdrożenia tych sankcji. Sankcje te muszą być skuteczne, proporcjonalne i odstraszające. Państwa członkowskie zgłaszają Komisji te przepisy do dnia 23 marca 2015 r. i niezwłocznie powiadamiają ją o wszelkich późniejszych zmianach dotyczących tych przepisów. </w:t>
            </w:r>
          </w:p>
          <w:p w14:paraId="5CF2B836" w14:textId="77777777" w:rsidR="00CE30D2" w:rsidRPr="00FB76A9" w:rsidRDefault="00CE30D2" w:rsidP="00FD5CD5">
            <w:pPr>
              <w:pStyle w:val="CM4"/>
              <w:rPr>
                <w:rFonts w:eastAsia="Times New Roman"/>
                <w:lang w:eastAsia="pl-PL"/>
              </w:rPr>
            </w:pPr>
            <w:r w:rsidRPr="00FB76A9">
              <w:rPr>
                <w:rFonts w:eastAsia="Times New Roman"/>
                <w:lang w:eastAsia="pl-PL"/>
              </w:rPr>
              <w:t xml:space="preserve">2. Naruszenia podlegające sankcjom obejmują: </w:t>
            </w:r>
          </w:p>
          <w:p w14:paraId="6691C782" w14:textId="77777777" w:rsidR="00CE30D2" w:rsidRPr="00FB76A9" w:rsidRDefault="00CE30D2" w:rsidP="00FD5CD5">
            <w:pPr>
              <w:pStyle w:val="CM4"/>
              <w:rPr>
                <w:rFonts w:eastAsia="Times New Roman"/>
                <w:lang w:eastAsia="pl-PL"/>
              </w:rPr>
            </w:pPr>
            <w:r w:rsidRPr="00FB76A9">
              <w:rPr>
                <w:rFonts w:eastAsia="Times New Roman"/>
                <w:lang w:eastAsia="pl-PL"/>
              </w:rPr>
              <w:t xml:space="preserve">a) składanie fałszywych oświadczeń w trakcie procedur homologacyjnych lub procedur prowadzących do wycofania od użytkowników; </w:t>
            </w:r>
          </w:p>
          <w:p w14:paraId="019FA28B" w14:textId="77777777" w:rsidR="00CE30D2" w:rsidRPr="00FB76A9" w:rsidRDefault="00CE30D2" w:rsidP="00FD5CD5">
            <w:pPr>
              <w:pStyle w:val="CM4"/>
              <w:rPr>
                <w:rFonts w:eastAsia="Times New Roman"/>
                <w:lang w:eastAsia="pl-PL"/>
              </w:rPr>
            </w:pPr>
            <w:r w:rsidRPr="00FB76A9">
              <w:rPr>
                <w:rFonts w:eastAsia="Times New Roman"/>
                <w:lang w:eastAsia="pl-PL"/>
              </w:rPr>
              <w:t xml:space="preserve">b) fałszowanie wyników badań dotyczących homologacji typu; </w:t>
            </w:r>
          </w:p>
          <w:p w14:paraId="642B5994" w14:textId="77777777" w:rsidR="00CE30D2" w:rsidRPr="00FB76A9" w:rsidRDefault="00CE30D2" w:rsidP="00FD5CD5">
            <w:pPr>
              <w:pStyle w:val="CM4"/>
              <w:rPr>
                <w:rFonts w:eastAsia="Times New Roman"/>
                <w:lang w:eastAsia="pl-PL"/>
              </w:rPr>
            </w:pPr>
            <w:r w:rsidRPr="00FB76A9">
              <w:rPr>
                <w:rFonts w:eastAsia="Times New Roman"/>
                <w:lang w:eastAsia="pl-PL"/>
              </w:rPr>
              <w:t xml:space="preserve">c) zatajanie danych lub specyfikacji technicznych, które mogłoby prowadzić do odwołania, odmowy lub cofnięcia homologacji typu; </w:t>
            </w:r>
          </w:p>
          <w:p w14:paraId="6E186D9D" w14:textId="77777777" w:rsidR="00CE30D2" w:rsidRPr="00FB76A9" w:rsidRDefault="00CE30D2" w:rsidP="00FD5CD5">
            <w:pPr>
              <w:pStyle w:val="CM4"/>
              <w:rPr>
                <w:rFonts w:eastAsia="Times New Roman"/>
                <w:lang w:eastAsia="pl-PL"/>
              </w:rPr>
            </w:pPr>
            <w:r w:rsidRPr="00FB76A9">
              <w:rPr>
                <w:rFonts w:eastAsia="Times New Roman"/>
                <w:lang w:eastAsia="pl-PL"/>
              </w:rPr>
              <w:t xml:space="preserve">d) stosowanie urządzeń ograniczających skuteczność działania; </w:t>
            </w:r>
          </w:p>
          <w:p w14:paraId="3A320617" w14:textId="77777777" w:rsidR="00CE30D2" w:rsidRPr="00FB76A9" w:rsidRDefault="00CE30D2" w:rsidP="00FD5CD5">
            <w:pPr>
              <w:pStyle w:val="CM4"/>
              <w:rPr>
                <w:rFonts w:eastAsia="Times New Roman"/>
                <w:lang w:eastAsia="pl-PL"/>
              </w:rPr>
            </w:pPr>
            <w:r w:rsidRPr="00FB76A9">
              <w:rPr>
                <w:rFonts w:eastAsia="Times New Roman"/>
                <w:lang w:eastAsia="pl-PL"/>
              </w:rPr>
              <w:t xml:space="preserve">e) odmowę udzielenia dostępu do informacji; </w:t>
            </w:r>
          </w:p>
          <w:p w14:paraId="2C20631E"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f) udostępnianie na rynku przez podmioty gospodarcze pojazdów, układów, komponentów lub oddzielnych zespołów technicznych podlegających homologacji bez uzyskania takiej homologacji lub fałszowanie przez nie w tym celu dokumentów lub oznakowań.”</w:t>
            </w:r>
          </w:p>
        </w:tc>
        <w:tc>
          <w:tcPr>
            <w:tcW w:w="932" w:type="dxa"/>
            <w:gridSpan w:val="2"/>
            <w:tcBorders>
              <w:top w:val="single" w:sz="4" w:space="0" w:color="auto"/>
              <w:left w:val="single" w:sz="4" w:space="0" w:color="auto"/>
              <w:bottom w:val="single" w:sz="4" w:space="0" w:color="auto"/>
              <w:right w:val="single" w:sz="4" w:space="0" w:color="auto"/>
            </w:tcBorders>
          </w:tcPr>
          <w:p w14:paraId="718749AA"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715" w:type="dxa"/>
            <w:tcBorders>
              <w:top w:val="single" w:sz="4" w:space="0" w:color="auto"/>
              <w:left w:val="single" w:sz="4" w:space="0" w:color="auto"/>
              <w:bottom w:val="single" w:sz="4" w:space="0" w:color="auto"/>
              <w:right w:val="single" w:sz="4" w:space="0" w:color="auto"/>
            </w:tcBorders>
          </w:tcPr>
          <w:p w14:paraId="6E2201CE"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6-7 </w:t>
            </w:r>
          </w:p>
          <w:p w14:paraId="29AC3034"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4DC1F1D0"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246697E0"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0EDD21A7"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5460BCC3"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1E366E6B"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2936AFBA"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32003688"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4D38CF94"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1780483F"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2F604672"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1B7B47AD"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63797D87"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46D1A166"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73299B78"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1E3E4D7F"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572FC133"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5E13A6FB"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32F9C2C7"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32B20CBC"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739F43DD"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3FFB5EA2"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296A55AE"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6F65AC1B"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2A8874FB"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4FFC8DAF"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26D45DE0"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3C22120C"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021B2EA1"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67D888EA"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79095C36"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77238757"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290BFB09"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4BAA476F"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5E834BE2"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6E02FFC8"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041B7DF7"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2DBC2C32"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26F84E3C"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1EDE25FF"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p w14:paraId="4B646514" w14:textId="77777777" w:rsidR="00BF650F" w:rsidRPr="00FB76A9" w:rsidRDefault="00BF650F" w:rsidP="00FD5CD5">
            <w:pPr>
              <w:spacing w:after="0" w:line="240" w:lineRule="auto"/>
              <w:rPr>
                <w:rFonts w:ascii="Times New Roman" w:eastAsia="Times New Roman" w:hAnsi="Times New Roman" w:cs="Times New Roman"/>
                <w:sz w:val="24"/>
                <w:szCs w:val="24"/>
                <w:lang w:eastAsia="pl-PL"/>
              </w:rPr>
            </w:pPr>
          </w:p>
          <w:p w14:paraId="65868801" w14:textId="77777777" w:rsidR="00BF650F" w:rsidRPr="00FB76A9" w:rsidRDefault="00BF650F" w:rsidP="00FD5CD5">
            <w:pPr>
              <w:spacing w:after="0" w:line="240" w:lineRule="auto"/>
              <w:rPr>
                <w:rFonts w:ascii="Times New Roman" w:eastAsia="Times New Roman" w:hAnsi="Times New Roman" w:cs="Times New Roman"/>
                <w:sz w:val="24"/>
                <w:szCs w:val="24"/>
                <w:lang w:eastAsia="pl-PL"/>
              </w:rPr>
            </w:pPr>
          </w:p>
          <w:p w14:paraId="751C8319" w14:textId="77777777" w:rsidR="00BF650F" w:rsidRPr="00FB76A9" w:rsidRDefault="00BF650F" w:rsidP="00FD5CD5">
            <w:pPr>
              <w:spacing w:after="0" w:line="240" w:lineRule="auto"/>
              <w:rPr>
                <w:rFonts w:ascii="Times New Roman" w:eastAsia="Times New Roman" w:hAnsi="Times New Roman" w:cs="Times New Roman"/>
                <w:sz w:val="24"/>
                <w:szCs w:val="24"/>
                <w:lang w:eastAsia="pl-PL"/>
              </w:rPr>
            </w:pPr>
          </w:p>
          <w:p w14:paraId="61DE5622" w14:textId="77777777" w:rsidR="00BF650F" w:rsidRPr="00FB76A9" w:rsidRDefault="00BF650F" w:rsidP="00FD5CD5">
            <w:pPr>
              <w:spacing w:after="0" w:line="240" w:lineRule="auto"/>
              <w:rPr>
                <w:rFonts w:ascii="Times New Roman" w:eastAsia="Times New Roman" w:hAnsi="Times New Roman" w:cs="Times New Roman"/>
                <w:sz w:val="24"/>
                <w:szCs w:val="24"/>
                <w:lang w:eastAsia="pl-PL"/>
              </w:rPr>
            </w:pPr>
          </w:p>
          <w:p w14:paraId="299B4087" w14:textId="77777777" w:rsidR="00BF650F" w:rsidRPr="00FB76A9" w:rsidRDefault="00BF650F" w:rsidP="00FD5CD5">
            <w:pPr>
              <w:spacing w:after="0" w:line="240" w:lineRule="auto"/>
              <w:rPr>
                <w:rFonts w:ascii="Times New Roman" w:eastAsia="Times New Roman" w:hAnsi="Times New Roman" w:cs="Times New Roman"/>
                <w:sz w:val="24"/>
                <w:szCs w:val="24"/>
                <w:lang w:eastAsia="pl-PL"/>
              </w:rPr>
            </w:pPr>
          </w:p>
          <w:p w14:paraId="44073D48" w14:textId="77777777" w:rsidR="00BF650F" w:rsidRPr="00FB76A9" w:rsidRDefault="00BF650F" w:rsidP="00FD5CD5">
            <w:pPr>
              <w:spacing w:after="0" w:line="240" w:lineRule="auto"/>
              <w:rPr>
                <w:rFonts w:ascii="Times New Roman" w:eastAsia="Times New Roman" w:hAnsi="Times New Roman" w:cs="Times New Roman"/>
                <w:sz w:val="24"/>
                <w:szCs w:val="24"/>
                <w:lang w:eastAsia="pl-PL"/>
              </w:rPr>
            </w:pPr>
          </w:p>
          <w:p w14:paraId="64C6BC82" w14:textId="77777777" w:rsidR="00BF650F" w:rsidRPr="00FB76A9" w:rsidRDefault="00BF650F" w:rsidP="00FD5CD5">
            <w:pPr>
              <w:spacing w:after="0" w:line="240" w:lineRule="auto"/>
              <w:rPr>
                <w:rFonts w:ascii="Times New Roman" w:eastAsia="Times New Roman" w:hAnsi="Times New Roman" w:cs="Times New Roman"/>
                <w:sz w:val="24"/>
                <w:szCs w:val="24"/>
                <w:lang w:eastAsia="pl-PL"/>
              </w:rPr>
            </w:pPr>
          </w:p>
          <w:p w14:paraId="373AC0C3" w14:textId="77777777" w:rsidR="00BF650F" w:rsidRPr="00FB76A9" w:rsidRDefault="00BF650F" w:rsidP="00FD5CD5">
            <w:pPr>
              <w:spacing w:after="0" w:line="240" w:lineRule="auto"/>
              <w:rPr>
                <w:rFonts w:ascii="Times New Roman" w:eastAsia="Times New Roman" w:hAnsi="Times New Roman" w:cs="Times New Roman"/>
                <w:sz w:val="24"/>
                <w:szCs w:val="24"/>
                <w:lang w:eastAsia="pl-PL"/>
              </w:rPr>
            </w:pPr>
          </w:p>
          <w:p w14:paraId="6401C424" w14:textId="77777777" w:rsidR="00BF650F" w:rsidRPr="00FB76A9" w:rsidRDefault="00BF650F" w:rsidP="00FD5CD5">
            <w:pPr>
              <w:spacing w:after="0" w:line="240" w:lineRule="auto"/>
              <w:rPr>
                <w:rFonts w:ascii="Times New Roman" w:eastAsia="Times New Roman" w:hAnsi="Times New Roman" w:cs="Times New Roman"/>
                <w:sz w:val="24"/>
                <w:szCs w:val="24"/>
                <w:lang w:eastAsia="pl-PL"/>
              </w:rPr>
            </w:pPr>
          </w:p>
          <w:p w14:paraId="32CE87F9" w14:textId="77777777" w:rsidR="00BF650F" w:rsidRPr="00FB76A9" w:rsidRDefault="00BF650F" w:rsidP="00FD5CD5">
            <w:pPr>
              <w:spacing w:after="0" w:line="240" w:lineRule="auto"/>
              <w:rPr>
                <w:rFonts w:ascii="Times New Roman" w:eastAsia="Times New Roman" w:hAnsi="Times New Roman" w:cs="Times New Roman"/>
                <w:sz w:val="24"/>
                <w:szCs w:val="24"/>
                <w:lang w:eastAsia="pl-PL"/>
              </w:rPr>
            </w:pPr>
          </w:p>
          <w:p w14:paraId="38432EB4" w14:textId="77777777" w:rsidR="00BF650F" w:rsidRPr="00FB76A9" w:rsidRDefault="00BF650F" w:rsidP="00FD5CD5">
            <w:pPr>
              <w:spacing w:after="0" w:line="240" w:lineRule="auto"/>
              <w:rPr>
                <w:rFonts w:ascii="Times New Roman" w:eastAsia="Times New Roman" w:hAnsi="Times New Roman" w:cs="Times New Roman"/>
                <w:sz w:val="24"/>
                <w:szCs w:val="24"/>
                <w:lang w:eastAsia="pl-PL"/>
              </w:rPr>
            </w:pPr>
          </w:p>
          <w:p w14:paraId="046381AA" w14:textId="77777777" w:rsidR="00BF650F" w:rsidRPr="00FB76A9" w:rsidRDefault="00BF650F" w:rsidP="00FD5CD5">
            <w:pPr>
              <w:spacing w:after="0" w:line="240" w:lineRule="auto"/>
              <w:rPr>
                <w:rFonts w:ascii="Times New Roman" w:eastAsia="Times New Roman" w:hAnsi="Times New Roman" w:cs="Times New Roman"/>
                <w:sz w:val="24"/>
                <w:szCs w:val="24"/>
                <w:lang w:eastAsia="pl-PL"/>
              </w:rPr>
            </w:pPr>
          </w:p>
          <w:p w14:paraId="78721B2A" w14:textId="77777777" w:rsidR="00BF650F" w:rsidRPr="00FB76A9" w:rsidRDefault="00BF650F" w:rsidP="00FD5CD5">
            <w:pPr>
              <w:spacing w:after="0" w:line="240" w:lineRule="auto"/>
              <w:rPr>
                <w:rFonts w:ascii="Times New Roman" w:eastAsia="Times New Roman" w:hAnsi="Times New Roman" w:cs="Times New Roman"/>
                <w:sz w:val="24"/>
                <w:szCs w:val="24"/>
                <w:lang w:eastAsia="pl-PL"/>
              </w:rPr>
            </w:pPr>
          </w:p>
          <w:p w14:paraId="4C89143E" w14:textId="77777777" w:rsidR="00BF650F" w:rsidRPr="00FB76A9" w:rsidRDefault="00BF650F" w:rsidP="00FD5CD5">
            <w:pPr>
              <w:spacing w:after="0" w:line="240" w:lineRule="auto"/>
              <w:rPr>
                <w:rFonts w:ascii="Times New Roman" w:eastAsia="Times New Roman" w:hAnsi="Times New Roman" w:cs="Times New Roman"/>
                <w:sz w:val="24"/>
                <w:szCs w:val="24"/>
                <w:lang w:eastAsia="pl-PL"/>
              </w:rPr>
            </w:pPr>
          </w:p>
          <w:p w14:paraId="41DA5D46" w14:textId="77777777" w:rsidR="00BF650F" w:rsidRPr="00FB76A9" w:rsidRDefault="00BF650F" w:rsidP="00FD5CD5">
            <w:pPr>
              <w:spacing w:after="0" w:line="240" w:lineRule="auto"/>
              <w:rPr>
                <w:rFonts w:ascii="Times New Roman" w:eastAsia="Times New Roman" w:hAnsi="Times New Roman" w:cs="Times New Roman"/>
                <w:sz w:val="24"/>
                <w:szCs w:val="24"/>
                <w:lang w:eastAsia="pl-PL"/>
              </w:rPr>
            </w:pPr>
          </w:p>
          <w:p w14:paraId="71391C98" w14:textId="77777777" w:rsidR="00BF650F" w:rsidRPr="00FB76A9" w:rsidRDefault="00BF650F" w:rsidP="00FD5CD5">
            <w:pPr>
              <w:spacing w:after="0" w:line="240" w:lineRule="auto"/>
              <w:rPr>
                <w:rFonts w:ascii="Times New Roman" w:eastAsia="Times New Roman" w:hAnsi="Times New Roman" w:cs="Times New Roman"/>
                <w:sz w:val="24"/>
                <w:szCs w:val="24"/>
                <w:lang w:eastAsia="pl-PL"/>
              </w:rPr>
            </w:pPr>
          </w:p>
          <w:p w14:paraId="370AEF13" w14:textId="77777777" w:rsidR="00BF650F" w:rsidRPr="00FB76A9" w:rsidRDefault="00BF650F" w:rsidP="00FD5CD5">
            <w:pPr>
              <w:spacing w:after="0" w:line="240" w:lineRule="auto"/>
              <w:rPr>
                <w:rFonts w:ascii="Times New Roman" w:eastAsia="Times New Roman" w:hAnsi="Times New Roman" w:cs="Times New Roman"/>
                <w:sz w:val="24"/>
                <w:szCs w:val="24"/>
                <w:lang w:eastAsia="pl-PL"/>
              </w:rPr>
            </w:pPr>
          </w:p>
          <w:p w14:paraId="39828F7C"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w:t>
            </w:r>
            <w:r w:rsidR="00BF650F" w:rsidRPr="00FB76A9">
              <w:rPr>
                <w:rFonts w:ascii="Times New Roman" w:eastAsia="Times New Roman" w:hAnsi="Times New Roman" w:cs="Times New Roman"/>
                <w:sz w:val="24"/>
                <w:szCs w:val="24"/>
                <w:lang w:eastAsia="pl-PL"/>
              </w:rPr>
              <w:t>24</w:t>
            </w:r>
            <w:r w:rsidRPr="00FB76A9">
              <w:rPr>
                <w:rFonts w:ascii="Times New Roman" w:eastAsia="Times New Roman" w:hAnsi="Times New Roman" w:cs="Times New Roman"/>
                <w:sz w:val="24"/>
                <w:szCs w:val="24"/>
                <w:lang w:eastAsia="pl-PL"/>
              </w:rPr>
              <w:t xml:space="preserve"> </w:t>
            </w:r>
          </w:p>
        </w:tc>
        <w:tc>
          <w:tcPr>
            <w:tcW w:w="5475" w:type="dxa"/>
            <w:gridSpan w:val="2"/>
            <w:tcBorders>
              <w:top w:val="single" w:sz="4" w:space="0" w:color="auto"/>
              <w:left w:val="single" w:sz="4" w:space="0" w:color="auto"/>
              <w:bottom w:val="single" w:sz="4" w:space="0" w:color="auto"/>
              <w:right w:val="single" w:sz="4" w:space="0" w:color="auto"/>
            </w:tcBorders>
          </w:tcPr>
          <w:p w14:paraId="60C74AE2" w14:textId="77777777" w:rsidR="00CE30D2" w:rsidRPr="00FB76A9" w:rsidRDefault="00CE30D2"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lastRenderedPageBreak/>
              <w:t>„6) w art. 13 ust. 3 otrzymuje brzmienie:</w:t>
            </w:r>
          </w:p>
          <w:p w14:paraId="58909AD7" w14:textId="77777777" w:rsidR="00CE30D2" w:rsidRPr="00FB76A9" w:rsidRDefault="00CF37BF" w:rsidP="00FD5CD5">
            <w:pPr>
              <w:pStyle w:val="ZUSTzmustartykuempunktem"/>
              <w:spacing w:line="240" w:lineRule="auto"/>
              <w:ind w:left="73"/>
              <w:jc w:val="left"/>
              <w:rPr>
                <w:rFonts w:ascii="Times New Roman" w:hAnsi="Times New Roman" w:cs="Times New Roman"/>
                <w:szCs w:val="24"/>
              </w:rPr>
            </w:pPr>
            <w:r w:rsidRPr="001F1A7B">
              <w:t>„3. Producent, przedstawiciel producenta, importer</w:t>
            </w:r>
            <w:r>
              <w:t xml:space="preserve"> </w:t>
            </w:r>
            <w:r w:rsidRPr="00BC15FA">
              <w:t>albo właściciel pojazdu, z</w:t>
            </w:r>
            <w:r w:rsidRPr="001F1A7B">
              <w:t> wyjątkiem tramwaju i trolejbusu, na którego typ producent nie uzyskał dokumentu, o którym mowa w ust. 1 pkt 1, jest obowiązany uzyskać, zgodnie z odpowiednio rozporządzeniem 167/2013, rozporządzeniem 168/2013, rozporządzeniem 2018/858 albo przepisami ustawy:</w:t>
            </w:r>
          </w:p>
          <w:p w14:paraId="3E9102AC" w14:textId="77777777" w:rsidR="00CE30D2" w:rsidRPr="00FB76A9" w:rsidRDefault="00CE30D2" w:rsidP="00FD5CD5">
            <w:pPr>
              <w:pStyle w:val="ZUSTzmustartykuempunktem"/>
              <w:spacing w:line="240" w:lineRule="auto"/>
              <w:ind w:left="73" w:firstLine="343"/>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świadectwo krajowego indywidualnego dopuszczenia nowego pojazdu;</w:t>
            </w:r>
          </w:p>
          <w:p w14:paraId="5C204EC8" w14:textId="77777777" w:rsidR="00CE30D2" w:rsidRPr="00FB76A9" w:rsidRDefault="00CE30D2" w:rsidP="00FD5CD5">
            <w:pPr>
              <w:pStyle w:val="ZUSTzmustartykuempunktem"/>
              <w:spacing w:line="240" w:lineRule="auto"/>
              <w:ind w:left="73" w:firstLine="343"/>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świadectwo krajowego indywidualnego dopuszczenia pojazdu niebędącego nowym pojazdem;</w:t>
            </w:r>
          </w:p>
          <w:p w14:paraId="5E7B47BD" w14:textId="77777777" w:rsidR="00CE30D2" w:rsidRPr="00FB76A9" w:rsidRDefault="00CE30D2" w:rsidP="00FD5CD5">
            <w:pPr>
              <w:pStyle w:val="ZUSTzmustartykuempunktem"/>
              <w:spacing w:line="240" w:lineRule="auto"/>
              <w:ind w:left="73" w:firstLine="343"/>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uznanie świadectwa krajowego indywidualnego dopuszczenia pojazdu wydanego zgodnie z art. 1 ust. 1 rozporządzenia 167/2013, art. 1 ust. 1 rozporządzenia 168/2013 albo art. 45 ust. 1 rozporządzenia 2018/858 przez właściwy organ innego niż Rzeczpospolita Polska państwa członkowskiego Unii Europejskiej albo</w:t>
            </w:r>
          </w:p>
          <w:p w14:paraId="3A7C0BE1" w14:textId="77777777" w:rsidR="00CE30D2" w:rsidRPr="00FB76A9" w:rsidRDefault="00CE30D2" w:rsidP="00FD5CD5">
            <w:pPr>
              <w:pStyle w:val="ZUSTzmustartykuempunktem"/>
              <w:spacing w:line="240" w:lineRule="auto"/>
              <w:ind w:left="73" w:firstLine="343"/>
              <w:jc w:val="left"/>
              <w:rPr>
                <w:rFonts w:ascii="Times New Roman" w:hAnsi="Times New Roman" w:cs="Times New Roman"/>
                <w:szCs w:val="24"/>
              </w:rPr>
            </w:pPr>
            <w:r w:rsidRPr="00FB76A9">
              <w:rPr>
                <w:rFonts w:ascii="Times New Roman" w:hAnsi="Times New Roman" w:cs="Times New Roman"/>
                <w:szCs w:val="24"/>
              </w:rPr>
              <w:t xml:space="preserve">4) </w:t>
            </w:r>
            <w:r w:rsidRPr="00FB76A9">
              <w:rPr>
                <w:rFonts w:ascii="Times New Roman" w:hAnsi="Times New Roman" w:cs="Times New Roman"/>
                <w:szCs w:val="24"/>
              </w:rPr>
              <w:tab/>
              <w:t>świadectwo unijnego indywidualnego dopuszczenia pojazdu</w:t>
            </w:r>
          </w:p>
          <w:p w14:paraId="43E097FF" w14:textId="77777777" w:rsidR="00CE30D2" w:rsidRPr="00FB76A9" w:rsidRDefault="00CE30D2"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które potwierdza spełnienie odpowiednich warunków lub wymagań technicznych określonych dla tego pojazdu.”</w:t>
            </w:r>
          </w:p>
          <w:p w14:paraId="1A33E2A3" w14:textId="77777777" w:rsidR="00CE30D2" w:rsidRPr="00FB76A9" w:rsidRDefault="00CE30D2" w:rsidP="00FD5CD5">
            <w:pPr>
              <w:pStyle w:val="ZUSTzmustartykuempunktem"/>
              <w:spacing w:line="240" w:lineRule="auto"/>
              <w:ind w:left="0" w:firstLine="0"/>
              <w:jc w:val="left"/>
              <w:rPr>
                <w:rFonts w:ascii="Times New Roman" w:hAnsi="Times New Roman" w:cs="Times New Roman"/>
                <w:szCs w:val="24"/>
              </w:rPr>
            </w:pPr>
          </w:p>
          <w:p w14:paraId="538A4840" w14:textId="77777777" w:rsidR="00CE30D2" w:rsidRPr="00FB76A9" w:rsidRDefault="00CE30D2" w:rsidP="00FD5CD5">
            <w:pPr>
              <w:pStyle w:val="ZUSTzmustartykuempunktem"/>
              <w:spacing w:line="240" w:lineRule="auto"/>
              <w:ind w:left="0" w:firstLine="0"/>
              <w:jc w:val="left"/>
              <w:rPr>
                <w:rFonts w:ascii="Times New Roman" w:hAnsi="Times New Roman" w:cs="Times New Roman"/>
                <w:szCs w:val="24"/>
              </w:rPr>
            </w:pPr>
            <w:r w:rsidRPr="00BC15FA">
              <w:rPr>
                <w:rFonts w:ascii="Times New Roman" w:hAnsi="Times New Roman" w:cs="Times New Roman"/>
                <w:szCs w:val="24"/>
              </w:rPr>
              <w:t>„7) w art. 14 dodaje się ust. 4-</w:t>
            </w:r>
            <w:r w:rsidR="00CD5C2D" w:rsidRPr="00BC15FA">
              <w:rPr>
                <w:rFonts w:ascii="Times New Roman" w:hAnsi="Times New Roman" w:cs="Times New Roman"/>
                <w:szCs w:val="24"/>
              </w:rPr>
              <w:t>1</w:t>
            </w:r>
            <w:r w:rsidR="00BB7881" w:rsidRPr="00BC15FA">
              <w:rPr>
                <w:rFonts w:ascii="Times New Roman" w:hAnsi="Times New Roman" w:cs="Times New Roman"/>
                <w:szCs w:val="24"/>
              </w:rPr>
              <w:t>1</w:t>
            </w:r>
            <w:r w:rsidRPr="00BC15FA">
              <w:rPr>
                <w:rFonts w:ascii="Times New Roman" w:hAnsi="Times New Roman" w:cs="Times New Roman"/>
                <w:szCs w:val="24"/>
              </w:rPr>
              <w:t xml:space="preserve"> w brzmieniu</w:t>
            </w:r>
            <w:r w:rsidRPr="00FB76A9">
              <w:rPr>
                <w:rFonts w:ascii="Times New Roman" w:hAnsi="Times New Roman" w:cs="Times New Roman"/>
                <w:szCs w:val="24"/>
              </w:rPr>
              <w:t>:</w:t>
            </w:r>
          </w:p>
          <w:p w14:paraId="7B02B290" w14:textId="77777777" w:rsidR="00CE30D2" w:rsidRPr="00FB76A9" w:rsidRDefault="00CE30D2"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4. Zakazuje się wprowadzania do obrotu pojazdu, przedmiotu wyposażenia lub części bez wymaganego odpowiedniego: świadectwa homologacji typu UE, świadectwa homologacji typu WE, świadectwa homologacji typu ONZ, świadectwa homologacji typu </w:t>
            </w:r>
            <w:r w:rsidRPr="00FB76A9">
              <w:rPr>
                <w:rFonts w:ascii="Times New Roman" w:hAnsi="Times New Roman" w:cs="Times New Roman"/>
                <w:szCs w:val="24"/>
              </w:rPr>
              <w:lastRenderedPageBreak/>
              <w:t>EKG ONZ, świadectwa krajowej homologacji typu pojazdu dla pojazdów kategorii: C, R, S, T4.1, T4.2, świadectwa krajowej homologacji typu tramwaju, świadectwa krajowej homologacji typu trolejbusu, świadectwa homologacji typu WE dla pojazdów produkowanych w małych seriach, świadectwa krajowej homologacji typu dla pojazdów produkowanych w małych seriach, uznania świadectwa krajowej homologacji typu pojazdów produkowanych w małych seriach wydanego przez właściwy organ innego niż Rzeczpospolita Polska państwa członkowskiego Unii Europejskiej, dopuszczenia jednostkowego pojazdu, dopuszczenia indywidualnego WE pojazdu, świadectwa krajowego indywidualnego dopuszczenia nowego pojazdu, świadectwa unijnego indywidualnego dopuszczenia pojazdu, uznania świadectwa krajowego indywidualnego dopuszczenia pojazdu wydanego dla nowego pojazdu zgodnie z art. 1 ust. 1 rozporządzenia 167/2013, art. 1 ust. 1 rozporządzenia 168/2013 albo art. 45 ust. 1 rozporządzenia 2018/858 przez właściwy organ innego niż Rzeczpospolita Polska państwa członkowskiego Unii Europejskiej albo zezwolenia na wprowadzanie do obrotu przedmiotu wyposażenia lub części, które mogą stwarzać poważne zagrożenie dla właściwego funkcjonowania istotnych układów, z wyłączeniem art. 13 ust. 4 i art. 68b.”</w:t>
            </w:r>
          </w:p>
          <w:p w14:paraId="31892D0F" w14:textId="77777777" w:rsidR="00CE30D2" w:rsidRPr="00FA7954" w:rsidRDefault="00CE30D2" w:rsidP="00FD5CD5">
            <w:pPr>
              <w:spacing w:after="0" w:line="240" w:lineRule="auto"/>
              <w:rPr>
                <w:rFonts w:ascii="Times New Roman" w:eastAsiaTheme="minorEastAsia" w:hAnsi="Times New Roman" w:cs="Times New Roman"/>
                <w:sz w:val="24"/>
                <w:szCs w:val="24"/>
                <w:lang w:eastAsia="pl-PL"/>
              </w:rPr>
            </w:pPr>
          </w:p>
          <w:p w14:paraId="76925DE8" w14:textId="77777777" w:rsidR="00CD5C2D" w:rsidRPr="00FA7954" w:rsidRDefault="00CD5C2D" w:rsidP="00FD5CD5">
            <w:pPr>
              <w:pStyle w:val="ZROZDZODDZOZNzmoznrozdzoddzartykuempunktem"/>
              <w:spacing w:line="240" w:lineRule="auto"/>
              <w:ind w:left="0"/>
              <w:jc w:val="left"/>
              <w:rPr>
                <w:rFonts w:ascii="Times New Roman" w:hAnsi="Times New Roman" w:cs="Times New Roman"/>
              </w:rPr>
            </w:pPr>
            <w:r w:rsidRPr="00FA7954">
              <w:rPr>
                <w:rFonts w:ascii="Times New Roman" w:hAnsi="Times New Roman" w:cs="Times New Roman"/>
              </w:rPr>
              <w:t>Nowy rozdział 6a „Administracyjne kary pieniężne”</w:t>
            </w:r>
          </w:p>
          <w:p w14:paraId="682975BB"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Art. 71a. 1. Podmiot gospodarczy, który narusza zakaz, o którym mowa w art. 14 ust. 4 lub ust. 5, podlega administracyjnej karze pieniężnej do wysokości </w:t>
            </w:r>
            <w:r w:rsidRPr="00BC15FA">
              <w:rPr>
                <w:rFonts w:ascii="Times New Roman" w:eastAsiaTheme="minorEastAsia" w:hAnsi="Times New Roman" w:cs="Times New Roman"/>
                <w:sz w:val="24"/>
                <w:szCs w:val="24"/>
                <w:lang w:eastAsia="pl-PL"/>
              </w:rPr>
              <w:lastRenderedPageBreak/>
              <w:t>dwunastokrotności przeciętnego wynagrodzenia, o którym mowa w art. 68g ust. 4, ogłaszanego za czwarty kwartał roku poprzedzającego nałożenie kary, za każdy pojazd, przedmiot wyposażenia lub część, które wprowadził do obrotu.</w:t>
            </w:r>
          </w:p>
          <w:p w14:paraId="199668DE"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2. Podmiot gospodarczy, który narusza zakaz, o którym mowa w art. 14 ust. 6, podlega administracyjnej karze pieniężnej do wysokości dwukrotności przeciętnego wynagrodzenia, o którym mowa w art. 68g ust. 4, ogłaszanego za czwarty kwartał roku poprzedzającego nałożenie kary, za każdy rower, wózek rowerowy, hulajnogę elektrycznych lub urządzenie transportu osobistego. </w:t>
            </w:r>
          </w:p>
          <w:p w14:paraId="3A41CFA3"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3. Podmiot gospodarczy, który naruszył zakaz, o którym mowa w art. 14 ust. 7, podlega administracyjnej karze pieniężnej do wysokości jednokrotności przeciętnego wynagrodzenia, o którym mowa w art. 68g ust. 4, ogłaszanego za czwarty kwartał roku poprzedzającego nałożenie kary, za każdy montaż tej instalacji w pojeździe.</w:t>
            </w:r>
          </w:p>
          <w:p w14:paraId="09C76288"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4. Podmiot gospodarczy, który narusza zakaz, o którym mowa w art. 14 ust. 8, podlega administracyjnej karze pieniężnej do wysokości sześciokrotności przeciętnego wynagrodzenia, o którym mowa w art. 68g ust. 4, ogłaszanego za czwarty kwartał roku poprzedzającego nałożenie kary, za każdy pojazd, przedmiot wyposażenia lub część, w odniesieniu do którego naruszono zakaz. </w:t>
            </w:r>
          </w:p>
          <w:p w14:paraId="411BA55E"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5. Producent, który narusza zakaz, o którym mowa w art. 14 ust. 9, podlega administracyjnej karze pieniężnej do wysokości sześciokrotności przeciętnego wynagrodzenia, o którym mowa w art. 68g ust. 4, </w:t>
            </w:r>
            <w:r w:rsidRPr="00BC15FA">
              <w:rPr>
                <w:rFonts w:ascii="Times New Roman" w:eastAsiaTheme="minorEastAsia" w:hAnsi="Times New Roman" w:cs="Times New Roman"/>
                <w:sz w:val="24"/>
                <w:szCs w:val="24"/>
                <w:lang w:eastAsia="pl-PL"/>
              </w:rPr>
              <w:lastRenderedPageBreak/>
              <w:t xml:space="preserve">ogłaszanego za czwarty kwartał roku poprzedzającego nałożenie kary. </w:t>
            </w:r>
          </w:p>
          <w:p w14:paraId="5CA3D632"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6. Podmiot gospodarczy oraz  niezależny podmiot, który narusza zakaz, o którym mowa w art. 14 ust. 10, podlega administracyjnej karze pieniężnej do wysokości sześciokrotności przeciętnego wynagrodzenia, o którym mowa w art. 68g ust. 4, ogłaszanego za czwarty kwartał roku poprzedzającego nałożenie kary. </w:t>
            </w:r>
          </w:p>
          <w:p w14:paraId="145D2E35"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7. Podmiot gospodarczy, który narusza zakaz, o którym mowa w art. 14 ust. 11, podlega administracyjnej karze pieniężnej do wysokości sześciokrotności przeciętnego wynagrodzenia, o którym mowa w art. 68g ust. 4, ogłaszanego za czwarty kwartał roku poprzedzającego nałożenie kary.</w:t>
            </w:r>
          </w:p>
          <w:p w14:paraId="55C26C43"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Art. 71b. Podmiot gospodarczy, który:</w:t>
            </w:r>
          </w:p>
          <w:p w14:paraId="1EC02B58"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1)</w:t>
            </w:r>
            <w:r w:rsidRPr="00BC15FA">
              <w:rPr>
                <w:rFonts w:ascii="Times New Roman" w:eastAsiaTheme="minorEastAsia" w:hAnsi="Times New Roman" w:cs="Times New Roman"/>
                <w:sz w:val="24"/>
                <w:szCs w:val="24"/>
                <w:lang w:eastAsia="pl-PL"/>
              </w:rPr>
              <w:tab/>
              <w:t>nie wykonał decyzji, o której mowa w art. 68zj ust. 1, w zakresie, o którym mowa w art. 68zk ust. 1 pkt 1, podlega administracyjnej karze pieniężnej do wysokości dwukrotności przeciętnego wynagrodzenia, o którym mowa w art. 68g ust. 4, ogłaszanego za czwarty kwartał roku poprzedzającego nałożenie kary;</w:t>
            </w:r>
          </w:p>
          <w:p w14:paraId="4D4BA31D"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2)</w:t>
            </w:r>
            <w:r w:rsidRPr="00BC15FA">
              <w:rPr>
                <w:rFonts w:ascii="Times New Roman" w:eastAsiaTheme="minorEastAsia" w:hAnsi="Times New Roman" w:cs="Times New Roman"/>
                <w:sz w:val="24"/>
                <w:szCs w:val="24"/>
                <w:lang w:eastAsia="pl-PL"/>
              </w:rPr>
              <w:tab/>
              <w:t>nie wykonał decyzji, o której mowa w art. 68zj ust. 1, w zakresie, o którym mowa w art. 68zk ust. 1 pkt 2, podlega administracyjnej karze pieniężnej w wysokości równoważnej ceny sprzedaży objętego decyzją pojazdu, przedmiotu wyposażenia lub części, roweru, wózka rowerowego, hulajnogi elektrycznej oraz urządzenia transportu osobistego, użytkownikowi końcowemu z faktury</w:t>
            </w:r>
            <w:r w:rsidR="00C32BF3">
              <w:rPr>
                <w:rFonts w:ascii="Times New Roman" w:eastAsiaTheme="minorEastAsia" w:hAnsi="Times New Roman" w:cs="Times New Roman"/>
                <w:sz w:val="24"/>
                <w:szCs w:val="24"/>
                <w:lang w:eastAsia="pl-PL"/>
              </w:rPr>
              <w:t xml:space="preserve"> </w:t>
            </w:r>
            <w:r w:rsidRPr="00BC15FA">
              <w:rPr>
                <w:rFonts w:ascii="Times New Roman" w:eastAsiaTheme="minorEastAsia" w:hAnsi="Times New Roman" w:cs="Times New Roman"/>
                <w:sz w:val="24"/>
                <w:szCs w:val="24"/>
                <w:lang w:eastAsia="pl-PL"/>
              </w:rPr>
              <w:t xml:space="preserve">lub rachunku; </w:t>
            </w:r>
          </w:p>
          <w:p w14:paraId="69BD68B3"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3)</w:t>
            </w:r>
            <w:r w:rsidRPr="00BC15FA">
              <w:rPr>
                <w:rFonts w:ascii="Times New Roman" w:eastAsiaTheme="minorEastAsia" w:hAnsi="Times New Roman" w:cs="Times New Roman"/>
                <w:sz w:val="24"/>
                <w:szCs w:val="24"/>
                <w:lang w:eastAsia="pl-PL"/>
              </w:rPr>
              <w:tab/>
              <w:t xml:space="preserve">ponownie udostępnił na rynku pojazd, przedmiot wyposażenia lub cześć, rower, wózek </w:t>
            </w:r>
            <w:r w:rsidRPr="00BC15FA">
              <w:rPr>
                <w:rFonts w:ascii="Times New Roman" w:eastAsiaTheme="minorEastAsia" w:hAnsi="Times New Roman" w:cs="Times New Roman"/>
                <w:sz w:val="24"/>
                <w:szCs w:val="24"/>
                <w:lang w:eastAsia="pl-PL"/>
              </w:rPr>
              <w:lastRenderedPageBreak/>
              <w:t xml:space="preserve">rowerowy, hulajnogę elektryczną oraz urządzenie transportu osobistego pomimo zakazu, o którym mowa w art. 14 ust. 11, podlega administracyjnej karze pieniężnej w wysokości równoważnej cenie sprzedaży pojazdu, przedmiotu wyposażenia lub części, roweru, wózka rowerowego, hulajnogi elektrycznej lub urządzenia transportu osobistego użytkownikowi końcowemu z faktury lub rachunku.  </w:t>
            </w:r>
          </w:p>
          <w:p w14:paraId="22667AB7"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Art. 71c. Podmiot gospodarczy, który wprowadził do obrotu pojazd, przedmiot wyposażenia lub część niezgodnie z wymaganiami określonymi w:</w:t>
            </w:r>
          </w:p>
          <w:p w14:paraId="507E703B"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1) </w:t>
            </w:r>
            <w:r w:rsidRPr="00BC15FA">
              <w:rPr>
                <w:rFonts w:ascii="Times New Roman" w:eastAsiaTheme="minorEastAsia" w:hAnsi="Times New Roman" w:cs="Times New Roman"/>
                <w:sz w:val="24"/>
                <w:szCs w:val="24"/>
                <w:lang w:eastAsia="pl-PL"/>
              </w:rPr>
              <w:tab/>
              <w:t>art. 27 ustawy,</w:t>
            </w:r>
          </w:p>
          <w:p w14:paraId="1DA478A7"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2) </w:t>
            </w:r>
            <w:r w:rsidRPr="00BC15FA">
              <w:rPr>
                <w:rFonts w:ascii="Times New Roman" w:eastAsiaTheme="minorEastAsia" w:hAnsi="Times New Roman" w:cs="Times New Roman"/>
                <w:sz w:val="24"/>
                <w:szCs w:val="24"/>
                <w:lang w:eastAsia="pl-PL"/>
              </w:rPr>
              <w:tab/>
              <w:t>art. 33 i art. 34 rozporządzenia 167/2013,</w:t>
            </w:r>
          </w:p>
          <w:p w14:paraId="49B563C0"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3) </w:t>
            </w:r>
            <w:r w:rsidRPr="00BC15FA">
              <w:rPr>
                <w:rFonts w:ascii="Times New Roman" w:eastAsiaTheme="minorEastAsia" w:hAnsi="Times New Roman" w:cs="Times New Roman"/>
                <w:sz w:val="24"/>
                <w:szCs w:val="24"/>
                <w:lang w:eastAsia="pl-PL"/>
              </w:rPr>
              <w:tab/>
              <w:t>art. 34, art. 38 i art. 39 rozporządzenia 168/2013,</w:t>
            </w:r>
          </w:p>
          <w:p w14:paraId="4EC0A8B9"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4) </w:t>
            </w:r>
            <w:r w:rsidRPr="00BC15FA">
              <w:rPr>
                <w:rFonts w:ascii="Times New Roman" w:eastAsiaTheme="minorEastAsia" w:hAnsi="Times New Roman" w:cs="Times New Roman"/>
                <w:sz w:val="24"/>
                <w:szCs w:val="24"/>
                <w:lang w:eastAsia="pl-PL"/>
              </w:rPr>
              <w:tab/>
              <w:t>art. 33, art. 36 i art. 38 rozporządzenia 2018/858,</w:t>
            </w:r>
          </w:p>
          <w:p w14:paraId="5015913B"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7) </w:t>
            </w:r>
            <w:r w:rsidRPr="00BC15FA">
              <w:rPr>
                <w:rFonts w:ascii="Times New Roman" w:eastAsiaTheme="minorEastAsia" w:hAnsi="Times New Roman" w:cs="Times New Roman"/>
                <w:sz w:val="24"/>
                <w:szCs w:val="24"/>
                <w:lang w:eastAsia="pl-PL"/>
              </w:rPr>
              <w:tab/>
              <w:t>art. 4 i art. 5 rozporządzenia (WE) nr 715/2007 Parlamentu Europejskiego i Rady z dnia 20 czerwca 2007 r. w sprawie homologacji typu pojazdów silnikowych w odniesieniu do emisji zanieczyszczeń pochodzących z lekkich pojazdów pasażerskich i użytkowych (Euro 5 i Euro 6) oraz w sprawie dostępu do informacji dotyczących naprawy i utrzymania pojazdów (Dz. Urz. UE L 171 z 29.06.2007, str. 1, z późn. zm. )), zwanego dalej „rozporządzeniem 715/2007”,</w:t>
            </w:r>
          </w:p>
          <w:p w14:paraId="66715DF9"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8) </w:t>
            </w:r>
            <w:r w:rsidRPr="00BC15FA">
              <w:rPr>
                <w:rFonts w:ascii="Times New Roman" w:eastAsiaTheme="minorEastAsia" w:hAnsi="Times New Roman" w:cs="Times New Roman"/>
                <w:sz w:val="24"/>
                <w:szCs w:val="24"/>
                <w:lang w:eastAsia="pl-PL"/>
              </w:rPr>
              <w:tab/>
              <w:t xml:space="preserve">art. 4–11 rozporządzenia Parlamentu Europejskiego i Rady (UE) 2019/2144 z dnia 27 listopada 2019 r. w sprawie wymogów dotyczących homologacji typu pojazdów silnikowych i ich przyczep oraz układów, komponentów i oddzielnych zespołów </w:t>
            </w:r>
            <w:r w:rsidRPr="00BC15FA">
              <w:rPr>
                <w:rFonts w:ascii="Times New Roman" w:eastAsiaTheme="minorEastAsia" w:hAnsi="Times New Roman" w:cs="Times New Roman"/>
                <w:sz w:val="24"/>
                <w:szCs w:val="24"/>
                <w:lang w:eastAsia="pl-PL"/>
              </w:rPr>
              <w:lastRenderedPageBreak/>
              <w:t>technicznych przeznaczonych do tych pojazdów, w odniesieniu do ich ogólnego bezpieczeństwa oraz ochrony osób znajdujących się w pojeździe i niechronionych uczestników ruchu drogowego, zmieniającego rozporządzenie Parlamentu Europejskiego i Rady (UE) 2018/858 oraz uchylającego rozporządzenia Parlamentu Europejskiego i Rady (WE) nr 78/2009, (WE) nr 79/2009 i (WE) nr 661/2009 oraz rozporządzenia Komisji (WE) nr 631/2009, (UE) nr 406/2010, (UE) nr 672/2010, (UE) nr 1003/2010, (UE) nr 1005/2010, (UE) nr 1008/2010, (UE) nr 1009/2010, (UE) nr 19/2011, (UE) nr 109/2011, (UE) nr 458/2011, (UE) nr 65/2012, (UE) nr 130/2012, (UE) nr 347/2012, (UE) nr 351/2012, (UE) nr 1230/2012 i (UE) 2015/166 (Dz. Urz. UE L 325 z 16.12.2019, str. 1, z późn. zm. )), zwanego dalej „rozporządzeniem 2019/2144”,</w:t>
            </w:r>
          </w:p>
          <w:p w14:paraId="262EF59F"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10)</w:t>
            </w:r>
            <w:r w:rsidRPr="00BC15FA">
              <w:rPr>
                <w:rFonts w:ascii="Times New Roman" w:eastAsiaTheme="minorEastAsia" w:hAnsi="Times New Roman" w:cs="Times New Roman"/>
                <w:sz w:val="24"/>
                <w:szCs w:val="24"/>
                <w:lang w:eastAsia="pl-PL"/>
              </w:rPr>
              <w:tab/>
              <w:t xml:space="preserve"> art. 4, art. 5, art. 5a i art. 7 rozporządzenia Parlamentu Europejskiego i Rady (WE) nr 595/2009 z dnia 18 czerwca 2009 r. dotyczącego homologacji typu pojazdów silnikowych i silników w odniesieniu do emisji zanieczyszczeń pochodzących z pojazdów ciężarowych o dużej ładowności (Euro VI) i zmieniającego rozporządzenie (WE) nr 715/2007 i dyrektywę 2007/46/WE oraz uchylającego dyrektywy 80/1269/EWG, 2005/55/WE i 2005/78/WE (Dz. Urz. UE L 188 z 18.07.2009, str. 1, z późn. zm. )), zwanego dalej „rozporządzeniem 595/2009”,</w:t>
            </w:r>
          </w:p>
          <w:p w14:paraId="72919845"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11) </w:t>
            </w:r>
            <w:r w:rsidRPr="00BC15FA">
              <w:rPr>
                <w:rFonts w:ascii="Times New Roman" w:eastAsiaTheme="minorEastAsia" w:hAnsi="Times New Roman" w:cs="Times New Roman"/>
                <w:sz w:val="24"/>
                <w:szCs w:val="24"/>
                <w:lang w:eastAsia="pl-PL"/>
              </w:rPr>
              <w:tab/>
              <w:t xml:space="preserve">art. 5–8 rozporządzenia Parlamentu Europejskiego i Rady (UE) nr 540/2014 z dnia 16 kwietnia 2014 r. w sprawie poziomu dźwięku pojazdów silnikowych i zamiennych układów </w:t>
            </w:r>
            <w:r w:rsidRPr="00BC15FA">
              <w:rPr>
                <w:rFonts w:ascii="Times New Roman" w:eastAsiaTheme="minorEastAsia" w:hAnsi="Times New Roman" w:cs="Times New Roman"/>
                <w:sz w:val="24"/>
                <w:szCs w:val="24"/>
                <w:lang w:eastAsia="pl-PL"/>
              </w:rPr>
              <w:lastRenderedPageBreak/>
              <w:t>tłumiących oraz zmieniającego dyrektywę 2007/46/WE i uchylającego dyrektywę 70/157/EWG (Dz. Urz. UE L 158 z 27.05.2014, str. 131, z późn. zm. )), zwanego dalej „rozporządzeniem 540/2014”,</w:t>
            </w:r>
          </w:p>
          <w:p w14:paraId="568B8228"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12) </w:t>
            </w:r>
            <w:r w:rsidRPr="00BC15FA">
              <w:rPr>
                <w:rFonts w:ascii="Times New Roman" w:eastAsiaTheme="minorEastAsia" w:hAnsi="Times New Roman" w:cs="Times New Roman"/>
                <w:sz w:val="24"/>
                <w:szCs w:val="24"/>
                <w:lang w:eastAsia="pl-PL"/>
              </w:rPr>
              <w:tab/>
              <w:t xml:space="preserve">art. 4–9, art. 12 oraz art. 14 </w:t>
            </w:r>
            <w:r w:rsidR="00804F0D">
              <w:rPr>
                <w:rFonts w:ascii="Times New Roman" w:eastAsiaTheme="minorEastAsia" w:hAnsi="Times New Roman" w:cs="Times New Roman"/>
                <w:sz w:val="24"/>
                <w:szCs w:val="24"/>
                <w:lang w:eastAsia="pl-PL"/>
              </w:rPr>
              <w:t xml:space="preserve">ust. 1 </w:t>
            </w:r>
            <w:r w:rsidRPr="00BC15FA">
              <w:rPr>
                <w:rFonts w:ascii="Times New Roman" w:eastAsiaTheme="minorEastAsia" w:hAnsi="Times New Roman" w:cs="Times New Roman"/>
                <w:sz w:val="24"/>
                <w:szCs w:val="24"/>
                <w:lang w:eastAsia="pl-PL"/>
              </w:rPr>
              <w:t>rozporządzenia 2024/1257,</w:t>
            </w:r>
          </w:p>
          <w:p w14:paraId="410D125F"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13) </w:t>
            </w:r>
            <w:r w:rsidRPr="00BC15FA">
              <w:rPr>
                <w:rFonts w:ascii="Times New Roman" w:eastAsiaTheme="minorEastAsia" w:hAnsi="Times New Roman" w:cs="Times New Roman"/>
                <w:sz w:val="24"/>
                <w:szCs w:val="24"/>
                <w:lang w:eastAsia="pl-PL"/>
              </w:rPr>
              <w:tab/>
              <w:t>regulaminów ONZ</w:t>
            </w:r>
          </w:p>
          <w:p w14:paraId="2D86982F"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 podlega administracyjnej karze pieniężnej do wysokości dwunastokrotności przeciętnego wynagrodzenia, o którym mowa w art. 68g ust. 4, ogłaszanego za czwarty kwartał roku poprzedzającego nałożenie kary, za każdy pojazd, przedmiot wyposażenia lub część, które wprowadził do obrotu. </w:t>
            </w:r>
          </w:p>
          <w:p w14:paraId="1F891C77"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Art. 71d. Podmiot,  który naruszył obowiązek powiadomienia, o którym mowa w art. 28 ust. 1, art. 38 ust. 1, art. 51 ust. 1, art. 68zk ust. 5 lub 11, art. 70 ust. 2 i art. 71 ust. 2, podlega administracyjnej karze pieniężnej do wysokości dwukrotności przeciętnego wynagrodzenia, o którym mowa w art. 68g ust. 4, ogłaszanego za czwarty kwartał roku poprzedzającego nałożenie kary, za każdy przypadek braku powiadomienia.</w:t>
            </w:r>
          </w:p>
          <w:p w14:paraId="6A15CF74"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Art. 71e. Producent, który naruszył obowiązek, o którym mowa w art. 49, podlega administracyjnej karze pieniężnej do wysokości półkrotności przeciętnego wynagrodzenia, o którym mowa w art. 68g ust. 4, ogłaszanego za czwarty kwartał roku poprzedzającego nałożenie kary, za każdy przypadek naruszenia obowiązku. </w:t>
            </w:r>
          </w:p>
          <w:p w14:paraId="61C48741"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Art. 71f. Podmiot gospodarczy, który naruszył obowiązki, o których mowa w art. 53a, podlega administracyjnej karze pieniężnej, w wysokości </w:t>
            </w:r>
            <w:r w:rsidRPr="00BC15FA">
              <w:rPr>
                <w:rFonts w:ascii="Times New Roman" w:eastAsiaTheme="minorEastAsia" w:hAnsi="Times New Roman" w:cs="Times New Roman"/>
                <w:sz w:val="24"/>
                <w:szCs w:val="24"/>
                <w:lang w:eastAsia="pl-PL"/>
              </w:rPr>
              <w:lastRenderedPageBreak/>
              <w:t xml:space="preserve">równoważnej cenie sprzedaży pojazdu, przedmiotu wyposażenia lub części, roweru, wózka rowerowego, hulajnogi elektrycznej lub urządzenia transportu osobistego, użytkownikowi końcowemu z faktury lub rachunku. </w:t>
            </w:r>
          </w:p>
          <w:p w14:paraId="4B85BAF4"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Art. 71g. Producent, który naruszył obowiązki w zakresie:</w:t>
            </w:r>
          </w:p>
          <w:p w14:paraId="64620385"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1)</w:t>
            </w:r>
            <w:r w:rsidRPr="00BC15FA">
              <w:rPr>
                <w:rFonts w:ascii="Times New Roman" w:eastAsiaTheme="minorEastAsia" w:hAnsi="Times New Roman" w:cs="Times New Roman"/>
                <w:sz w:val="24"/>
                <w:szCs w:val="24"/>
                <w:lang w:eastAsia="pl-PL"/>
              </w:rPr>
              <w:tab/>
              <w:t>wyznaczenia przedstawiciela mającego siedzibę w Unii Europejskiej do celu reprezentowania przed Dyrektorem TDT, gdy producent pojazdów, przedmiotów wyposażenia lub części ma siedzibę poza Unią Europejską,</w:t>
            </w:r>
          </w:p>
          <w:p w14:paraId="1F2E0033"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2)</w:t>
            </w:r>
            <w:r w:rsidRPr="00BC15FA">
              <w:rPr>
                <w:rFonts w:ascii="Times New Roman" w:eastAsiaTheme="minorEastAsia" w:hAnsi="Times New Roman" w:cs="Times New Roman"/>
                <w:sz w:val="24"/>
                <w:szCs w:val="24"/>
                <w:lang w:eastAsia="pl-PL"/>
              </w:rPr>
              <w:tab/>
              <w:t>podania nazwy, zarejestrowanej nazwy handlowej lub zarejestrowanego znaku towarowego oraz adresu w Unii Europejskiej na pojazdach, przedmiotach wyposażenia lub częściach udostępnionych na rynku albo na opakowaniu lub w dokumencie dołączonym do danego przedmiotu wyposażenia lub części</w:t>
            </w:r>
          </w:p>
          <w:p w14:paraId="42CA7A2C"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podlega administracyjnej karze pieniężnej do wysokości dwukrotności przeciętnego wynagrodzenia, o którym mowa w art. 68g ust. 4, ogłaszanego za czwarty kwartał roku poprzedzającego nałożenie kary, za każdy przypadek naruszenia obowiązku.</w:t>
            </w:r>
          </w:p>
          <w:p w14:paraId="6CBDB50F"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Art. 71h. Podmiot gospodarczy, który wbrew obowiązkowi lub na żądanie Dyrektora TDT nie udostępnia informacji i dokumentacji niezbędnych do wykonywania zadań realizowanych przez Dyrektora TDT w przypadkach, o których mowa w: </w:t>
            </w:r>
          </w:p>
          <w:p w14:paraId="44D800CD"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1) </w:t>
            </w:r>
            <w:r w:rsidRPr="00BC15FA">
              <w:rPr>
                <w:rFonts w:ascii="Times New Roman" w:eastAsiaTheme="minorEastAsia" w:hAnsi="Times New Roman" w:cs="Times New Roman"/>
                <w:sz w:val="24"/>
                <w:szCs w:val="24"/>
                <w:lang w:eastAsia="pl-PL"/>
              </w:rPr>
              <w:tab/>
              <w:t>art. 9 ust. 1, 2 i 4, art. 11 ust. 3, art. 12 ust. 2–4, art. 14 ust. 3 i 4, art. 29 ust. 1, art. 32 ust. 4 i 5 oraz art. 47 ust. 1–3 rozporządzenia 167/2013,</w:t>
            </w:r>
          </w:p>
          <w:p w14:paraId="2DA39828"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lastRenderedPageBreak/>
              <w:t xml:space="preserve">2) </w:t>
            </w:r>
            <w:r w:rsidRPr="00BC15FA">
              <w:rPr>
                <w:rFonts w:ascii="Times New Roman" w:eastAsiaTheme="minorEastAsia" w:hAnsi="Times New Roman" w:cs="Times New Roman"/>
                <w:sz w:val="24"/>
                <w:szCs w:val="24"/>
                <w:lang w:eastAsia="pl-PL"/>
              </w:rPr>
              <w:tab/>
              <w:t xml:space="preserve">art. 10 ust. 1, 2 i 4, art. 12 ust. 3, art. 13 ust. 2–4, art. 34 ust. 1, art. 37 ust. 4 i 5 </w:t>
            </w:r>
          </w:p>
          <w:p w14:paraId="78110EA5"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oraz art. 52 ust. 2 rozporządzenia 168/2013,</w:t>
            </w:r>
          </w:p>
          <w:p w14:paraId="416BC129"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3) </w:t>
            </w:r>
            <w:r w:rsidRPr="00BC15FA">
              <w:rPr>
                <w:rFonts w:ascii="Times New Roman" w:eastAsiaTheme="minorEastAsia" w:hAnsi="Times New Roman" w:cs="Times New Roman"/>
                <w:sz w:val="24"/>
                <w:szCs w:val="24"/>
                <w:lang w:eastAsia="pl-PL"/>
              </w:rPr>
              <w:tab/>
              <w:t xml:space="preserve">art. 14 ust. 1, 2 i 4, art. 17 ust. 2 i 4, art. 19 ust. </w:t>
            </w:r>
            <w:r w:rsidR="00EE28E7">
              <w:rPr>
                <w:rFonts w:ascii="Times New Roman" w:eastAsiaTheme="minorEastAsia" w:hAnsi="Times New Roman" w:cs="Times New Roman"/>
                <w:sz w:val="24"/>
                <w:szCs w:val="24"/>
                <w:lang w:eastAsia="pl-PL"/>
              </w:rPr>
              <w:t>3</w:t>
            </w:r>
            <w:r w:rsidRPr="00BC15FA">
              <w:rPr>
                <w:rFonts w:ascii="Times New Roman" w:eastAsiaTheme="minorEastAsia" w:hAnsi="Times New Roman" w:cs="Times New Roman"/>
                <w:sz w:val="24"/>
                <w:szCs w:val="24"/>
                <w:lang w:eastAsia="pl-PL"/>
              </w:rPr>
              <w:t xml:space="preserve">, art. 33 ust. 1 oraz art. 35 </w:t>
            </w:r>
          </w:p>
          <w:p w14:paraId="5DDE070D"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ust. 4 i 5 rozporządzenia 2018/858,</w:t>
            </w:r>
          </w:p>
          <w:p w14:paraId="29C170AA"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4) </w:t>
            </w:r>
            <w:r w:rsidRPr="00BC15FA">
              <w:rPr>
                <w:rFonts w:ascii="Times New Roman" w:eastAsiaTheme="minorEastAsia" w:hAnsi="Times New Roman" w:cs="Times New Roman"/>
                <w:sz w:val="24"/>
                <w:szCs w:val="24"/>
                <w:lang w:eastAsia="pl-PL"/>
              </w:rPr>
              <w:tab/>
              <w:t>art. 4 i art. 5 rozporządzenia 715/2007,</w:t>
            </w:r>
          </w:p>
          <w:p w14:paraId="7D0BF5A8"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5) </w:t>
            </w:r>
            <w:r w:rsidRPr="00BC15FA">
              <w:rPr>
                <w:rFonts w:ascii="Times New Roman" w:eastAsiaTheme="minorEastAsia" w:hAnsi="Times New Roman" w:cs="Times New Roman"/>
                <w:sz w:val="24"/>
                <w:szCs w:val="24"/>
                <w:lang w:eastAsia="pl-PL"/>
              </w:rPr>
              <w:tab/>
              <w:t>art. 4–11 rozporządzenia 2019/2144,</w:t>
            </w:r>
          </w:p>
          <w:p w14:paraId="4EDC2E4F"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6) </w:t>
            </w:r>
            <w:r w:rsidRPr="00BC15FA">
              <w:rPr>
                <w:rFonts w:ascii="Times New Roman" w:eastAsiaTheme="minorEastAsia" w:hAnsi="Times New Roman" w:cs="Times New Roman"/>
                <w:sz w:val="24"/>
                <w:szCs w:val="24"/>
                <w:lang w:eastAsia="pl-PL"/>
              </w:rPr>
              <w:tab/>
              <w:t>art. 4, art. 5, art. 5a i art. 7 rozporządzenia 595/2009,</w:t>
            </w:r>
          </w:p>
          <w:p w14:paraId="6FE96556"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7) </w:t>
            </w:r>
            <w:r w:rsidRPr="00BC15FA">
              <w:rPr>
                <w:rFonts w:ascii="Times New Roman" w:eastAsiaTheme="minorEastAsia" w:hAnsi="Times New Roman" w:cs="Times New Roman"/>
                <w:sz w:val="24"/>
                <w:szCs w:val="24"/>
                <w:lang w:eastAsia="pl-PL"/>
              </w:rPr>
              <w:tab/>
              <w:t>art. 5–8 rozporządzenia 540/2014,</w:t>
            </w:r>
          </w:p>
          <w:p w14:paraId="67E18FDF"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8) </w:t>
            </w:r>
            <w:r w:rsidRPr="00BC15FA">
              <w:rPr>
                <w:rFonts w:ascii="Times New Roman" w:eastAsiaTheme="minorEastAsia" w:hAnsi="Times New Roman" w:cs="Times New Roman"/>
                <w:sz w:val="24"/>
                <w:szCs w:val="24"/>
                <w:lang w:eastAsia="pl-PL"/>
              </w:rPr>
              <w:tab/>
              <w:t>art. 4–9, art. 12 i art. 14</w:t>
            </w:r>
            <w:r w:rsidR="00EE28E7">
              <w:rPr>
                <w:rFonts w:ascii="Times New Roman" w:eastAsiaTheme="minorEastAsia" w:hAnsi="Times New Roman" w:cs="Times New Roman"/>
                <w:sz w:val="24"/>
                <w:szCs w:val="24"/>
                <w:lang w:eastAsia="pl-PL"/>
              </w:rPr>
              <w:t xml:space="preserve"> ust. 1</w:t>
            </w:r>
            <w:r w:rsidRPr="00BC15FA">
              <w:rPr>
                <w:rFonts w:ascii="Times New Roman" w:eastAsiaTheme="minorEastAsia" w:hAnsi="Times New Roman" w:cs="Times New Roman"/>
                <w:sz w:val="24"/>
                <w:szCs w:val="24"/>
                <w:lang w:eastAsia="pl-PL"/>
              </w:rPr>
              <w:t xml:space="preserve"> rozporządzenia 2024/1257</w:t>
            </w:r>
          </w:p>
          <w:p w14:paraId="53595320"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9) </w:t>
            </w:r>
            <w:r w:rsidRPr="00BC15FA">
              <w:rPr>
                <w:rFonts w:ascii="Times New Roman" w:eastAsiaTheme="minorEastAsia" w:hAnsi="Times New Roman" w:cs="Times New Roman"/>
                <w:sz w:val="24"/>
                <w:szCs w:val="24"/>
                <w:lang w:eastAsia="pl-PL"/>
              </w:rPr>
              <w:tab/>
              <w:t>regulaminów ONZ</w:t>
            </w:r>
          </w:p>
          <w:p w14:paraId="24D6C8CB"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podlega administracyjnej karze pieniężnej do wysokości dwukrotności przeciętnego wynagrodzenia, o którym mowa w art. 68g ust. 4, ogłaszanego za czwarty kwartał roku poprzedzającego nałożenie kary, za każdy przypadek nieudostępnienia informacji lub dokumentacji.</w:t>
            </w:r>
          </w:p>
          <w:p w14:paraId="5EE1E93D"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Art. 71i. Operator platformy oraz dostawca usług społeczeństwa informacyjnego, który nie realizuje obowiązku, o którym mowa w art. 68w, albo nie realizuje obowiązku nałożonego w decyzji, o której mowa w art. 68zk ust. 6 i 8,  podlega administracyjnej karze pieniężnej do wysokości półkrotności przeciętnego wynagrodzenia, o którym mowa w art. 68g ust. 4, ogłaszanego za czwarty kwartał roku, za każdy przypadek naruszenia obowiązku. </w:t>
            </w:r>
          </w:p>
          <w:p w14:paraId="1BBDACAB"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Art. 71j. Podmioty, które uniemożliwiają rozpoczęcie lub utrudniają Dyrektorowi TDT jako organowi nadzoru rynku prowadzenie czynności, o których </w:t>
            </w:r>
            <w:r w:rsidRPr="00BC15FA">
              <w:rPr>
                <w:rFonts w:ascii="Times New Roman" w:eastAsiaTheme="minorEastAsia" w:hAnsi="Times New Roman" w:cs="Times New Roman"/>
                <w:sz w:val="24"/>
                <w:szCs w:val="24"/>
                <w:lang w:eastAsia="pl-PL"/>
              </w:rPr>
              <w:lastRenderedPageBreak/>
              <w:t>mowa w art. 68z lub art. 68za, lub nie realizują obowiązków lub żądań, o których mowa w tych przepisach, podlegają administracyjnej karze pieniężnej do wysokości jednokrotności przeciętnego wynagrodzenia, o którym mowa w art. 68g ust. 4, ogłaszanego za czwarty kwartał roku poprzedzającego nałożenie kary.</w:t>
            </w:r>
          </w:p>
          <w:p w14:paraId="5695D7FD"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Art. 71k. 1. Służba techniczna, która narusza obowiązki określone w: </w:t>
            </w:r>
          </w:p>
          <w:p w14:paraId="4D8BE3C5"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1)</w:t>
            </w:r>
            <w:r w:rsidRPr="00BC15FA">
              <w:rPr>
                <w:rFonts w:ascii="Times New Roman" w:eastAsiaTheme="minorEastAsia" w:hAnsi="Times New Roman" w:cs="Times New Roman"/>
                <w:sz w:val="24"/>
                <w:szCs w:val="24"/>
                <w:lang w:eastAsia="pl-PL"/>
              </w:rPr>
              <w:tab/>
              <w:t xml:space="preserve"> art. 66 lub art. 67 rozporządzenia 167/2013,</w:t>
            </w:r>
          </w:p>
          <w:p w14:paraId="0AADD4C3"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2)</w:t>
            </w:r>
            <w:r w:rsidRPr="00BC15FA">
              <w:rPr>
                <w:rFonts w:ascii="Times New Roman" w:eastAsiaTheme="minorEastAsia" w:hAnsi="Times New Roman" w:cs="Times New Roman"/>
                <w:sz w:val="24"/>
                <w:szCs w:val="24"/>
                <w:lang w:eastAsia="pl-PL"/>
              </w:rPr>
              <w:tab/>
              <w:t xml:space="preserve"> art. 70 lub art. 71 rozporządzenia 168/2013,</w:t>
            </w:r>
          </w:p>
          <w:p w14:paraId="49C7E84C"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3)</w:t>
            </w:r>
            <w:r w:rsidRPr="00BC15FA">
              <w:rPr>
                <w:rFonts w:ascii="Times New Roman" w:eastAsiaTheme="minorEastAsia" w:hAnsi="Times New Roman" w:cs="Times New Roman"/>
                <w:sz w:val="24"/>
                <w:szCs w:val="24"/>
                <w:lang w:eastAsia="pl-PL"/>
              </w:rPr>
              <w:tab/>
              <w:t xml:space="preserve"> art. 80 lub art. 81 rozporządzenia 2018/858</w:t>
            </w:r>
          </w:p>
          <w:p w14:paraId="152792F0"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 podlega administracyjnej karze pieniężnej do wysokości dwukrotności przeciętnego wynagrodzenia, o którym mowa w art. 68g ust. 4, ogłaszanego za czwarty kwartał roku poprzedzającego nałożenie kary, za każde stwierdzone naruszenie. </w:t>
            </w:r>
          </w:p>
          <w:p w14:paraId="2A3CC72C"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2. W przypadku gdy służba techniczna:</w:t>
            </w:r>
          </w:p>
          <w:p w14:paraId="78B1AF7C"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1)</w:t>
            </w:r>
            <w:r w:rsidRPr="00BC15FA">
              <w:rPr>
                <w:rFonts w:ascii="Times New Roman" w:eastAsiaTheme="minorEastAsia" w:hAnsi="Times New Roman" w:cs="Times New Roman"/>
                <w:sz w:val="24"/>
                <w:szCs w:val="24"/>
                <w:lang w:eastAsia="pl-PL"/>
              </w:rPr>
              <w:tab/>
              <w:t>nie zawiadomi Dyrektora TDT o zaprzestaniu prowadzenia działalności w kategoriach działań, do których została wyznaczona w trybie określonym w art. 8,</w:t>
            </w:r>
          </w:p>
          <w:p w14:paraId="53A61358"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2)</w:t>
            </w:r>
            <w:r w:rsidRPr="00BC15FA">
              <w:rPr>
                <w:rFonts w:ascii="Times New Roman" w:eastAsiaTheme="minorEastAsia" w:hAnsi="Times New Roman" w:cs="Times New Roman"/>
                <w:sz w:val="24"/>
                <w:szCs w:val="24"/>
                <w:lang w:eastAsia="pl-PL"/>
              </w:rPr>
              <w:tab/>
              <w:t>nie przekaże Dyrektorowi TDT dokumentów lub ich kopii dotyczących wykonywanych przez nią działań w trybie wynikającym z art. 9 ust. 1,</w:t>
            </w:r>
          </w:p>
          <w:p w14:paraId="2540F501"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3)</w:t>
            </w:r>
            <w:r w:rsidRPr="00BC15FA">
              <w:rPr>
                <w:rFonts w:ascii="Times New Roman" w:eastAsiaTheme="minorEastAsia" w:hAnsi="Times New Roman" w:cs="Times New Roman"/>
                <w:sz w:val="24"/>
                <w:szCs w:val="24"/>
                <w:lang w:eastAsia="pl-PL"/>
              </w:rPr>
              <w:tab/>
              <w:t>nie zawiadomi Dyrektora TDT o zaprzestaniu spełnienia jednego bądź kilku warunków określonych w art. 4 ust. 2 oraz w przepisach wydanych na podstawie art. 11 ust. 1,</w:t>
            </w:r>
          </w:p>
          <w:p w14:paraId="4803FFA1"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4)</w:t>
            </w:r>
            <w:r w:rsidRPr="00BC15FA">
              <w:rPr>
                <w:rFonts w:ascii="Times New Roman" w:eastAsiaTheme="minorEastAsia" w:hAnsi="Times New Roman" w:cs="Times New Roman"/>
                <w:sz w:val="24"/>
                <w:szCs w:val="24"/>
                <w:lang w:eastAsia="pl-PL"/>
              </w:rPr>
              <w:tab/>
              <w:t xml:space="preserve">nie realizuje działań, do których została wyznaczona zgodnie z art. 10 oraz przepisami wydanymi na podstawie art. 11 ust. 1 </w:t>
            </w:r>
          </w:p>
          <w:p w14:paraId="5C729C47"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lastRenderedPageBreak/>
              <w:t>– podlega administracyjnej karze pieniężnej do wysokości sześciokrotności przeciętnego wynagrodzenia, o którym mowa w art. 68g ust. 4, ogłaszanego za czwarty kwartał roku poprzedzającego nałożenie kary, za każde stwierdzone naruszenie.</w:t>
            </w:r>
          </w:p>
          <w:p w14:paraId="33E23300"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Art. 71l. Producent tramwaju lub producent trolejbusu, który:</w:t>
            </w:r>
          </w:p>
          <w:p w14:paraId="07CB4D5D"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1)</w:t>
            </w:r>
            <w:r w:rsidRPr="00BC15FA">
              <w:rPr>
                <w:rFonts w:ascii="Times New Roman" w:eastAsiaTheme="minorEastAsia" w:hAnsi="Times New Roman" w:cs="Times New Roman"/>
                <w:sz w:val="24"/>
                <w:szCs w:val="24"/>
                <w:lang w:eastAsia="pl-PL"/>
              </w:rPr>
              <w:tab/>
              <w:t>wprowadza do obrotu tramwaj lub trolejbus bez wymaganego świadectwa zgodności, na podstawie świadectwa zgodności sfałszowanego lub podpisanego przez osobę nieuprawnioną,</w:t>
            </w:r>
          </w:p>
          <w:p w14:paraId="1D638B68"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2)</w:t>
            </w:r>
            <w:r w:rsidRPr="00BC15FA">
              <w:rPr>
                <w:rFonts w:ascii="Times New Roman" w:eastAsiaTheme="minorEastAsia" w:hAnsi="Times New Roman" w:cs="Times New Roman"/>
                <w:sz w:val="24"/>
                <w:szCs w:val="24"/>
                <w:lang w:eastAsia="pl-PL"/>
              </w:rPr>
              <w:tab/>
              <w:t xml:space="preserve">narusza wymogi wynikające z przepisów wydanych na podstawie art. 55 </w:t>
            </w:r>
          </w:p>
          <w:p w14:paraId="0EE7C51D"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podlega administracyjnej karze pieniężnej do wysokości dwunastokrotności przeciętnego wynagrodzenia, o którym mowa w art. 68g ust. 4, ogłaszanego za czwarty kwartał roku poprzedzającego nałożenie kary, za każde wprowadzenie do obrotu tramwaju lub trolejbusu, w odniesieniu do których nie wypełnił obowiązku.</w:t>
            </w:r>
          </w:p>
          <w:p w14:paraId="6C81A314"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Art. 71m. Podmiot dokonujący montażu dodatkowej instalacji zasilania gazem pojazdu, który:</w:t>
            </w:r>
          </w:p>
          <w:p w14:paraId="445A2349"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1)</w:t>
            </w:r>
            <w:r w:rsidRPr="00BC15FA">
              <w:rPr>
                <w:rFonts w:ascii="Times New Roman" w:eastAsiaTheme="minorEastAsia" w:hAnsi="Times New Roman" w:cs="Times New Roman"/>
                <w:sz w:val="24"/>
                <w:szCs w:val="24"/>
                <w:lang w:eastAsia="pl-PL"/>
              </w:rPr>
              <w:tab/>
              <w:t xml:space="preserve">dokonuje montażu dodatkowej instalacji zasilania gazem pojazdu bez wymaganego wyciągu ze świadectwa homologacji montażu dodatkowej instalacji zasilania gazem pojazdu oraz instrukcji montażu, na podstawie wyciągu i instrukcji sfałszowanej lub podpisanej przez osobę nieuprawnioną, </w:t>
            </w:r>
          </w:p>
          <w:p w14:paraId="51088C72"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2)</w:t>
            </w:r>
            <w:r w:rsidRPr="00BC15FA">
              <w:rPr>
                <w:rFonts w:ascii="Times New Roman" w:eastAsiaTheme="minorEastAsia" w:hAnsi="Times New Roman" w:cs="Times New Roman"/>
                <w:sz w:val="24"/>
                <w:szCs w:val="24"/>
                <w:lang w:eastAsia="pl-PL"/>
              </w:rPr>
              <w:tab/>
              <w:t>narusza obowiązki, o których mowa w art. 36, art. 38 ust. 4 i art. 43,</w:t>
            </w:r>
          </w:p>
          <w:p w14:paraId="5000E4F4"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lastRenderedPageBreak/>
              <w:t>3)</w:t>
            </w:r>
            <w:r w:rsidRPr="00BC15FA">
              <w:rPr>
                <w:rFonts w:ascii="Times New Roman" w:eastAsiaTheme="minorEastAsia" w:hAnsi="Times New Roman" w:cs="Times New Roman"/>
                <w:sz w:val="24"/>
                <w:szCs w:val="24"/>
                <w:lang w:eastAsia="pl-PL"/>
              </w:rPr>
              <w:tab/>
              <w:t xml:space="preserve">narusza wymagania techniczne obowiązujące w procedurze homologacji dodatkowej instalacji zasilania gazem pojazdu oraz wymagania w zakresie tabliczki informacyjnej, wynikające z przepisów wydanych na podstawie art. 58 </w:t>
            </w:r>
          </w:p>
          <w:p w14:paraId="4D5C41ED"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podlega administracyjnej karze pieniężnej do wysokości jednokrotności przeciętnego wynagrodzenia, o którym mowa w art. 68g ust. 4, ogłaszanego za czwarty kwartał roku poprzedzającego nałożenie kary, za każdy montaż dodatkowej instalacji zasilania gazem pojazdu, w odniesieniu do którego nie wypełnił obowiązku.</w:t>
            </w:r>
          </w:p>
          <w:p w14:paraId="675A0068"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Art. 71n. Podmiot gospodarczy, który nie realizuje obowiązku udostępnienia użytkownikom końcowym informacji o konieczności sprawdzenia stanu technicznego pojazdu w warunkach serwisowych producenta, o którym mowa w art. 70 ust. 3 lub art. 71 ust. 3 pkt 3, podlega administracyjnej karze pieniężnej do wysokości jednokrotności przeciętnego wynagrodzenia, o którym mowa w art. 68g ust. 4, ogłaszanego za czwarty kwartał roku poprzedzającego nałożenie kary, za każdy przypadek nieudostępnienia informacji dotyczącej pojazdu objętego koniecznością sprawdzenia stanu technicznego w warunkach serwisowych producenta.</w:t>
            </w:r>
          </w:p>
          <w:p w14:paraId="02CE716C"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Art. 71o. Podmiot, o którym mowa odpowiednio w art. 68zu ust. 2 albo art. 68zv ust. 3, który:</w:t>
            </w:r>
          </w:p>
          <w:p w14:paraId="44E1F554"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1) </w:t>
            </w:r>
            <w:r w:rsidRPr="00BC15FA">
              <w:rPr>
                <w:rFonts w:ascii="Times New Roman" w:eastAsiaTheme="minorEastAsia" w:hAnsi="Times New Roman" w:cs="Times New Roman"/>
                <w:sz w:val="24"/>
                <w:szCs w:val="24"/>
                <w:lang w:eastAsia="pl-PL"/>
              </w:rPr>
              <w:tab/>
              <w:t xml:space="preserve">nie realizuje obowiązku, o którym mowa w art. 68zv ust. 1, podlega administracyjnej karze pieniężnej do wysokości dziesięciokrotności przeciętnego wynagrodzenia, o którym mowa w art. 68g ust. 4, </w:t>
            </w:r>
            <w:r w:rsidRPr="00BC15FA">
              <w:rPr>
                <w:rFonts w:ascii="Times New Roman" w:eastAsiaTheme="minorEastAsia" w:hAnsi="Times New Roman" w:cs="Times New Roman"/>
                <w:sz w:val="24"/>
                <w:szCs w:val="24"/>
                <w:lang w:eastAsia="pl-PL"/>
              </w:rPr>
              <w:lastRenderedPageBreak/>
              <w:t>ogłaszanego za czwarty kwartał roku poprzedzającego nałożenie kary;</w:t>
            </w:r>
          </w:p>
          <w:p w14:paraId="2B8D8118"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2) </w:t>
            </w:r>
            <w:r w:rsidRPr="00BC15FA">
              <w:rPr>
                <w:rFonts w:ascii="Times New Roman" w:eastAsiaTheme="minorEastAsia" w:hAnsi="Times New Roman" w:cs="Times New Roman"/>
                <w:sz w:val="24"/>
                <w:szCs w:val="24"/>
                <w:lang w:eastAsia="pl-PL"/>
              </w:rPr>
              <w:tab/>
              <w:t>nie przekazuje informacji o wysokości obliczonych i uiszczonych opłat za nadzór rynku motoryzacyjnego w terminie, o którym mowa w art. 68zv ust. 2, podlega administracyjnej karze pieniężnej do wysokości dziesięciokrotności przeciętnego wynagrodzenia, o którym mowa w art. 68g ust. 4, ogłaszanego za czwarty kwartał roku poprzedzającego nałożenie kary;</w:t>
            </w:r>
          </w:p>
          <w:p w14:paraId="6E9E3D93"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3) </w:t>
            </w:r>
            <w:r w:rsidRPr="00BC15FA">
              <w:rPr>
                <w:rFonts w:ascii="Times New Roman" w:eastAsiaTheme="minorEastAsia" w:hAnsi="Times New Roman" w:cs="Times New Roman"/>
                <w:sz w:val="24"/>
                <w:szCs w:val="24"/>
                <w:lang w:eastAsia="pl-PL"/>
              </w:rPr>
              <w:tab/>
              <w:t xml:space="preserve">nie przekazuje zbiorczej informacji o podmiotach wprowadzających do obrotu pojazdy w terminie, o którym mowa w art. 68zv ust. 3, podlega administracyjnej karze pieniężnej do wysokości dziesięciokrotności przeciętnego wynagrodzenia, o którym mowa w art. 68g ust. 4, ogłaszanego za czwarty kwartał roku poprzedzającego nałożenie kary; </w:t>
            </w:r>
          </w:p>
          <w:p w14:paraId="47AD11A9"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4) </w:t>
            </w:r>
            <w:r w:rsidRPr="00BC15FA">
              <w:rPr>
                <w:rFonts w:ascii="Times New Roman" w:eastAsiaTheme="minorEastAsia" w:hAnsi="Times New Roman" w:cs="Times New Roman"/>
                <w:sz w:val="24"/>
                <w:szCs w:val="24"/>
                <w:lang w:eastAsia="pl-PL"/>
              </w:rPr>
              <w:tab/>
              <w:t>fałszuje lub zataja dane, na podstawie których wypełniona została informacja, o której mowa w art. 68zv ust. 2 lub 3, lub podaje nieprawdziwe dane w tej informacji podlega administracyjnej karze pieniężnej do wysokości dziesięciokrotności przeciętnego wynagrodzenia, o którym mowa w art. 68g ust. 4, ogłaszanego za czwarty kwartał roku poprzedzającego nałożenie kary;</w:t>
            </w:r>
          </w:p>
          <w:p w14:paraId="558B518A"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5) </w:t>
            </w:r>
            <w:r w:rsidRPr="00BC15FA">
              <w:rPr>
                <w:rFonts w:ascii="Times New Roman" w:eastAsiaTheme="minorEastAsia" w:hAnsi="Times New Roman" w:cs="Times New Roman"/>
                <w:sz w:val="24"/>
                <w:szCs w:val="24"/>
                <w:lang w:eastAsia="pl-PL"/>
              </w:rPr>
              <w:tab/>
              <w:t xml:space="preserve">nie przechowuje przekazywanych Dyrektorowi TDT jako organowi nadzoru rynku informacji przez okres, o którym mowa w art. 68zv ust. 4, podlega administracyjnej karze pieniężnej do wysokości trzykrotności przeciętnego wynagrodzenia, o którym mowa w art. 68g ust. 4, ogłaszanego za czwarty kwartał roku poprzedzającego nałożenie kary; </w:t>
            </w:r>
          </w:p>
          <w:p w14:paraId="5CC41078"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lastRenderedPageBreak/>
              <w:t xml:space="preserve">6) </w:t>
            </w:r>
            <w:r w:rsidRPr="00BC15FA">
              <w:rPr>
                <w:rFonts w:ascii="Times New Roman" w:eastAsiaTheme="minorEastAsia" w:hAnsi="Times New Roman" w:cs="Times New Roman"/>
                <w:sz w:val="24"/>
                <w:szCs w:val="24"/>
                <w:lang w:eastAsia="pl-PL"/>
              </w:rPr>
              <w:tab/>
              <w:t xml:space="preserve">nie okazuje informacji i  dokumentów w toku kontroli, o której mowa w art. 68zw ust. 1, podlega administracyjnej karze pieniężnej do wysokości trzykrotności przeciętnego wynagrodzenia, o którym mowa w art. 68g ust. 4, ogłaszanego za czwarty kwartał roku poprzedzającego nałożenie kary; </w:t>
            </w:r>
          </w:p>
          <w:p w14:paraId="68B8B6AA"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7) </w:t>
            </w:r>
            <w:r w:rsidRPr="00BC15FA">
              <w:rPr>
                <w:rFonts w:ascii="Times New Roman" w:eastAsiaTheme="minorEastAsia" w:hAnsi="Times New Roman" w:cs="Times New Roman"/>
                <w:sz w:val="24"/>
                <w:szCs w:val="24"/>
                <w:lang w:eastAsia="pl-PL"/>
              </w:rPr>
              <w:tab/>
              <w:t xml:space="preserve">przedkłada sfałszowany dokument stanowiący postawę ustalenia wysokości opłaty za nadzór rynku motoryzacyjnego, podlega administracyjnej karze pieniężnej do wysokości trzykrotności przeciętnego wynagrodzenia, o którym mowa w art. 68g ust. 4, ogłaszanego za czwarty kwartał roku poprzedzającego nałożenie kary. </w:t>
            </w:r>
          </w:p>
          <w:p w14:paraId="11448741"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Art. 71p. 1. Administracyjne kary pieniężne, o których mowa w art. 71a–71o, nakłada Dyrektor TDT w drodze decyzji administracyjnej. </w:t>
            </w:r>
          </w:p>
          <w:p w14:paraId="0D0586E2"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2. Organem wyższego stopnia w rozumieniu przepisów ustawy z dnia 14 czerwca 1960 r. – Kodeks postępowania administracyjnego w sprawach, o których mowa w ust. 1, jest minister właściwy do spraw transportu. </w:t>
            </w:r>
          </w:p>
          <w:p w14:paraId="28143D68"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3. Przy ustalaniu wysokości administracyjnych kar pieniężnych, o których mowa </w:t>
            </w:r>
          </w:p>
          <w:p w14:paraId="2B848631"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w art. 71a–71o, uwzględnia się:</w:t>
            </w:r>
          </w:p>
          <w:p w14:paraId="161CBD40"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1)</w:t>
            </w:r>
            <w:r w:rsidRPr="00BC15FA">
              <w:rPr>
                <w:rFonts w:ascii="Times New Roman" w:eastAsiaTheme="minorEastAsia" w:hAnsi="Times New Roman" w:cs="Times New Roman"/>
                <w:sz w:val="24"/>
                <w:szCs w:val="24"/>
                <w:lang w:eastAsia="pl-PL"/>
              </w:rPr>
              <w:tab/>
            </w:r>
            <w:r w:rsidRPr="00BC15FA">
              <w:rPr>
                <w:rFonts w:ascii="Times New Roman" w:eastAsiaTheme="minorEastAsia" w:hAnsi="Times New Roman" w:cs="Times New Roman"/>
                <w:sz w:val="24"/>
                <w:szCs w:val="24"/>
                <w:lang w:eastAsia="pl-PL"/>
              </w:rPr>
              <w:tab/>
              <w:t>stopień, okoliczności i okres naruszenia obowiązków;</w:t>
            </w:r>
            <w:r w:rsidRPr="00BC15FA">
              <w:rPr>
                <w:rFonts w:ascii="Times New Roman" w:eastAsiaTheme="minorEastAsia" w:hAnsi="Times New Roman" w:cs="Times New Roman"/>
                <w:sz w:val="24"/>
                <w:szCs w:val="24"/>
                <w:lang w:eastAsia="pl-PL"/>
              </w:rPr>
              <w:tab/>
            </w:r>
            <w:r w:rsidRPr="00BC15FA">
              <w:rPr>
                <w:rFonts w:ascii="Times New Roman" w:eastAsiaTheme="minorEastAsia" w:hAnsi="Times New Roman" w:cs="Times New Roman"/>
                <w:sz w:val="24"/>
                <w:szCs w:val="24"/>
                <w:lang w:eastAsia="pl-PL"/>
              </w:rPr>
              <w:tab/>
            </w:r>
          </w:p>
          <w:p w14:paraId="6795039C"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2) </w:t>
            </w:r>
            <w:r w:rsidRPr="00BC15FA">
              <w:rPr>
                <w:rFonts w:ascii="Times New Roman" w:eastAsiaTheme="minorEastAsia" w:hAnsi="Times New Roman" w:cs="Times New Roman"/>
                <w:sz w:val="24"/>
                <w:szCs w:val="24"/>
                <w:lang w:eastAsia="pl-PL"/>
              </w:rPr>
              <w:tab/>
            </w:r>
            <w:r w:rsidRPr="00BC15FA">
              <w:rPr>
                <w:rFonts w:ascii="Times New Roman" w:eastAsiaTheme="minorEastAsia" w:hAnsi="Times New Roman" w:cs="Times New Roman"/>
                <w:sz w:val="24"/>
                <w:szCs w:val="24"/>
                <w:lang w:eastAsia="pl-PL"/>
              </w:rPr>
              <w:tab/>
              <w:t xml:space="preserve">rodzaj i charakter stwierdzonych niezgodności z wymaganiami technicznymi, warunkami technicznymi, o których mowa w art. 66 ust. 1 ustawy z dnia 20 czerwca 1997 r. – Prawo o ruchu drogowym oraz określonymi w przepisach wydanych na podstawie art. 66 ust. 5 tej ustawy, lub </w:t>
            </w:r>
            <w:r w:rsidRPr="00BC15FA">
              <w:rPr>
                <w:rFonts w:ascii="Times New Roman" w:eastAsiaTheme="minorEastAsia" w:hAnsi="Times New Roman" w:cs="Times New Roman"/>
                <w:sz w:val="24"/>
                <w:szCs w:val="24"/>
                <w:lang w:eastAsia="pl-PL"/>
              </w:rPr>
              <w:lastRenderedPageBreak/>
              <w:t>rodzaj stwarzanego poważnego ryzyka przez pojazd, przedmiot wyposażenia lub część, rower, wózek rowerowy, hulajnogę elektryczną oraz urządzenie transportu osobistego;</w:t>
            </w:r>
          </w:p>
          <w:p w14:paraId="5AB85CD3"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3)</w:t>
            </w:r>
            <w:r w:rsidRPr="00BC15FA">
              <w:rPr>
                <w:rFonts w:ascii="Times New Roman" w:eastAsiaTheme="minorEastAsia" w:hAnsi="Times New Roman" w:cs="Times New Roman"/>
                <w:sz w:val="24"/>
                <w:szCs w:val="24"/>
                <w:lang w:eastAsia="pl-PL"/>
              </w:rPr>
              <w:tab/>
              <w:t>liczbę udostępnionych na rynku pojazdów, przedmiotów wyposażenia lub części niezgodnych z wymaganiami technicznymi albo rowerów, wózków rowerowych, hulajnóg elektrycznych oraz urządzeń transportu osobistego niezgodnych z warunkami technicznymi, o których mowa w art. 66 ust. 1 ustawy z dnia 20 czerwca 1997 r. – Prawo o ruchu drogowym oraz określonymi w przepisach wydanych na podstawie art. 66 ust. 5 tej ustawy, w których dokonano montażu dodatkowej instalacji zasilania gazem pojazdu niezgodnie z wymaganiami, o których mowa w art. 31 ust. 2, art. 36, art. 42 i 43, wymaganiami technicznymi obowiązującymi w procedurze homologacji dodatkowej instalacji zasilania gazem pojazdu oraz wymaganiami w zakresie tabliczki informacyjnej, wynikającymi z przepisów wydanych na podstawie art. 58;</w:t>
            </w:r>
          </w:p>
          <w:p w14:paraId="6DCDECBB"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4)</w:t>
            </w:r>
            <w:r w:rsidRPr="00BC15FA">
              <w:rPr>
                <w:rFonts w:ascii="Times New Roman" w:eastAsiaTheme="minorEastAsia" w:hAnsi="Times New Roman" w:cs="Times New Roman"/>
                <w:sz w:val="24"/>
                <w:szCs w:val="24"/>
                <w:lang w:eastAsia="pl-PL"/>
              </w:rPr>
              <w:tab/>
              <w:t>uprzednie naruszenie obowiązków;</w:t>
            </w:r>
          </w:p>
          <w:p w14:paraId="0FFFB939"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5)</w:t>
            </w:r>
            <w:r w:rsidRPr="00BC15FA">
              <w:rPr>
                <w:rFonts w:ascii="Times New Roman" w:eastAsiaTheme="minorEastAsia" w:hAnsi="Times New Roman" w:cs="Times New Roman"/>
                <w:sz w:val="24"/>
                <w:szCs w:val="24"/>
                <w:lang w:eastAsia="pl-PL"/>
              </w:rPr>
              <w:tab/>
              <w:t>współpracę z Dyrektorem TDT jako organem nadzoru rynku, w tym przyczynienie się do szybkiego i sprawnego przeprowadzenia czynności wyjaśniających, kontroli, badań lub postępowań administracyjnych;</w:t>
            </w:r>
          </w:p>
          <w:p w14:paraId="607179C6"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6) </w:t>
            </w:r>
            <w:r w:rsidRPr="00BC15FA">
              <w:rPr>
                <w:rFonts w:ascii="Times New Roman" w:eastAsiaTheme="minorEastAsia" w:hAnsi="Times New Roman" w:cs="Times New Roman"/>
                <w:sz w:val="24"/>
                <w:szCs w:val="24"/>
                <w:lang w:eastAsia="pl-PL"/>
              </w:rPr>
              <w:tab/>
              <w:t>zaprzestanie przez podmiot gospodarczy naruszenia obowiązków, o których mowa odpowiednio w art. 53a i art. 53b oraz potwierdzenie realizacji tych obowiązków;</w:t>
            </w:r>
          </w:p>
          <w:p w14:paraId="7C59985D"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lastRenderedPageBreak/>
              <w:t>7)</w:t>
            </w:r>
            <w:r w:rsidRPr="00BC15FA">
              <w:rPr>
                <w:rFonts w:ascii="Times New Roman" w:eastAsiaTheme="minorEastAsia" w:hAnsi="Times New Roman" w:cs="Times New Roman"/>
                <w:sz w:val="24"/>
                <w:szCs w:val="24"/>
                <w:lang w:eastAsia="pl-PL"/>
              </w:rPr>
              <w:tab/>
              <w:t>zlecenie przez podmiot, który zamontował w pojeździe dodatkową instalację zasilania gazem pojazdu bez świadectwa homologacji montażu dodatkowej instalacji zasilania gazem pojazdu, uprawnionemu podmiotowi wymianę tej instalacji w pojeździe, na swój koszt, na instalację zgodną z takim świadectwem.</w:t>
            </w:r>
          </w:p>
          <w:p w14:paraId="14371628"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4. Przy wydawaniu decyzji o nałożeniu administracyjnej kary pieniężnej, o której mowa w art. 71a–71o, przepisu art. 189f ustawy z dnia 14 czerwca 1960 r. – Kodeks postępowania administracyjnego nie stosuje się. </w:t>
            </w:r>
          </w:p>
          <w:p w14:paraId="2059C570"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 xml:space="preserve">Art. 71r. 1. Administracyjne kary pieniężne, o których mowa w art. 71a–71o, uiszcza się na rachunek Transportowego Dozoru Technicznego w terminie 14 dni od dnia, w którym decyzja o nałożeniu administracyjnej kary pieniężnej stała się ostateczna. </w:t>
            </w:r>
          </w:p>
          <w:p w14:paraId="2EF8296A"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2. Wpływy z administracyjnych kar pieniężnych wraz z odsetkami stanowią przychód Dyrektora TDT.</w:t>
            </w:r>
          </w:p>
          <w:p w14:paraId="0159852E" w14:textId="77777777" w:rsidR="00BC15FA" w:rsidRPr="00BC15FA"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Art. 71s. 1. Kary pieniężne, o których mowa w art. 71a–71o, wraz z odsetkami ustawowymi za opóźnienie, podlegają przymusowemu ściągnięciu w trybie określonym w ustawie z dnia 17 czerwca 1966 r. o postępowaniu egzekucyjnym w administracji.</w:t>
            </w:r>
          </w:p>
          <w:p w14:paraId="6256D5A1" w14:textId="77777777" w:rsidR="00CE30D2" w:rsidRPr="00FB76A9" w:rsidRDefault="00BC15FA" w:rsidP="00FD5CD5">
            <w:pPr>
              <w:spacing w:after="0" w:line="240" w:lineRule="auto"/>
              <w:rPr>
                <w:rFonts w:ascii="Times New Roman" w:eastAsiaTheme="minorEastAsia" w:hAnsi="Times New Roman" w:cs="Times New Roman"/>
                <w:sz w:val="24"/>
                <w:szCs w:val="24"/>
                <w:lang w:eastAsia="pl-PL"/>
              </w:rPr>
            </w:pPr>
            <w:r w:rsidRPr="00BC15FA">
              <w:rPr>
                <w:rFonts w:ascii="Times New Roman" w:eastAsiaTheme="minorEastAsia" w:hAnsi="Times New Roman" w:cs="Times New Roman"/>
                <w:sz w:val="24"/>
                <w:szCs w:val="24"/>
                <w:lang w:eastAsia="pl-PL"/>
              </w:rPr>
              <w:t>2.</w:t>
            </w:r>
            <w:r w:rsidRPr="00BC15FA">
              <w:rPr>
                <w:rFonts w:ascii="Times New Roman" w:eastAsiaTheme="minorEastAsia" w:hAnsi="Times New Roman" w:cs="Times New Roman"/>
                <w:sz w:val="24"/>
                <w:szCs w:val="24"/>
                <w:lang w:eastAsia="pl-PL"/>
              </w:rPr>
              <w:tab/>
              <w:t xml:space="preserve"> Obowiązek uiszczenia kar pieniężnych, o których mowa w ust. 1, przedawnia się z upływem 5 lat, licząc od ostatniego dnia roku kalendarzowego, w którym kary powinny zostać uiszczone.”.</w:t>
            </w:r>
          </w:p>
        </w:tc>
        <w:tc>
          <w:tcPr>
            <w:tcW w:w="1504" w:type="dxa"/>
            <w:tcBorders>
              <w:left w:val="single" w:sz="4" w:space="0" w:color="auto"/>
              <w:right w:val="single" w:sz="4" w:space="0" w:color="auto"/>
            </w:tcBorders>
          </w:tcPr>
          <w:p w14:paraId="384E69DE" w14:textId="77777777" w:rsidR="00CE30D2" w:rsidRPr="00FB76A9" w:rsidRDefault="00CE30D2" w:rsidP="00FD5CD5">
            <w:pPr>
              <w:spacing w:after="0" w:line="240" w:lineRule="auto"/>
              <w:rPr>
                <w:rFonts w:ascii="Times New Roman" w:eastAsia="Times New Roman" w:hAnsi="Times New Roman" w:cs="Times New Roman"/>
                <w:sz w:val="24"/>
                <w:szCs w:val="24"/>
                <w:lang w:eastAsia="pl-PL"/>
              </w:rPr>
            </w:pPr>
          </w:p>
        </w:tc>
      </w:tr>
    </w:tbl>
    <w:p w14:paraId="3F8750D4" w14:textId="77777777" w:rsidR="00BF650F" w:rsidRPr="00FB76A9" w:rsidRDefault="00BF650F" w:rsidP="00FD5CD5">
      <w:pPr>
        <w:rPr>
          <w:rFonts w:ascii="Times New Roman" w:hAnsi="Times New Roman" w:cs="Times New Roman"/>
          <w:sz w:val="24"/>
          <w:szCs w:val="24"/>
        </w:rPr>
      </w:pPr>
      <w:r w:rsidRPr="00FB76A9">
        <w:rPr>
          <w:rFonts w:ascii="Times New Roman" w:hAnsi="Times New Roman" w:cs="Times New Roman"/>
          <w:sz w:val="24"/>
          <w:szCs w:val="24"/>
        </w:rPr>
        <w:lastRenderedPageBreak/>
        <w:br w:type="page"/>
      </w:r>
    </w:p>
    <w:tbl>
      <w:tblPr>
        <w:tblpPr w:leftFromText="141" w:rightFromText="141" w:vertAnchor="text" w:tblpY="1"/>
        <w:tblOverlap w:val="neve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13"/>
        <w:gridCol w:w="9482"/>
      </w:tblGrid>
      <w:tr w:rsidR="008A6AB2" w:rsidRPr="00FB76A9" w14:paraId="43AF9D14" w14:textId="77777777" w:rsidTr="008925D1">
        <w:trPr>
          <w:cantSplit/>
          <w:trHeight w:val="576"/>
        </w:trPr>
        <w:tc>
          <w:tcPr>
            <w:tcW w:w="5513" w:type="dxa"/>
            <w:tcBorders>
              <w:bottom w:val="single" w:sz="4" w:space="0" w:color="auto"/>
            </w:tcBorders>
            <w:shd w:val="clear" w:color="auto" w:fill="E0E0E0"/>
          </w:tcPr>
          <w:p w14:paraId="4534B4D9" w14:textId="77777777" w:rsidR="008A6AB2" w:rsidRPr="00FB76A9" w:rsidRDefault="008A6AB2" w:rsidP="00FD5CD5">
            <w:pPr>
              <w:keepNext/>
              <w:spacing w:after="0" w:line="240" w:lineRule="auto"/>
              <w:outlineLvl w:val="0"/>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lastRenderedPageBreak/>
              <w:t>TYTUŁ PROJEKTU:</w:t>
            </w:r>
          </w:p>
        </w:tc>
        <w:tc>
          <w:tcPr>
            <w:tcW w:w="9482" w:type="dxa"/>
            <w:tcBorders>
              <w:bottom w:val="single" w:sz="4" w:space="0" w:color="auto"/>
            </w:tcBorders>
          </w:tcPr>
          <w:p w14:paraId="120ACEE3" w14:textId="77777777" w:rsidR="008A6AB2" w:rsidRPr="00FB76A9" w:rsidRDefault="008A6AB2"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Projekt ustawy o zmianie ustawy o systemach homologacji pojazdów oraz ich wyposażenia oraz niektórych innych ustaw (UC95)</w:t>
            </w:r>
          </w:p>
        </w:tc>
      </w:tr>
      <w:tr w:rsidR="008A6AB2" w:rsidRPr="00FB76A9" w14:paraId="33599244" w14:textId="77777777" w:rsidTr="008925D1">
        <w:trPr>
          <w:cantSplit/>
          <w:trHeight w:val="576"/>
        </w:trPr>
        <w:tc>
          <w:tcPr>
            <w:tcW w:w="5513" w:type="dxa"/>
            <w:tcBorders>
              <w:bottom w:val="single" w:sz="4" w:space="0" w:color="auto"/>
            </w:tcBorders>
            <w:shd w:val="clear" w:color="auto" w:fill="E0E0E0"/>
          </w:tcPr>
          <w:p w14:paraId="4329CE19" w14:textId="77777777" w:rsidR="008A6AB2" w:rsidRPr="00FB76A9" w:rsidRDefault="008A6AB2"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TYTUŁ WDRAŻANEGO AKTU PRAWNEGO</w:t>
            </w:r>
          </w:p>
        </w:tc>
        <w:tc>
          <w:tcPr>
            <w:tcW w:w="9482" w:type="dxa"/>
            <w:tcBorders>
              <w:bottom w:val="single" w:sz="4" w:space="0" w:color="auto"/>
            </w:tcBorders>
          </w:tcPr>
          <w:p w14:paraId="35D47A03" w14:textId="77777777" w:rsidR="008A6AB2" w:rsidRPr="00FB76A9" w:rsidRDefault="008A6AB2" w:rsidP="00FD5CD5">
            <w:pPr>
              <w:pStyle w:val="ODNONIKtreodnonika"/>
              <w:ind w:left="0" w:firstLine="0"/>
              <w:jc w:val="left"/>
              <w:rPr>
                <w:rFonts w:eastAsia="Times New Roman" w:cs="Times New Roman"/>
                <w:sz w:val="24"/>
                <w:szCs w:val="24"/>
              </w:rPr>
            </w:pPr>
            <w:r w:rsidRPr="00FB76A9">
              <w:rPr>
                <w:rFonts w:eastAsia="Times New Roman" w:cs="Times New Roman"/>
                <w:sz w:val="24"/>
                <w:szCs w:val="24"/>
              </w:rPr>
              <w:t xml:space="preserve">Rozporządzenie wykonawcze Komisji (UE) </w:t>
            </w:r>
            <w:r w:rsidRPr="00FB76A9">
              <w:rPr>
                <w:rFonts w:eastAsia="Times New Roman" w:cs="Times New Roman"/>
                <w:b/>
                <w:sz w:val="24"/>
                <w:szCs w:val="24"/>
              </w:rPr>
              <w:t>2021/133</w:t>
            </w:r>
            <w:r w:rsidRPr="00FB76A9">
              <w:rPr>
                <w:rFonts w:eastAsia="Times New Roman" w:cs="Times New Roman"/>
                <w:sz w:val="24"/>
                <w:szCs w:val="24"/>
              </w:rPr>
              <w:t xml:space="preserve"> z dnia 4 lutego 2021 r. w sprawie wykonania rozporządzenia Parlamentu Europejskiego i Rady (UE) 2018/858 w odniesieniu do podstawowego formatu, struktury i środków wymiany danych dotyczących świadectw zgodności w formacie elektronicznym (Dz. Urz. UE L 42 z 05.02.2021, str. 1, Dz. Urz. UE L 68 z 03.03.2022, str. 22 oraz Dz. Urz. UE L 2024/1061 z 11.04.2024). </w:t>
            </w:r>
          </w:p>
        </w:tc>
      </w:tr>
      <w:tr w:rsidR="002307C6" w:rsidRPr="00FB76A9" w14:paraId="53E053FB" w14:textId="77777777" w:rsidTr="008925D1">
        <w:trPr>
          <w:cantSplit/>
          <w:trHeight w:val="576"/>
        </w:trPr>
        <w:tc>
          <w:tcPr>
            <w:tcW w:w="5513" w:type="dxa"/>
            <w:tcBorders>
              <w:bottom w:val="single" w:sz="4" w:space="0" w:color="auto"/>
            </w:tcBorders>
            <w:shd w:val="clear" w:color="auto" w:fill="E0E0E0"/>
          </w:tcPr>
          <w:p w14:paraId="0E4D17FE" w14:textId="77777777" w:rsidR="002307C6" w:rsidRPr="00FB76A9" w:rsidRDefault="002307C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hAnsi="Times New Roman" w:cs="Times New Roman"/>
                <w:b/>
                <w:bCs/>
                <w:sz w:val="24"/>
                <w:szCs w:val="24"/>
              </w:rPr>
              <w:t>WYJAŚNIENIE TERMINU WEJŚCIA W ŻYCIE PROJEKTU / PROJEKTÓW</w:t>
            </w:r>
          </w:p>
        </w:tc>
        <w:tc>
          <w:tcPr>
            <w:tcW w:w="9482" w:type="dxa"/>
            <w:tcBorders>
              <w:bottom w:val="single" w:sz="4" w:space="0" w:color="auto"/>
            </w:tcBorders>
          </w:tcPr>
          <w:p w14:paraId="3E9E2438" w14:textId="77777777" w:rsidR="002307C6" w:rsidRPr="00FB76A9" w:rsidRDefault="002307C6" w:rsidP="00FD5CD5">
            <w:pPr>
              <w:pStyle w:val="ODNONIKtreodnonika"/>
              <w:ind w:left="0" w:firstLine="0"/>
              <w:jc w:val="left"/>
              <w:rPr>
                <w:rFonts w:eastAsia="Times New Roman" w:cs="Times New Roman"/>
                <w:sz w:val="24"/>
                <w:szCs w:val="24"/>
              </w:rPr>
            </w:pPr>
            <w:r w:rsidRPr="00FB76A9">
              <w:rPr>
                <w:rFonts w:eastAsia="Times New Roman" w:cs="Times New Roman"/>
                <w:sz w:val="24"/>
                <w:szCs w:val="24"/>
              </w:rPr>
              <w:t>Co do zasady przewiduje się, iż zgodnie z art. 1</w:t>
            </w:r>
            <w:r w:rsidR="002847CA">
              <w:rPr>
                <w:rFonts w:eastAsia="Times New Roman" w:cs="Times New Roman"/>
                <w:sz w:val="24"/>
                <w:szCs w:val="24"/>
              </w:rPr>
              <w:t>9</w:t>
            </w:r>
            <w:r w:rsidRPr="00FB76A9">
              <w:rPr>
                <w:rFonts w:eastAsia="Times New Roman" w:cs="Times New Roman"/>
                <w:sz w:val="24"/>
                <w:szCs w:val="24"/>
              </w:rPr>
              <w:t xml:space="preserve"> projektu, </w:t>
            </w:r>
            <w:r w:rsidRPr="00FB76A9">
              <w:rPr>
                <w:rFonts w:cs="Times New Roman"/>
                <w:sz w:val="24"/>
                <w:szCs w:val="24"/>
              </w:rPr>
              <w:t>u</w:t>
            </w:r>
            <w:r w:rsidRPr="00FB76A9">
              <w:rPr>
                <w:rFonts w:eastAsia="Times New Roman" w:cs="Times New Roman"/>
                <w:sz w:val="24"/>
                <w:szCs w:val="24"/>
              </w:rPr>
              <w:t xml:space="preserve">stawa wejdzie w życie po upływie 14 dni od dnia ogłoszenia, z wyjątkami wskazanymi w </w:t>
            </w:r>
            <w:r w:rsidR="002847CA">
              <w:rPr>
                <w:rFonts w:eastAsia="Times New Roman" w:cs="Times New Roman"/>
                <w:sz w:val="24"/>
                <w:szCs w:val="24"/>
              </w:rPr>
              <w:t xml:space="preserve">art. 18 </w:t>
            </w:r>
            <w:r w:rsidRPr="00FB76A9">
              <w:rPr>
                <w:rFonts w:eastAsia="Times New Roman" w:cs="Times New Roman"/>
                <w:sz w:val="24"/>
                <w:szCs w:val="24"/>
              </w:rPr>
              <w:t>pkt 1-6.</w:t>
            </w:r>
          </w:p>
        </w:tc>
      </w:tr>
    </w:tbl>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3"/>
        <w:gridCol w:w="5262"/>
        <w:gridCol w:w="835"/>
        <w:gridCol w:w="760"/>
        <w:gridCol w:w="5568"/>
        <w:gridCol w:w="1843"/>
      </w:tblGrid>
      <w:tr w:rsidR="00A54745" w:rsidRPr="00FB76A9" w14:paraId="0BC6382C" w14:textId="77777777" w:rsidTr="00A54745">
        <w:trPr>
          <w:trHeight w:val="151"/>
        </w:trPr>
        <w:tc>
          <w:tcPr>
            <w:tcW w:w="753" w:type="dxa"/>
            <w:shd w:val="clear" w:color="auto" w:fill="D9D9D9"/>
          </w:tcPr>
          <w:p w14:paraId="6002A3A4" w14:textId="77777777" w:rsidR="006C3486" w:rsidRPr="00FB76A9" w:rsidRDefault="006C348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Jedn. red. </w:t>
            </w:r>
          </w:p>
        </w:tc>
        <w:tc>
          <w:tcPr>
            <w:tcW w:w="5262" w:type="dxa"/>
            <w:shd w:val="clear" w:color="auto" w:fill="D9D9D9"/>
          </w:tcPr>
          <w:p w14:paraId="604CB427" w14:textId="77777777" w:rsidR="006C3486" w:rsidRPr="00FB76A9" w:rsidRDefault="006C348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Treść przepisu UE </w:t>
            </w:r>
          </w:p>
        </w:tc>
        <w:tc>
          <w:tcPr>
            <w:tcW w:w="835" w:type="dxa"/>
            <w:shd w:val="clear" w:color="auto" w:fill="D9D9D9"/>
          </w:tcPr>
          <w:p w14:paraId="79A81362" w14:textId="77777777" w:rsidR="006C3486" w:rsidRPr="00FB76A9" w:rsidRDefault="006C348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Konieczność</w:t>
            </w:r>
          </w:p>
          <w:p w14:paraId="3FFC80ED" w14:textId="77777777" w:rsidR="006C3486" w:rsidRPr="00FB76A9" w:rsidRDefault="006C348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wdrożenia</w:t>
            </w:r>
          </w:p>
          <w:p w14:paraId="54EAD458" w14:textId="77777777" w:rsidR="006C3486" w:rsidRPr="00FB76A9" w:rsidRDefault="006C3486" w:rsidP="00FD5CD5">
            <w:pPr>
              <w:spacing w:after="0" w:line="240" w:lineRule="auto"/>
              <w:rPr>
                <w:rFonts w:ascii="Times New Roman" w:eastAsia="Times New Roman" w:hAnsi="Times New Roman" w:cs="Times New Roman"/>
                <w:sz w:val="24"/>
                <w:szCs w:val="24"/>
                <w:lang w:eastAsia="pl-PL"/>
              </w:rPr>
            </w:pPr>
          </w:p>
          <w:p w14:paraId="4FE1226A" w14:textId="77777777" w:rsidR="006C3486" w:rsidRPr="00FB76A9" w:rsidRDefault="006C348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sz w:val="24"/>
                <w:szCs w:val="24"/>
                <w:lang w:eastAsia="pl-PL"/>
              </w:rPr>
              <w:t xml:space="preserve"> T / N</w:t>
            </w:r>
          </w:p>
        </w:tc>
        <w:tc>
          <w:tcPr>
            <w:tcW w:w="760" w:type="dxa"/>
            <w:shd w:val="clear" w:color="auto" w:fill="D9D9D9"/>
          </w:tcPr>
          <w:p w14:paraId="0AF20C4F" w14:textId="77777777" w:rsidR="006C3486" w:rsidRPr="00FB76A9" w:rsidRDefault="006C348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Jedn. red. (*) </w:t>
            </w:r>
          </w:p>
        </w:tc>
        <w:tc>
          <w:tcPr>
            <w:tcW w:w="5568" w:type="dxa"/>
            <w:shd w:val="clear" w:color="auto" w:fill="D9D9D9"/>
          </w:tcPr>
          <w:p w14:paraId="02CEF756" w14:textId="77777777" w:rsidR="006C3486" w:rsidRPr="00FB76A9" w:rsidRDefault="006C348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Treść przepisu/ów projektu (*)</w:t>
            </w:r>
          </w:p>
        </w:tc>
        <w:tc>
          <w:tcPr>
            <w:tcW w:w="1843" w:type="dxa"/>
            <w:shd w:val="clear" w:color="auto" w:fill="D9D9D9"/>
          </w:tcPr>
          <w:p w14:paraId="58F36067" w14:textId="77777777" w:rsidR="006C3486" w:rsidRPr="00FB76A9" w:rsidRDefault="006C348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Uzasadnienie uwzględnienia w projekcie przepisów wykraczających poza minimalne wymogi  prawa UE (**)</w:t>
            </w:r>
          </w:p>
        </w:tc>
      </w:tr>
      <w:tr w:rsidR="00BB3FF5" w:rsidRPr="00FB76A9" w14:paraId="3C3ECD38" w14:textId="77777777" w:rsidTr="003C2855">
        <w:trPr>
          <w:trHeight w:val="2174"/>
        </w:trPr>
        <w:tc>
          <w:tcPr>
            <w:tcW w:w="753" w:type="dxa"/>
            <w:shd w:val="clear" w:color="auto" w:fill="FFFFFF" w:themeFill="background1"/>
          </w:tcPr>
          <w:p w14:paraId="4E65B7EA" w14:textId="77777777" w:rsidR="006C3486" w:rsidRPr="00FB76A9" w:rsidRDefault="006C3486"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 xml:space="preserve">Art. 1 </w:t>
            </w:r>
          </w:p>
          <w:p w14:paraId="2F4D743C" w14:textId="77777777" w:rsidR="006C3486" w:rsidRPr="00FB76A9" w:rsidRDefault="006C3486" w:rsidP="00FD5CD5">
            <w:pPr>
              <w:spacing w:after="0" w:line="240" w:lineRule="auto"/>
              <w:rPr>
                <w:rFonts w:ascii="Times New Roman" w:eastAsia="Times New Roman" w:hAnsi="Times New Roman" w:cs="Times New Roman"/>
                <w:sz w:val="24"/>
                <w:szCs w:val="24"/>
                <w:lang w:eastAsia="pl-PL"/>
              </w:rPr>
            </w:pPr>
          </w:p>
        </w:tc>
        <w:tc>
          <w:tcPr>
            <w:tcW w:w="5262" w:type="dxa"/>
            <w:shd w:val="clear" w:color="auto" w:fill="FFFFFF" w:themeFill="background1"/>
          </w:tcPr>
          <w:p w14:paraId="4970EEAC" w14:textId="77777777" w:rsidR="006C3486" w:rsidRPr="00FB76A9" w:rsidRDefault="006C3486" w:rsidP="00FD5CD5">
            <w:pPr>
              <w:pStyle w:val="CM4"/>
              <w:rPr>
                <w:rFonts w:eastAsia="Times New Roman"/>
                <w:lang w:eastAsia="pl-PL"/>
              </w:rPr>
            </w:pPr>
            <w:r w:rsidRPr="00FB76A9">
              <w:rPr>
                <w:rFonts w:eastAsia="Times New Roman"/>
                <w:lang w:eastAsia="pl-PL"/>
              </w:rPr>
              <w:t xml:space="preserve">„1. Producent udostępnia organowi udzielającemu homologacji typu, który udzielił homologacji typu całego pojazdu, elektroniczną wersję świadectwa zgodności zgodną z formatem i strukturą elementów danych i standardowymi komunikatami określonymi w art. 2 za pośrednictwem dowolnego krajowego punktu dostępu do europejskiego systemu informacji o pojazdach i prawach jazdy (EUCARIS) w Unii. </w:t>
            </w:r>
          </w:p>
          <w:p w14:paraId="0C812443" w14:textId="77777777" w:rsidR="006C3486" w:rsidRPr="00FB76A9" w:rsidRDefault="006C3486"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2. Organ udzielający homologacji wykorzystuje EUCARIS jako środek wymiany danych dotyczących świadectwa zgodności w formie ustrukturyzowanych danych w formacie elektronicznym, o których mowa w art. 37 ust. 8 lit. c) rozporządzenia (UE) 2018/858.”</w:t>
            </w:r>
          </w:p>
        </w:tc>
        <w:tc>
          <w:tcPr>
            <w:tcW w:w="835" w:type="dxa"/>
            <w:shd w:val="clear" w:color="auto" w:fill="FFFFFF" w:themeFill="background1"/>
          </w:tcPr>
          <w:p w14:paraId="5158E7C5" w14:textId="77777777" w:rsidR="006C3486" w:rsidRPr="00FB76A9" w:rsidRDefault="006C3486"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T </w:t>
            </w:r>
          </w:p>
        </w:tc>
        <w:tc>
          <w:tcPr>
            <w:tcW w:w="760" w:type="dxa"/>
            <w:shd w:val="clear" w:color="auto" w:fill="FFFFFF" w:themeFill="background1"/>
          </w:tcPr>
          <w:p w14:paraId="5AC04AB4" w14:textId="77777777" w:rsidR="006C3486" w:rsidRPr="00FB76A9" w:rsidRDefault="006C3486"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 xml:space="preserve">Art. 1 pkt </w:t>
            </w:r>
            <w:r w:rsidR="009607F7" w:rsidRPr="00FB76A9">
              <w:rPr>
                <w:rFonts w:ascii="Times New Roman" w:eastAsia="Times New Roman" w:hAnsi="Times New Roman" w:cs="Times New Roman"/>
                <w:sz w:val="24"/>
                <w:szCs w:val="24"/>
                <w:lang w:val="en-GB" w:eastAsia="pl-PL"/>
              </w:rPr>
              <w:t>14</w:t>
            </w:r>
            <w:r w:rsidR="00843C9A" w:rsidRPr="00FB76A9">
              <w:rPr>
                <w:rFonts w:ascii="Times New Roman" w:eastAsia="Times New Roman" w:hAnsi="Times New Roman" w:cs="Times New Roman"/>
                <w:sz w:val="24"/>
                <w:szCs w:val="24"/>
                <w:lang w:val="en-GB" w:eastAsia="pl-PL"/>
              </w:rPr>
              <w:t xml:space="preserve"> lit. a tiret pierwsze</w:t>
            </w:r>
          </w:p>
          <w:p w14:paraId="1DFEC8F0" w14:textId="77777777" w:rsidR="00EE3122" w:rsidRPr="00FB76A9" w:rsidRDefault="00EE3122" w:rsidP="00FD5CD5">
            <w:pPr>
              <w:spacing w:after="0" w:line="240" w:lineRule="auto"/>
              <w:rPr>
                <w:rFonts w:ascii="Times New Roman" w:eastAsia="Times New Roman" w:hAnsi="Times New Roman" w:cs="Times New Roman"/>
                <w:sz w:val="24"/>
                <w:szCs w:val="24"/>
                <w:lang w:val="en-GB" w:eastAsia="pl-PL"/>
              </w:rPr>
            </w:pPr>
          </w:p>
          <w:p w14:paraId="526F6818" w14:textId="77777777" w:rsidR="00EE3122" w:rsidRPr="00FB76A9" w:rsidRDefault="00EE3122" w:rsidP="00FD5CD5">
            <w:pPr>
              <w:spacing w:after="0" w:line="240" w:lineRule="auto"/>
              <w:rPr>
                <w:rFonts w:ascii="Times New Roman" w:eastAsia="Times New Roman" w:hAnsi="Times New Roman" w:cs="Times New Roman"/>
                <w:sz w:val="24"/>
                <w:szCs w:val="24"/>
                <w:lang w:val="en-GB" w:eastAsia="pl-PL"/>
              </w:rPr>
            </w:pPr>
          </w:p>
          <w:p w14:paraId="16F93072" w14:textId="77777777" w:rsidR="00EE3122" w:rsidRPr="00FB76A9" w:rsidRDefault="00EE3122" w:rsidP="00FD5CD5">
            <w:pPr>
              <w:spacing w:after="0" w:line="240" w:lineRule="auto"/>
              <w:rPr>
                <w:rFonts w:ascii="Times New Roman" w:eastAsia="Times New Roman" w:hAnsi="Times New Roman" w:cs="Times New Roman"/>
                <w:sz w:val="24"/>
                <w:szCs w:val="24"/>
                <w:lang w:val="en-GB" w:eastAsia="pl-PL"/>
              </w:rPr>
            </w:pPr>
          </w:p>
          <w:p w14:paraId="70C44314" w14:textId="77777777" w:rsidR="00EE3122" w:rsidRPr="00FB76A9" w:rsidRDefault="00EE3122" w:rsidP="00FD5CD5">
            <w:pPr>
              <w:spacing w:after="0" w:line="240" w:lineRule="auto"/>
              <w:rPr>
                <w:rFonts w:ascii="Times New Roman" w:eastAsia="Times New Roman" w:hAnsi="Times New Roman" w:cs="Times New Roman"/>
                <w:sz w:val="24"/>
                <w:szCs w:val="24"/>
                <w:lang w:val="en-GB" w:eastAsia="pl-PL"/>
              </w:rPr>
            </w:pPr>
          </w:p>
          <w:p w14:paraId="344E42EA" w14:textId="77777777" w:rsidR="00EE3122" w:rsidRPr="00FB76A9" w:rsidRDefault="00EE3122" w:rsidP="00FD5CD5">
            <w:pPr>
              <w:spacing w:after="0" w:line="240" w:lineRule="auto"/>
              <w:rPr>
                <w:rFonts w:ascii="Times New Roman" w:eastAsia="Times New Roman" w:hAnsi="Times New Roman" w:cs="Times New Roman"/>
                <w:sz w:val="24"/>
                <w:szCs w:val="24"/>
                <w:lang w:val="en-GB" w:eastAsia="pl-PL"/>
              </w:rPr>
            </w:pPr>
          </w:p>
          <w:p w14:paraId="3969CD2C" w14:textId="77777777" w:rsidR="00EE3122" w:rsidRPr="00FB76A9" w:rsidRDefault="00EE3122" w:rsidP="00FD5CD5">
            <w:pPr>
              <w:spacing w:after="0" w:line="240" w:lineRule="auto"/>
              <w:rPr>
                <w:rFonts w:ascii="Times New Roman" w:eastAsia="Times New Roman" w:hAnsi="Times New Roman" w:cs="Times New Roman"/>
                <w:sz w:val="24"/>
                <w:szCs w:val="24"/>
                <w:lang w:val="en-GB" w:eastAsia="pl-PL"/>
              </w:rPr>
            </w:pPr>
          </w:p>
          <w:p w14:paraId="2AF0D35F" w14:textId="77777777" w:rsidR="00EE3122" w:rsidRPr="00FB76A9" w:rsidRDefault="00EE3122" w:rsidP="00FD5CD5">
            <w:pPr>
              <w:spacing w:after="0" w:line="240" w:lineRule="auto"/>
              <w:rPr>
                <w:rFonts w:ascii="Times New Roman" w:eastAsia="Times New Roman" w:hAnsi="Times New Roman" w:cs="Times New Roman"/>
                <w:sz w:val="24"/>
                <w:szCs w:val="24"/>
                <w:lang w:val="en-GB" w:eastAsia="pl-PL"/>
              </w:rPr>
            </w:pPr>
          </w:p>
          <w:p w14:paraId="73E9BACD" w14:textId="77777777" w:rsidR="00EE3122" w:rsidRPr="00FB76A9" w:rsidRDefault="00EE3122" w:rsidP="00FD5CD5">
            <w:pPr>
              <w:spacing w:after="0" w:line="240" w:lineRule="auto"/>
              <w:rPr>
                <w:rFonts w:ascii="Times New Roman" w:eastAsia="Times New Roman" w:hAnsi="Times New Roman" w:cs="Times New Roman"/>
                <w:sz w:val="24"/>
                <w:szCs w:val="24"/>
                <w:lang w:val="en-GB" w:eastAsia="pl-PL"/>
              </w:rPr>
            </w:pPr>
          </w:p>
          <w:p w14:paraId="68B03BC3" w14:textId="77777777" w:rsidR="00EE3122" w:rsidRPr="00FB76A9" w:rsidRDefault="00EE3122" w:rsidP="00FD5CD5">
            <w:pPr>
              <w:spacing w:after="0" w:line="240" w:lineRule="auto"/>
              <w:rPr>
                <w:rFonts w:ascii="Times New Roman" w:eastAsia="Times New Roman" w:hAnsi="Times New Roman" w:cs="Times New Roman"/>
                <w:sz w:val="24"/>
                <w:szCs w:val="24"/>
                <w:lang w:val="en-GB" w:eastAsia="pl-PL"/>
              </w:rPr>
            </w:pPr>
          </w:p>
          <w:p w14:paraId="4BF19A41" w14:textId="77777777" w:rsidR="00EE3122" w:rsidRPr="00FB76A9" w:rsidRDefault="00EE3122" w:rsidP="00FD5CD5">
            <w:pPr>
              <w:spacing w:after="0" w:line="240" w:lineRule="auto"/>
              <w:rPr>
                <w:rFonts w:ascii="Times New Roman" w:eastAsia="Times New Roman" w:hAnsi="Times New Roman" w:cs="Times New Roman"/>
                <w:sz w:val="24"/>
                <w:szCs w:val="24"/>
                <w:lang w:val="en-GB" w:eastAsia="pl-PL"/>
              </w:rPr>
            </w:pPr>
          </w:p>
          <w:p w14:paraId="0EB79778" w14:textId="77777777" w:rsidR="00EE3122" w:rsidRPr="00FB76A9" w:rsidRDefault="00EE3122" w:rsidP="00FD5CD5">
            <w:pPr>
              <w:spacing w:after="0" w:line="240" w:lineRule="auto"/>
              <w:rPr>
                <w:rFonts w:ascii="Times New Roman" w:eastAsia="Times New Roman" w:hAnsi="Times New Roman" w:cs="Times New Roman"/>
                <w:sz w:val="24"/>
                <w:szCs w:val="24"/>
                <w:lang w:val="en-GB" w:eastAsia="pl-PL"/>
              </w:rPr>
            </w:pPr>
          </w:p>
          <w:p w14:paraId="343A80A1" w14:textId="77777777" w:rsidR="00EE3122" w:rsidRPr="00FB76A9" w:rsidRDefault="00EE3122" w:rsidP="00FD5CD5">
            <w:pPr>
              <w:spacing w:after="0" w:line="240" w:lineRule="auto"/>
              <w:rPr>
                <w:rFonts w:ascii="Times New Roman" w:eastAsia="Times New Roman" w:hAnsi="Times New Roman" w:cs="Times New Roman"/>
                <w:sz w:val="24"/>
                <w:szCs w:val="24"/>
                <w:lang w:val="en-GB" w:eastAsia="pl-PL"/>
              </w:rPr>
            </w:pPr>
          </w:p>
          <w:p w14:paraId="43657682" w14:textId="77777777" w:rsidR="00EE3122" w:rsidRPr="00FB76A9" w:rsidRDefault="00EE3122" w:rsidP="00FD5CD5">
            <w:pPr>
              <w:spacing w:after="0" w:line="240" w:lineRule="auto"/>
              <w:rPr>
                <w:rFonts w:ascii="Times New Roman" w:eastAsia="Times New Roman" w:hAnsi="Times New Roman" w:cs="Times New Roman"/>
                <w:sz w:val="24"/>
                <w:szCs w:val="24"/>
                <w:lang w:val="en-GB" w:eastAsia="pl-PL"/>
              </w:rPr>
            </w:pPr>
          </w:p>
          <w:p w14:paraId="268020C9" w14:textId="77777777" w:rsidR="00EE3122" w:rsidRPr="00FB76A9" w:rsidRDefault="00EE3122" w:rsidP="00FD5CD5">
            <w:pPr>
              <w:spacing w:after="0" w:line="240" w:lineRule="auto"/>
              <w:rPr>
                <w:rFonts w:ascii="Times New Roman" w:eastAsia="Times New Roman" w:hAnsi="Times New Roman" w:cs="Times New Roman"/>
                <w:sz w:val="24"/>
                <w:szCs w:val="24"/>
                <w:lang w:val="en-GB" w:eastAsia="pl-PL"/>
              </w:rPr>
            </w:pPr>
          </w:p>
          <w:p w14:paraId="1C768468" w14:textId="77777777" w:rsidR="009607F7" w:rsidRPr="00FB76A9" w:rsidRDefault="009607F7" w:rsidP="00FD5CD5">
            <w:pPr>
              <w:spacing w:after="0" w:line="240" w:lineRule="auto"/>
              <w:rPr>
                <w:rFonts w:ascii="Times New Roman" w:eastAsia="Times New Roman" w:hAnsi="Times New Roman" w:cs="Times New Roman"/>
                <w:sz w:val="24"/>
                <w:szCs w:val="24"/>
                <w:lang w:val="en-GB" w:eastAsia="pl-PL"/>
              </w:rPr>
            </w:pPr>
          </w:p>
          <w:p w14:paraId="09C244E7" w14:textId="77777777" w:rsidR="009607F7" w:rsidRPr="00FB76A9" w:rsidRDefault="009607F7" w:rsidP="00FD5CD5">
            <w:pPr>
              <w:spacing w:after="0" w:line="240" w:lineRule="auto"/>
              <w:rPr>
                <w:rFonts w:ascii="Times New Roman" w:eastAsia="Times New Roman" w:hAnsi="Times New Roman" w:cs="Times New Roman"/>
                <w:sz w:val="24"/>
                <w:szCs w:val="24"/>
                <w:lang w:val="en-GB" w:eastAsia="pl-PL"/>
              </w:rPr>
            </w:pPr>
          </w:p>
          <w:p w14:paraId="7CDA1174" w14:textId="77777777" w:rsidR="009607F7" w:rsidRPr="00FB76A9" w:rsidRDefault="009607F7" w:rsidP="00FD5CD5">
            <w:pPr>
              <w:spacing w:after="0" w:line="240" w:lineRule="auto"/>
              <w:rPr>
                <w:rFonts w:ascii="Times New Roman" w:eastAsia="Times New Roman" w:hAnsi="Times New Roman" w:cs="Times New Roman"/>
                <w:sz w:val="24"/>
                <w:szCs w:val="24"/>
                <w:lang w:val="en-GB" w:eastAsia="pl-PL"/>
              </w:rPr>
            </w:pPr>
          </w:p>
          <w:p w14:paraId="54DC908A" w14:textId="77777777" w:rsidR="009607F7" w:rsidRPr="00FB76A9" w:rsidRDefault="009607F7" w:rsidP="00FD5CD5">
            <w:pPr>
              <w:spacing w:after="0" w:line="240" w:lineRule="auto"/>
              <w:rPr>
                <w:rFonts w:ascii="Times New Roman" w:eastAsia="Times New Roman" w:hAnsi="Times New Roman" w:cs="Times New Roman"/>
                <w:sz w:val="24"/>
                <w:szCs w:val="24"/>
                <w:lang w:val="en-GB" w:eastAsia="pl-PL"/>
              </w:rPr>
            </w:pPr>
          </w:p>
          <w:p w14:paraId="2CA1F2A6" w14:textId="77777777" w:rsidR="00EE3122" w:rsidRPr="00FB76A9" w:rsidRDefault="00EE3122"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 xml:space="preserve">Art. </w:t>
            </w:r>
            <w:r w:rsidR="002C6CE0" w:rsidRPr="00FB76A9">
              <w:rPr>
                <w:rFonts w:ascii="Times New Roman" w:eastAsia="Times New Roman" w:hAnsi="Times New Roman" w:cs="Times New Roman"/>
                <w:sz w:val="24"/>
                <w:szCs w:val="24"/>
                <w:lang w:val="en-GB" w:eastAsia="pl-PL"/>
              </w:rPr>
              <w:t>2</w:t>
            </w:r>
            <w:r w:rsidRPr="00FB76A9">
              <w:rPr>
                <w:rFonts w:ascii="Times New Roman" w:eastAsia="Times New Roman" w:hAnsi="Times New Roman" w:cs="Times New Roman"/>
                <w:sz w:val="24"/>
                <w:szCs w:val="24"/>
                <w:lang w:val="en-GB" w:eastAsia="pl-PL"/>
              </w:rPr>
              <w:t xml:space="preserve"> pkt 1</w:t>
            </w:r>
            <w:r w:rsidR="009607F7" w:rsidRPr="00FB76A9">
              <w:rPr>
                <w:rFonts w:ascii="Times New Roman" w:eastAsia="Times New Roman" w:hAnsi="Times New Roman" w:cs="Times New Roman"/>
                <w:sz w:val="24"/>
                <w:szCs w:val="24"/>
                <w:lang w:val="en-GB" w:eastAsia="pl-PL"/>
              </w:rPr>
              <w:t>5</w:t>
            </w:r>
            <w:r w:rsidRPr="00FB76A9">
              <w:rPr>
                <w:rFonts w:ascii="Times New Roman" w:eastAsia="Times New Roman" w:hAnsi="Times New Roman" w:cs="Times New Roman"/>
                <w:sz w:val="24"/>
                <w:szCs w:val="24"/>
                <w:lang w:val="en-GB" w:eastAsia="pl-PL"/>
              </w:rPr>
              <w:t xml:space="preserve"> </w:t>
            </w:r>
          </w:p>
        </w:tc>
        <w:tc>
          <w:tcPr>
            <w:tcW w:w="5568" w:type="dxa"/>
            <w:shd w:val="clear" w:color="auto" w:fill="FFFFFF" w:themeFill="background1"/>
          </w:tcPr>
          <w:p w14:paraId="5BE68F16" w14:textId="77777777" w:rsidR="00843C9A" w:rsidRPr="00FB76A9" w:rsidRDefault="00843C9A" w:rsidP="00FD5CD5">
            <w:pPr>
              <w:pStyle w:val="ZTIRPKTzmpkttire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lastRenderedPageBreak/>
              <w:t xml:space="preserve">„3a) </w:t>
            </w:r>
            <w:r w:rsidR="009607F7" w:rsidRPr="00FB76A9">
              <w:rPr>
                <w:rFonts w:ascii="Times New Roman" w:hAnsi="Times New Roman" w:cs="Times New Roman"/>
                <w:szCs w:val="24"/>
              </w:rPr>
              <w:t xml:space="preserve">wystawić w postaci elektronicznej świadectwo zgodności oraz oświadczenie, o którym mowa w pkt 3 do każdego pojazdu kategorii M, N, O, na którego typ Dyrektor TDT wydał świadectwo homologacji typu UE pojazdu i przekazać do ewidencji zgodnie z przepisami rozporządzenia wykonawczego Komisji (UE) 2021/133 z dnia 4 lutego 2021 r. w sprawie wykonania rozporządzenia Parlamentu Europejskiego i Rady (UE) 2018/858 w odniesieniu do podstawowego formatu, struktury i środków wymiany danych dotyczących świadectw zgodności w formacie elektronicznym (Dz. Urz. UE L 42 z 05.02.2021, str. 1, z późn. zm. )). W imieniu producenta pojazdu oświadczenie w postaci elektronicznej może być wystawione przez importera, dystrybutora lub przedstawiciela producenta. Przepisu </w:t>
            </w:r>
            <w:r w:rsidR="009607F7" w:rsidRPr="00FB76A9">
              <w:rPr>
                <w:rFonts w:ascii="Times New Roman" w:hAnsi="Times New Roman" w:cs="Times New Roman"/>
                <w:szCs w:val="24"/>
              </w:rPr>
              <w:lastRenderedPageBreak/>
              <w:t>pkt 2 i 3 w zakresie obowiązku stosowania postaci papierowej dokumentów, nie stosuje się, z wyjątkiem wystawienia duplikatu tych dokumentów w w przypadku, o którym mowa w art. 36 ust. 3 rozporządzenia 2018/858 na wniosek właściciela pojazdu lub w przypadku, o którym mowa w art. 37 ust. 10  rozporządzenia 2018/858 na wniosek organu, o którym mowa w art. 3 pkt 37 tego rozporządzenia</w:t>
            </w:r>
            <w:r w:rsidRPr="00FB76A9">
              <w:rPr>
                <w:rFonts w:ascii="Times New Roman" w:hAnsi="Times New Roman" w:cs="Times New Roman"/>
                <w:szCs w:val="24"/>
              </w:rPr>
              <w:t>;”,</w:t>
            </w:r>
          </w:p>
          <w:p w14:paraId="370C3574" w14:textId="77777777" w:rsidR="00EE3122" w:rsidRPr="00FB76A9" w:rsidRDefault="00EE3122" w:rsidP="00FD5CD5">
            <w:pPr>
              <w:pStyle w:val="ZTIRPKTzmpkttiret"/>
              <w:spacing w:line="240" w:lineRule="auto"/>
              <w:ind w:left="1383" w:firstLine="0"/>
              <w:jc w:val="left"/>
              <w:rPr>
                <w:rFonts w:ascii="Times New Roman" w:hAnsi="Times New Roman" w:cs="Times New Roman"/>
                <w:szCs w:val="24"/>
              </w:rPr>
            </w:pPr>
          </w:p>
          <w:p w14:paraId="6A6B83A5" w14:textId="77777777" w:rsidR="006C3486" w:rsidRPr="000A0E57" w:rsidRDefault="00EE3122"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„Art. 80aa.1. 3. </w:t>
            </w:r>
            <w:r w:rsidR="009607F7" w:rsidRPr="00FB76A9">
              <w:rPr>
                <w:rFonts w:ascii="Times New Roman" w:hAnsi="Times New Roman" w:cs="Times New Roman"/>
                <w:szCs w:val="24"/>
              </w:rPr>
              <w:t>Krajowy punkt dostępu umożliwia wymianę danych pomiędzy krajowymi punktami dostępowymi innych państw członkowskich Unii Europejskiej oraz z krajowymi podmiotami uprawnionymi – w zakresie danych dotyczących świadectw zgodności w postaci elektronicznej, zgodnie z art. 1 ust. 1 rozporządzenia wykonawczego Komisji (UE) 2021/133 z dnia 4 lutego 2021 r. w sprawie wykonania rozporządzenia Parlamentu Europejskiego i Rady (UE) 2018/858 w odniesieniu do podstawowego formatu, struktury i środków wymiany danych dotyczących świadectw zgodności w formacie elektronicznym</w:t>
            </w:r>
            <w:r w:rsidR="009607F7" w:rsidRPr="00FB76A9" w:rsidDel="009607F7">
              <w:rPr>
                <w:rFonts w:ascii="Times New Roman" w:hAnsi="Times New Roman" w:cs="Times New Roman"/>
                <w:szCs w:val="24"/>
              </w:rPr>
              <w:t xml:space="preserve"> </w:t>
            </w:r>
            <w:r w:rsidRPr="00FB76A9">
              <w:rPr>
                <w:rFonts w:ascii="Times New Roman" w:hAnsi="Times New Roman" w:cs="Times New Roman"/>
                <w:szCs w:val="24"/>
              </w:rPr>
              <w:t>(Dz. Urz. UE L 42 z 05.02.2021, str. 1, z późn. zm.</w:t>
            </w:r>
            <w:r w:rsidR="009607F7" w:rsidRPr="00FB76A9">
              <w:rPr>
                <w:rFonts w:ascii="Times New Roman" w:hAnsi="Times New Roman" w:cs="Times New Roman"/>
                <w:szCs w:val="24"/>
              </w:rPr>
              <w:t>)</w:t>
            </w:r>
            <w:r w:rsidRPr="00FB76A9">
              <w:rPr>
                <w:rFonts w:ascii="Times New Roman" w:hAnsi="Times New Roman" w:cs="Times New Roman"/>
                <w:szCs w:val="24"/>
              </w:rPr>
              <w:t>”</w:t>
            </w:r>
            <w:r w:rsidR="009148F2" w:rsidRPr="00FB76A9">
              <w:rPr>
                <w:rFonts w:ascii="Times New Roman" w:hAnsi="Times New Roman" w:cs="Times New Roman"/>
                <w:szCs w:val="24"/>
              </w:rPr>
              <w:t>.</w:t>
            </w:r>
          </w:p>
        </w:tc>
        <w:tc>
          <w:tcPr>
            <w:tcW w:w="1843" w:type="dxa"/>
            <w:shd w:val="clear" w:color="auto" w:fill="FFFFFF" w:themeFill="background1"/>
          </w:tcPr>
          <w:p w14:paraId="39A64F59" w14:textId="77777777" w:rsidR="006C3486" w:rsidRPr="00FB76A9" w:rsidRDefault="006C3486" w:rsidP="00FD5CD5">
            <w:pPr>
              <w:spacing w:after="0" w:line="240" w:lineRule="auto"/>
              <w:rPr>
                <w:rFonts w:ascii="Times New Roman" w:eastAsia="Times New Roman" w:hAnsi="Times New Roman" w:cs="Times New Roman"/>
                <w:sz w:val="24"/>
                <w:szCs w:val="24"/>
                <w:lang w:eastAsia="pl-PL"/>
              </w:rPr>
            </w:pPr>
          </w:p>
        </w:tc>
      </w:tr>
    </w:tbl>
    <w:p w14:paraId="5053A68C" w14:textId="77777777" w:rsidR="002307C6" w:rsidRPr="00FB76A9" w:rsidRDefault="002307C6" w:rsidP="00FD5CD5">
      <w:pPr>
        <w:rPr>
          <w:rFonts w:ascii="Times New Roman" w:hAnsi="Times New Roman" w:cs="Times New Roman"/>
          <w:sz w:val="24"/>
          <w:szCs w:val="24"/>
        </w:rPr>
      </w:pPr>
      <w:r w:rsidRPr="00FB76A9">
        <w:rPr>
          <w:rFonts w:ascii="Times New Roman" w:hAnsi="Times New Roman" w:cs="Times New Roman"/>
          <w:sz w:val="24"/>
          <w:szCs w:val="24"/>
        </w:rPr>
        <w:br w:type="page"/>
      </w:r>
    </w:p>
    <w:tbl>
      <w:tblPr>
        <w:tblpPr w:leftFromText="141" w:rightFromText="141" w:vertAnchor="text" w:tblpY="1"/>
        <w:tblOverlap w:val="neve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13"/>
        <w:gridCol w:w="9482"/>
      </w:tblGrid>
      <w:tr w:rsidR="00A54745" w:rsidRPr="00FB76A9" w14:paraId="227BFA82" w14:textId="77777777" w:rsidTr="00BB19F1">
        <w:trPr>
          <w:cantSplit/>
          <w:trHeight w:val="576"/>
        </w:trPr>
        <w:tc>
          <w:tcPr>
            <w:tcW w:w="5513" w:type="dxa"/>
            <w:tcBorders>
              <w:bottom w:val="single" w:sz="4" w:space="0" w:color="auto"/>
            </w:tcBorders>
            <w:shd w:val="clear" w:color="auto" w:fill="E0E0E0"/>
          </w:tcPr>
          <w:p w14:paraId="34293475" w14:textId="77777777" w:rsidR="00A54745" w:rsidRPr="00FB76A9" w:rsidRDefault="00A54745" w:rsidP="00FD5CD5">
            <w:pPr>
              <w:keepNext/>
              <w:spacing w:after="0" w:line="240" w:lineRule="auto"/>
              <w:outlineLvl w:val="0"/>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lastRenderedPageBreak/>
              <w:t>TYTUŁ PROJEKTU:</w:t>
            </w:r>
          </w:p>
        </w:tc>
        <w:tc>
          <w:tcPr>
            <w:tcW w:w="9482" w:type="dxa"/>
            <w:tcBorders>
              <w:bottom w:val="single" w:sz="4" w:space="0" w:color="auto"/>
            </w:tcBorders>
          </w:tcPr>
          <w:p w14:paraId="2BCE400D"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Projekt ustawy o zmianie ustawy o systemach homologacji pojazdów oraz ich wyposażenia oraz niektórych innych ustaw (UC95)</w:t>
            </w:r>
          </w:p>
        </w:tc>
      </w:tr>
      <w:tr w:rsidR="00A54745" w:rsidRPr="00FB76A9" w14:paraId="6C42798B" w14:textId="77777777" w:rsidTr="00BB19F1">
        <w:trPr>
          <w:cantSplit/>
          <w:trHeight w:val="576"/>
        </w:trPr>
        <w:tc>
          <w:tcPr>
            <w:tcW w:w="5513" w:type="dxa"/>
            <w:tcBorders>
              <w:bottom w:val="single" w:sz="4" w:space="0" w:color="auto"/>
            </w:tcBorders>
            <w:shd w:val="clear" w:color="auto" w:fill="E0E0E0"/>
          </w:tcPr>
          <w:p w14:paraId="09460128" w14:textId="77777777" w:rsidR="00A54745" w:rsidRPr="00FB76A9" w:rsidRDefault="00A54745"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TYTUŁ WDRAŻANEGO AKTU PRAWNEGO</w:t>
            </w:r>
          </w:p>
        </w:tc>
        <w:tc>
          <w:tcPr>
            <w:tcW w:w="9482" w:type="dxa"/>
            <w:tcBorders>
              <w:bottom w:val="single" w:sz="4" w:space="0" w:color="auto"/>
            </w:tcBorders>
          </w:tcPr>
          <w:p w14:paraId="5DA70A49" w14:textId="77777777" w:rsidR="00A54745" w:rsidRPr="00FB76A9" w:rsidRDefault="00A54745" w:rsidP="00FD5CD5">
            <w:pPr>
              <w:pStyle w:val="ODNONIKtreodnonika"/>
              <w:ind w:left="0" w:firstLine="0"/>
              <w:jc w:val="left"/>
              <w:rPr>
                <w:rFonts w:eastAsia="Times New Roman" w:cs="Times New Roman"/>
                <w:b/>
                <w:sz w:val="24"/>
                <w:szCs w:val="24"/>
              </w:rPr>
            </w:pPr>
            <w:r w:rsidRPr="00FB76A9">
              <w:rPr>
                <w:rFonts w:eastAsia="Times New Roman" w:cs="Times New Roman"/>
                <w:sz w:val="24"/>
                <w:szCs w:val="24"/>
              </w:rPr>
              <w:t xml:space="preserve">Rozporządzenie  Parlamentu Europejskiego i Rady (UE) </w:t>
            </w:r>
            <w:r w:rsidRPr="00FB76A9">
              <w:rPr>
                <w:rFonts w:eastAsia="Times New Roman" w:cs="Times New Roman"/>
                <w:b/>
                <w:sz w:val="24"/>
                <w:szCs w:val="24"/>
              </w:rPr>
              <w:t>2019/1020</w:t>
            </w:r>
            <w:r w:rsidRPr="00FB76A9">
              <w:rPr>
                <w:rFonts w:eastAsia="Times New Roman" w:cs="Times New Roman"/>
                <w:sz w:val="24"/>
                <w:szCs w:val="24"/>
              </w:rPr>
              <w:t xml:space="preserve"> z dnia 20 czerwca 2019 r. w sprawie nadzoru rynku i zgodności produktów oraz zmieniającego dyrektywę 2004/42/WE oraz rozporządzenia (WE) nr 765/2008 i (UE) nr 305/2011 (Dz. Urz. UE L 169 z 25.06.2019, str. 1, Dz. Urz. UE L 191 z 28.07.2023, str. 1, Dz. Urz. UE L 2024/1252 z 03.05.2024 oraz Dz. Urz. UE L 2024/90589 z 01.10.2024).</w:t>
            </w:r>
          </w:p>
        </w:tc>
      </w:tr>
      <w:tr w:rsidR="002307C6" w:rsidRPr="00FB76A9" w14:paraId="3C721CD3" w14:textId="77777777" w:rsidTr="00BB19F1">
        <w:trPr>
          <w:cantSplit/>
          <w:trHeight w:val="576"/>
        </w:trPr>
        <w:tc>
          <w:tcPr>
            <w:tcW w:w="5513" w:type="dxa"/>
            <w:tcBorders>
              <w:bottom w:val="single" w:sz="4" w:space="0" w:color="auto"/>
            </w:tcBorders>
            <w:shd w:val="clear" w:color="auto" w:fill="E0E0E0"/>
          </w:tcPr>
          <w:p w14:paraId="4D3DC055" w14:textId="77777777" w:rsidR="002307C6" w:rsidRPr="00FB76A9" w:rsidRDefault="002307C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hAnsi="Times New Roman" w:cs="Times New Roman"/>
                <w:b/>
                <w:bCs/>
                <w:sz w:val="24"/>
                <w:szCs w:val="24"/>
              </w:rPr>
              <w:t>WYJAŚNIENIE TERMINU WEJŚCIA W ŻYCIE PROJEKTU / PROJEKTÓW</w:t>
            </w:r>
          </w:p>
        </w:tc>
        <w:tc>
          <w:tcPr>
            <w:tcW w:w="9482" w:type="dxa"/>
            <w:tcBorders>
              <w:bottom w:val="single" w:sz="4" w:space="0" w:color="auto"/>
            </w:tcBorders>
          </w:tcPr>
          <w:p w14:paraId="55085A04" w14:textId="77777777" w:rsidR="002307C6" w:rsidRPr="00FB76A9" w:rsidRDefault="002307C6" w:rsidP="00FD5CD5">
            <w:pPr>
              <w:pStyle w:val="ODNONIKtreodnonika"/>
              <w:ind w:left="0" w:firstLine="0"/>
              <w:jc w:val="left"/>
              <w:rPr>
                <w:rFonts w:eastAsia="Times New Roman" w:cs="Times New Roman"/>
                <w:sz w:val="24"/>
                <w:szCs w:val="24"/>
              </w:rPr>
            </w:pPr>
            <w:r w:rsidRPr="00FB76A9">
              <w:rPr>
                <w:rFonts w:eastAsia="Times New Roman" w:cs="Times New Roman"/>
                <w:sz w:val="24"/>
                <w:szCs w:val="24"/>
              </w:rPr>
              <w:t>Co do zasady przewiduje się, iż zgodnie z art. 1</w:t>
            </w:r>
            <w:r w:rsidR="00D74034">
              <w:rPr>
                <w:rFonts w:eastAsia="Times New Roman" w:cs="Times New Roman"/>
                <w:sz w:val="24"/>
                <w:szCs w:val="24"/>
              </w:rPr>
              <w:t>9</w:t>
            </w:r>
            <w:r w:rsidRPr="00FB76A9">
              <w:rPr>
                <w:rFonts w:eastAsia="Times New Roman" w:cs="Times New Roman"/>
                <w:sz w:val="24"/>
                <w:szCs w:val="24"/>
              </w:rPr>
              <w:t xml:space="preserve"> projektu, </w:t>
            </w:r>
            <w:r w:rsidRPr="00FB76A9">
              <w:rPr>
                <w:rFonts w:cs="Times New Roman"/>
                <w:sz w:val="24"/>
                <w:szCs w:val="24"/>
              </w:rPr>
              <w:t>u</w:t>
            </w:r>
            <w:r w:rsidRPr="00FB76A9">
              <w:rPr>
                <w:rFonts w:eastAsia="Times New Roman" w:cs="Times New Roman"/>
                <w:sz w:val="24"/>
                <w:szCs w:val="24"/>
              </w:rPr>
              <w:t xml:space="preserve">stawa wejdzie w życie po upływie 14 dni od dnia ogłoszenia, z wyjątkami wskazanymi w </w:t>
            </w:r>
            <w:r w:rsidR="00D74034">
              <w:rPr>
                <w:rFonts w:eastAsia="Times New Roman" w:cs="Times New Roman"/>
                <w:sz w:val="24"/>
                <w:szCs w:val="24"/>
              </w:rPr>
              <w:t xml:space="preserve">art. 18 </w:t>
            </w:r>
            <w:r w:rsidRPr="00FB76A9">
              <w:rPr>
                <w:rFonts w:eastAsia="Times New Roman" w:cs="Times New Roman"/>
                <w:sz w:val="24"/>
                <w:szCs w:val="24"/>
              </w:rPr>
              <w:t>pkt 1-6.</w:t>
            </w:r>
          </w:p>
        </w:tc>
      </w:tr>
    </w:tbl>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4961"/>
        <w:gridCol w:w="66"/>
        <w:gridCol w:w="784"/>
        <w:gridCol w:w="811"/>
        <w:gridCol w:w="40"/>
        <w:gridCol w:w="5090"/>
        <w:gridCol w:w="13"/>
        <w:gridCol w:w="2268"/>
      </w:tblGrid>
      <w:tr w:rsidR="00A54745" w:rsidRPr="00FB76A9" w14:paraId="65DCE287" w14:textId="77777777" w:rsidTr="007A584D">
        <w:trPr>
          <w:trHeight w:val="151"/>
        </w:trPr>
        <w:tc>
          <w:tcPr>
            <w:tcW w:w="988" w:type="dxa"/>
            <w:shd w:val="clear" w:color="auto" w:fill="D9D9D9"/>
          </w:tcPr>
          <w:p w14:paraId="00C8AE89" w14:textId="77777777" w:rsidR="00A54745" w:rsidRPr="00FB76A9" w:rsidRDefault="00A54745"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Jedn. red. </w:t>
            </w:r>
          </w:p>
        </w:tc>
        <w:tc>
          <w:tcPr>
            <w:tcW w:w="5027" w:type="dxa"/>
            <w:gridSpan w:val="2"/>
            <w:shd w:val="clear" w:color="auto" w:fill="D9D9D9"/>
          </w:tcPr>
          <w:p w14:paraId="2DDC761E" w14:textId="77777777" w:rsidR="00A54745" w:rsidRPr="00FB76A9" w:rsidRDefault="00A54745"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Treść przepisu UE </w:t>
            </w:r>
          </w:p>
        </w:tc>
        <w:tc>
          <w:tcPr>
            <w:tcW w:w="784" w:type="dxa"/>
            <w:shd w:val="clear" w:color="auto" w:fill="D9D9D9"/>
          </w:tcPr>
          <w:p w14:paraId="7DAC2726" w14:textId="77777777" w:rsidR="00A54745" w:rsidRPr="00FB76A9" w:rsidRDefault="00A54745"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Konieczność</w:t>
            </w:r>
          </w:p>
          <w:p w14:paraId="5066E8BC" w14:textId="77777777" w:rsidR="00A54745" w:rsidRPr="00FB76A9" w:rsidRDefault="00A54745"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wdrożenia</w:t>
            </w:r>
          </w:p>
          <w:p w14:paraId="16FB4333"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404DB945" w14:textId="77777777" w:rsidR="00A54745" w:rsidRPr="00FB76A9" w:rsidRDefault="00A54745"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sz w:val="24"/>
                <w:szCs w:val="24"/>
                <w:lang w:eastAsia="pl-PL"/>
              </w:rPr>
              <w:t xml:space="preserve"> T / N</w:t>
            </w:r>
          </w:p>
        </w:tc>
        <w:tc>
          <w:tcPr>
            <w:tcW w:w="811" w:type="dxa"/>
            <w:shd w:val="clear" w:color="auto" w:fill="D9D9D9"/>
          </w:tcPr>
          <w:p w14:paraId="00C95952" w14:textId="77777777" w:rsidR="00A54745" w:rsidRPr="00FB76A9" w:rsidRDefault="00A54745"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Jedn. red. (*) </w:t>
            </w:r>
          </w:p>
        </w:tc>
        <w:tc>
          <w:tcPr>
            <w:tcW w:w="5130" w:type="dxa"/>
            <w:gridSpan w:val="2"/>
            <w:shd w:val="clear" w:color="auto" w:fill="D9D9D9"/>
          </w:tcPr>
          <w:p w14:paraId="47745CAE" w14:textId="77777777" w:rsidR="00A54745" w:rsidRPr="00FB76A9" w:rsidRDefault="00A54745"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Treść przepisu/ów projektu (*)</w:t>
            </w:r>
          </w:p>
        </w:tc>
        <w:tc>
          <w:tcPr>
            <w:tcW w:w="2281" w:type="dxa"/>
            <w:gridSpan w:val="2"/>
            <w:shd w:val="clear" w:color="auto" w:fill="D9D9D9"/>
          </w:tcPr>
          <w:p w14:paraId="56145A66" w14:textId="77777777" w:rsidR="00A54745" w:rsidRPr="00FB76A9" w:rsidRDefault="00A54745"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Uzasadnienie uwzględnienia w projekcie przepisów wykraczających poza minimalne wymogi  prawa UE (**)</w:t>
            </w:r>
          </w:p>
        </w:tc>
      </w:tr>
      <w:tr w:rsidR="00A54745" w:rsidRPr="00FB76A9" w14:paraId="4E27F156" w14:textId="77777777" w:rsidTr="007A584D">
        <w:trPr>
          <w:trHeight w:val="270"/>
        </w:trPr>
        <w:tc>
          <w:tcPr>
            <w:tcW w:w="988" w:type="dxa"/>
            <w:tcBorders>
              <w:top w:val="single" w:sz="4" w:space="0" w:color="auto"/>
              <w:left w:val="single" w:sz="4" w:space="0" w:color="auto"/>
              <w:bottom w:val="single" w:sz="4" w:space="0" w:color="auto"/>
              <w:right w:val="single" w:sz="4" w:space="0" w:color="auto"/>
            </w:tcBorders>
          </w:tcPr>
          <w:p w14:paraId="65EB4F53" w14:textId="77777777" w:rsidR="00A54745" w:rsidRPr="00FB76A9" w:rsidRDefault="00A54745"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 xml:space="preserve">Art. 1 </w:t>
            </w:r>
          </w:p>
        </w:tc>
        <w:tc>
          <w:tcPr>
            <w:tcW w:w="4961" w:type="dxa"/>
            <w:tcBorders>
              <w:top w:val="single" w:sz="4" w:space="0" w:color="auto"/>
              <w:left w:val="single" w:sz="4" w:space="0" w:color="auto"/>
              <w:bottom w:val="single" w:sz="4" w:space="0" w:color="auto"/>
              <w:right w:val="single" w:sz="4" w:space="0" w:color="auto"/>
            </w:tcBorders>
          </w:tcPr>
          <w:p w14:paraId="0F4F0DC7" w14:textId="77777777" w:rsidR="00A54745" w:rsidRPr="00FB76A9" w:rsidRDefault="00A54745" w:rsidP="00FD5CD5">
            <w:pPr>
              <w:pStyle w:val="CM4"/>
              <w:rPr>
                <w:rFonts w:eastAsia="Times New Roman"/>
                <w:lang w:eastAsia="pl-PL"/>
              </w:rPr>
            </w:pPr>
            <w:r w:rsidRPr="00FB76A9">
              <w:rPr>
                <w:rFonts w:eastAsia="Times New Roman"/>
                <w:lang w:eastAsia="pl-PL"/>
              </w:rPr>
              <w:t xml:space="preserve">„1. Celem niniejszego rozporządzenia jest poprawa funkcjonowania rynku wewnętrznego poprzez wzmocnienie nadzoru rynku produktów objętych unijnym prawodawstwem harmonizacyjnym, o których mowa w art. 2, w celu zapewnienia, aby na rynku unijnym udostępniane były wyłącznie produkty spełniające wymagania zapewniające wysoki poziom ochrony interesów publicznych, takich jak zdrowie i bezpieczeństwo w ujęciu ogólnym, zdrowie i bezpieczeństwo w miejscu pracy, ochrona konsumentów, ochrona środowiska oraz bezpieczeństwa publicznego i każdego innego interesu publicznego chronionego tym prawodawstwem. </w:t>
            </w:r>
          </w:p>
          <w:p w14:paraId="66D050F9" w14:textId="77777777" w:rsidR="00A54745" w:rsidRPr="00FB76A9" w:rsidRDefault="00A54745" w:rsidP="00FD5CD5">
            <w:pPr>
              <w:pStyle w:val="CM4"/>
              <w:rPr>
                <w:rFonts w:eastAsia="Times New Roman"/>
                <w:lang w:eastAsia="pl-PL"/>
              </w:rPr>
            </w:pPr>
            <w:r w:rsidRPr="00FB76A9">
              <w:rPr>
                <w:rFonts w:eastAsia="Times New Roman"/>
                <w:lang w:eastAsia="pl-PL"/>
              </w:rPr>
              <w:lastRenderedPageBreak/>
              <w:t xml:space="preserve">2. Niniejsze rozporządzenie ustanawia zasady i procedury dla podmiotów gospodarczych dotyczące produktów objętych określonymi przepisami unijnego prawodawstwa harmonizacyjnego oraz ustanawia ramy współpracy z podmiotami gospodarczymi. </w:t>
            </w:r>
          </w:p>
          <w:p w14:paraId="60BF5DCF" w14:textId="77777777" w:rsidR="00A54745" w:rsidRPr="00FB76A9" w:rsidRDefault="00A54745" w:rsidP="00FD5CD5">
            <w:pPr>
              <w:pStyle w:val="CM4"/>
              <w:rPr>
                <w:rFonts w:eastAsia="Times New Roman"/>
                <w:lang w:eastAsia="pl-PL"/>
              </w:rPr>
            </w:pPr>
            <w:r w:rsidRPr="00FB76A9">
              <w:rPr>
                <w:rFonts w:eastAsia="Times New Roman"/>
                <w:lang w:eastAsia="pl-PL"/>
              </w:rPr>
              <w:t>3. Niniejsze rozporządzenie zapewnia również ramy kontroli produktów wprowadzanych na rynek Unii.”</w:t>
            </w:r>
          </w:p>
        </w:tc>
        <w:tc>
          <w:tcPr>
            <w:tcW w:w="850" w:type="dxa"/>
            <w:gridSpan w:val="2"/>
            <w:tcBorders>
              <w:top w:val="single" w:sz="4" w:space="0" w:color="auto"/>
              <w:left w:val="single" w:sz="4" w:space="0" w:color="auto"/>
              <w:bottom w:val="single" w:sz="4" w:space="0" w:color="auto"/>
              <w:right w:val="single" w:sz="4" w:space="0" w:color="auto"/>
            </w:tcBorders>
          </w:tcPr>
          <w:p w14:paraId="287EC9FC"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23177EB9"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7653F32"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851" w:type="dxa"/>
            <w:gridSpan w:val="2"/>
            <w:tcBorders>
              <w:top w:val="single" w:sz="4" w:space="0" w:color="auto"/>
              <w:left w:val="single" w:sz="4" w:space="0" w:color="auto"/>
              <w:bottom w:val="single" w:sz="4" w:space="0" w:color="auto"/>
              <w:right w:val="single" w:sz="4" w:space="0" w:color="auto"/>
            </w:tcBorders>
          </w:tcPr>
          <w:p w14:paraId="62363FA6"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1 i pkt 2 lit. a i b </w:t>
            </w:r>
          </w:p>
          <w:p w14:paraId="56349F04" w14:textId="77777777" w:rsidR="00A54745" w:rsidRPr="00FB76A9" w:rsidRDefault="00CB32C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w:t>
            </w:r>
            <w:r w:rsidR="0051186D" w:rsidRPr="00FB76A9">
              <w:rPr>
                <w:rFonts w:ascii="Times New Roman" w:eastAsia="Times New Roman" w:hAnsi="Times New Roman" w:cs="Times New Roman"/>
                <w:sz w:val="24"/>
                <w:szCs w:val="24"/>
                <w:lang w:eastAsia="pl-PL"/>
              </w:rPr>
              <w:t>rt. 5</w:t>
            </w:r>
          </w:p>
          <w:p w14:paraId="3BC542E1"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19A39732"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3EC0A65"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01578522"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159B24EC"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BE434B8"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CC76B04"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09617DE7"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C27CDB9"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1E0C2500"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2F42EF7"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CBA9BE2"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1DFB2B5C"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47BB1E72"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08BD3D4"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F4A52BE"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21551E10"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96F19E3"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1640FDA6"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64F7729"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419B4007"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BF4281A"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60B36C4C"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E4E8D61"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0692A00D"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4212D615"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67ABC8C8"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444282BD"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469E5D95"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4478FD90"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0A44E62"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6A5FF3F8"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E1F605C"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14C09F83"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CB42242"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65930442"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417405A"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1B0C9783"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4D1D35C2"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4A44404"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CD246E9"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09F7436C"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6DE2337D"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19DE3787"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D04E5EB"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FF56B32"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451E3CB3"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40B6935"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4CFE95A"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2737E608"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26808D8F"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2CC379D2"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62254315"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4A8B55A5"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E616CB0"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A937C4B"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671439B6"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0DF6ED9C"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5064220"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6C23B843"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160DF19"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6C5B8631"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0E37E3EA"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112F40E2"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CD8CC68"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0426955D"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73CD39F"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38F5580"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CCFE811"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0F06A27B"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0C93F50B"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232C6EDB"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AA58273"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A8A6D24"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6B89BF30"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1E788EB9"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12081378"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ADFA847"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14782C9"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F712E70"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40F5B39"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0C2B8010"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BDC9E15"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9A97547"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5050320"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C55D6C4"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441CE582"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239D90EF"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6ECDD918"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6A0E575E"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433A8F7C"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89F55D3"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3AC47F5"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135166B6"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4DE0C64"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458E1B9D"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7C63438"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09CE2E8D"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45DC8168"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75D56BD"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12D54FFA"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1C69EFF5"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27273E15"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27856853"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43FFF093"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4CBD08A0"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0B00B812"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5A24B21"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2E28FA7F"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51E94E1"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142652A"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B2FC59C"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2BCEB34"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4981B8F"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4A66057B"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46ED12EE"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0FFC06BC"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29B1EB5"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23F5D960"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29A106A0"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2187FE4B"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93358BC"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41E02E2A"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057E37D"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6BF1145"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B065C41"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E0E21CC"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F337670"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4536CAC"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F7CCEFC"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21D84D7"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17E3080"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11179D35"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1F6B3B9"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0059A643"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0A4C1AF4"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24B2C87A"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9C1BD42"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188692D7"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DBBF5BA"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2ECEE68B"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26F33A5"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0F1D0FEB"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68F86F14"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1DCA41C3"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349941A"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68C3A779"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4FCBAE1"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E9A0F1F"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742F9BE"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F73D3ED"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9960622"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6B763ACA"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1BA3B90"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508BD79B"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1FDB3C6A"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38A95F96"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54C4D65B"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1E604B3C"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6F32FF08"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126EC5A1"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3EA05E5F"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295134C9"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2B62C76E"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07899A96"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44FC14E1"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15B9D1E9"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14B686C7"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395D3D6F"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490AAD8E"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39B0FF72"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5644909B"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1F6C5C22"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1B174551"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66CAFA68"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13F55AA6"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46A3573D"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03569D33"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2CD95F6E"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2A2ED7C1"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6217C3F4"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44C5545D"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61423CC3"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452201E5"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44AF8E1A"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1DEB421B"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6553C44C"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99E842E"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141BA1E"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418DEFD5"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D369D89"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34684D6"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362C728"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6F7F12F5"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79074181"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2668DF7C"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tc>
        <w:tc>
          <w:tcPr>
            <w:tcW w:w="5103" w:type="dxa"/>
            <w:gridSpan w:val="2"/>
            <w:tcBorders>
              <w:top w:val="single" w:sz="4" w:space="0" w:color="auto"/>
              <w:left w:val="single" w:sz="4" w:space="0" w:color="auto"/>
              <w:bottom w:val="single" w:sz="4" w:space="0" w:color="auto"/>
              <w:right w:val="single" w:sz="4" w:space="0" w:color="auto"/>
            </w:tcBorders>
          </w:tcPr>
          <w:p w14:paraId="205267FF"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lastRenderedPageBreak/>
              <w:t xml:space="preserve"> Art. 1. W ustawie z dnia 14 kwietnia 2023 r. o systemach wprowadza się następujące zmiany:</w:t>
            </w:r>
          </w:p>
          <w:p w14:paraId="146C7436" w14:textId="77777777" w:rsidR="00A54745" w:rsidRPr="00FB76A9" w:rsidRDefault="00A54745" w:rsidP="005E0F9D">
            <w:pPr>
              <w:pStyle w:val="PKTpunkt"/>
              <w:keepNext/>
              <w:numPr>
                <w:ilvl w:val="0"/>
                <w:numId w:val="1"/>
              </w:numPr>
              <w:spacing w:line="240" w:lineRule="auto"/>
              <w:jc w:val="left"/>
              <w:rPr>
                <w:rFonts w:ascii="Times New Roman" w:hAnsi="Times New Roman" w:cs="Times New Roman"/>
                <w:bCs w:val="0"/>
                <w:szCs w:val="24"/>
              </w:rPr>
            </w:pPr>
            <w:r w:rsidRPr="00FB76A9">
              <w:rPr>
                <w:rFonts w:ascii="Times New Roman" w:hAnsi="Times New Roman" w:cs="Times New Roman"/>
                <w:bCs w:val="0"/>
                <w:szCs w:val="24"/>
              </w:rPr>
              <w:t>odnośnik nr 1 otrzymuje brzmienie:</w:t>
            </w:r>
          </w:p>
          <w:p w14:paraId="1FB2F58A" w14:textId="77777777" w:rsidR="0051186D" w:rsidRPr="00FB76A9" w:rsidRDefault="00A54745" w:rsidP="00FD5CD5">
            <w:pPr>
              <w:pStyle w:val="ODNONIKtreodnonika"/>
              <w:ind w:left="78" w:hanging="65"/>
              <w:jc w:val="left"/>
              <w:rPr>
                <w:rFonts w:eastAsia="Times New Roman" w:cs="Times New Roman"/>
                <w:sz w:val="24"/>
                <w:szCs w:val="24"/>
              </w:rPr>
            </w:pPr>
            <w:r w:rsidRPr="00FB76A9">
              <w:rPr>
                <w:rFonts w:eastAsia="Times New Roman" w:cs="Times New Roman"/>
                <w:sz w:val="24"/>
                <w:szCs w:val="24"/>
              </w:rPr>
              <w:t>„</w:t>
            </w:r>
            <w:r w:rsidR="0051186D" w:rsidRPr="00FB76A9">
              <w:rPr>
                <w:rFonts w:eastAsia="Times New Roman" w:cs="Times New Roman"/>
                <w:sz w:val="24"/>
                <w:szCs w:val="24"/>
              </w:rPr>
              <w:t>Niniejsza ustawa służy stosowaniu następujących rozporządzeń Parlamentu Europejskiego i Rady (WE/UE) oraz rozporządzeń wykonawczych Komisji Europejskiej (UE):</w:t>
            </w:r>
          </w:p>
          <w:p w14:paraId="2F827245" w14:textId="77777777" w:rsidR="0051186D" w:rsidRPr="00FB76A9" w:rsidRDefault="0051186D" w:rsidP="00FD5CD5">
            <w:pPr>
              <w:pStyle w:val="ODNONIKtreodnonika"/>
              <w:ind w:left="78" w:hanging="65"/>
              <w:jc w:val="left"/>
              <w:rPr>
                <w:rFonts w:eastAsia="Times New Roman" w:cs="Times New Roman"/>
                <w:sz w:val="24"/>
                <w:szCs w:val="24"/>
              </w:rPr>
            </w:pPr>
            <w:r w:rsidRPr="00FB76A9">
              <w:rPr>
                <w:rFonts w:eastAsia="Times New Roman" w:cs="Times New Roman"/>
                <w:sz w:val="24"/>
                <w:szCs w:val="24"/>
              </w:rPr>
              <w:t>1)</w:t>
            </w:r>
            <w:r w:rsidRPr="00FB76A9">
              <w:rPr>
                <w:rFonts w:eastAsia="Times New Roman" w:cs="Times New Roman"/>
                <w:sz w:val="24"/>
                <w:szCs w:val="24"/>
              </w:rPr>
              <w:tab/>
              <w:t xml:space="preserve">rozporządzenia (WE) nr 715/2007 Parlamentu Europejskiego i Rady z dnia 20 czerwca 2007 r. w sprawie homologacji typu pojazdów silnikowych w odniesieniu do emisji zanieczyszczeń pochodzących z lekkich pojazdów pasażerskich i użytkowych (Euro 5 i Euro 6) oraz w sprawie dostępu do informacji dotyczących naprawy i utrzymania pojazdów (Dz. Urz. UE L 171 z 29.06.2007, str. 1, Dz. Urz. UE L 199 z </w:t>
            </w:r>
            <w:r w:rsidRPr="00FB76A9">
              <w:rPr>
                <w:rFonts w:eastAsia="Times New Roman" w:cs="Times New Roman"/>
                <w:sz w:val="24"/>
                <w:szCs w:val="24"/>
              </w:rPr>
              <w:lastRenderedPageBreak/>
              <w:t>28.07.2008, str. 1, Dz. Urz. UE L 188 z 18.07.2009, str. 1, Dz. Urz. UE L 158 z 16.06.2011, str. 1, Dz. Urz. UE L 142 z 01.06.2012, str. 16 oraz Dz. Urz. UE L 151 z 14.06.2018, str. 1);</w:t>
            </w:r>
          </w:p>
          <w:p w14:paraId="3A669151" w14:textId="77777777" w:rsidR="0051186D" w:rsidRPr="00FB76A9" w:rsidRDefault="0051186D" w:rsidP="00FD5CD5">
            <w:pPr>
              <w:pStyle w:val="ODNONIKtreodnonika"/>
              <w:ind w:left="78" w:hanging="65"/>
              <w:jc w:val="left"/>
              <w:rPr>
                <w:rFonts w:eastAsia="Times New Roman" w:cs="Times New Roman"/>
                <w:sz w:val="24"/>
                <w:szCs w:val="24"/>
              </w:rPr>
            </w:pPr>
            <w:r w:rsidRPr="00FB76A9">
              <w:rPr>
                <w:rFonts w:eastAsia="Times New Roman" w:cs="Times New Roman"/>
                <w:sz w:val="24"/>
                <w:szCs w:val="24"/>
              </w:rPr>
              <w:t xml:space="preserve">2) rozporządzenia Parlamentu Europejskiego i Rady (WE) nr 595/2009 z dnia 18 czerwca 2009 r. dotyczącego homologacji typu pojazdów silnikowych i silników w odniesieniu do emisji zanieczyszczeń pochodzących z pojazdów ciężarowych o dużej ładowności (Euro VI) i zmieniającego rozporządzenie (WE) nr 715/2007 i dyrektywę 2007/46/WE oraz uchylającego dyrektywy 80/1269/EWG, 2005/55/WE i 2005/78/WE (Dz. Urz. UE L 188 z 18.07.2009, str. 1, Dz. Urz. UE L 200 z 31.07.2009, str. 52, Dz. Urz. UE L 167 z 25.06.2011, str. 1, Dz. Urz. UE L 47 z 18.02.2014, str. 1, Dz. Urz. UE L 151 z 14.06.2018, str. 1 oraz Dz. Urz. UE L 198 z 25.07.2019, str. 202); </w:t>
            </w:r>
          </w:p>
          <w:p w14:paraId="0BE19883" w14:textId="77777777" w:rsidR="0051186D" w:rsidRPr="00FB76A9" w:rsidRDefault="0051186D" w:rsidP="00FD5CD5">
            <w:pPr>
              <w:pStyle w:val="ODNONIKtreodnonika"/>
              <w:ind w:left="78" w:hanging="65"/>
              <w:jc w:val="left"/>
              <w:rPr>
                <w:rFonts w:eastAsia="Times New Roman" w:cs="Times New Roman"/>
                <w:sz w:val="24"/>
                <w:szCs w:val="24"/>
              </w:rPr>
            </w:pPr>
            <w:r w:rsidRPr="00FB76A9">
              <w:rPr>
                <w:rFonts w:eastAsia="Times New Roman" w:cs="Times New Roman"/>
                <w:sz w:val="24"/>
                <w:szCs w:val="24"/>
              </w:rPr>
              <w:t xml:space="preserve">3) rozporządzenia Parlamentu Europejskiego i Rady (UE) nr 167/2013 z dnia 5 lutego 2013 r. w sprawie homologacji i nadzoru rynku pojazdów rolniczych i leśnych (Dz. Urz. UE L 60 z 02.03.2013, str. 1, Dz. Urz. UE L 364 z 18.12.2014, str. 1, Dz. Urz. UE L 252 z 16.09.2016, str. 53, Dz. Urz. UE L 277 z 13.10.2016, str. 1, Dz. Urz. UE L 140 z 06.06.2018, str. 15, Dz. Urz. UE L 91 z 29.03.2019, str. 42 oraz Dz. Urz. UE L 2024/2838 z 07.11.2024); </w:t>
            </w:r>
          </w:p>
          <w:p w14:paraId="68A48306" w14:textId="77777777" w:rsidR="0051186D" w:rsidRPr="00FB76A9" w:rsidRDefault="0051186D" w:rsidP="00FD5CD5">
            <w:pPr>
              <w:pStyle w:val="ODNONIKtreodnonika"/>
              <w:ind w:left="78" w:hanging="65"/>
              <w:jc w:val="left"/>
              <w:rPr>
                <w:rFonts w:eastAsia="Times New Roman" w:cs="Times New Roman"/>
                <w:sz w:val="24"/>
                <w:szCs w:val="24"/>
              </w:rPr>
            </w:pPr>
            <w:r w:rsidRPr="00FB76A9">
              <w:rPr>
                <w:rFonts w:eastAsia="Times New Roman" w:cs="Times New Roman"/>
                <w:sz w:val="24"/>
                <w:szCs w:val="24"/>
              </w:rPr>
              <w:lastRenderedPageBreak/>
              <w:t>4) rozporządzenia Parlamentu Europejskiego i Rady (UE) nr 168/2013 z dnia 15 stycznia 2013 r. w sprawie homologacji i nadzoru rynku pojazdów dwu– lub trzykołowych oraz czterokołowców (Dz. Urz. UE L 60 z 02.03.2013, str. 52, Dz. Urz. UE L 53 z 21.02.2014, str. 1, Dz. Urz. UE L 77 z 23.03.2016, str. 65, Dz. Urz. UE L 30 z 31.01.2019, str. 106, Dz. Urz. UE L 381 z 13.11.2020, str. 4 oraz Dz. Urz. UE L 2024/2838 z 07.11.2024);</w:t>
            </w:r>
          </w:p>
          <w:p w14:paraId="0A43682E" w14:textId="77777777" w:rsidR="0051186D" w:rsidRPr="00FB76A9" w:rsidRDefault="0051186D" w:rsidP="00FD5CD5">
            <w:pPr>
              <w:pStyle w:val="ODNONIKtreodnonika"/>
              <w:ind w:left="78" w:hanging="65"/>
              <w:jc w:val="left"/>
              <w:rPr>
                <w:rFonts w:eastAsia="Times New Roman" w:cs="Times New Roman"/>
                <w:sz w:val="24"/>
                <w:szCs w:val="24"/>
              </w:rPr>
            </w:pPr>
            <w:r w:rsidRPr="00FB76A9">
              <w:rPr>
                <w:rFonts w:eastAsia="Times New Roman" w:cs="Times New Roman"/>
                <w:sz w:val="24"/>
                <w:szCs w:val="24"/>
              </w:rPr>
              <w:t>5) rozporządzenia Parlamentu Europejskiego i Rady (UE) nr 540/2014 z dnia 16 kwietnia 2014 r. w sprawie poziomu dźwięku pojazdów silnikowych i zamiennych układów tłumiących oraz zmieniającego dyrektywę 2007/46/WE i uchylającego dyrektywę 70/157/EWG (Dz. Urz. UE L 158 z 27.05.2014, str. 131, Dz. Urz. UE L 239 z 19.09.2017, str. 3 oraz Dz. Urz. UE L 138 z 24.05.2019, str. 70);</w:t>
            </w:r>
          </w:p>
          <w:p w14:paraId="57006EDF" w14:textId="77777777" w:rsidR="0051186D" w:rsidRPr="00FB76A9" w:rsidRDefault="0051186D" w:rsidP="00FD5CD5">
            <w:pPr>
              <w:pStyle w:val="ODNONIKtreodnonika"/>
              <w:ind w:left="78" w:hanging="65"/>
              <w:jc w:val="left"/>
              <w:rPr>
                <w:rFonts w:eastAsia="Times New Roman" w:cs="Times New Roman"/>
                <w:sz w:val="24"/>
                <w:szCs w:val="24"/>
              </w:rPr>
            </w:pPr>
            <w:r w:rsidRPr="00FB76A9">
              <w:rPr>
                <w:rFonts w:eastAsia="Times New Roman" w:cs="Times New Roman"/>
                <w:sz w:val="24"/>
                <w:szCs w:val="24"/>
              </w:rPr>
              <w:t xml:space="preserve">6) rozporządzenia Parlamentu Europejskiego i Rady (UE) 2018/858 z dnia 30 maja 2018 r. w sprawie homologacji i nadzoru rynku pojazdów silnikowych i ich przyczep oraz układów, komponentów i oddzielnych zespołów technicznych przeznaczonych do tych pojazdów, zmieniającego rozporządzenie (WE) nr 715/2007 i (WE) nr 595/2009 oraz uchylającego dyrektywę 2007/46/WE (Dz. Urz. UE L 151 z 14.06.2018, str. 1, Dz. Urz. UE L 325 z 16.12.2019, str. 1, Dz. Urz. UE L 19 z 21.01.2021, str. 2, Dz. Urz. UE L 272 z 30.07.2021, str. 16, Dz. Urz. UE L 313 z 06.09.2021, str. 4, Dz. Urz. UE L 398 z </w:t>
            </w:r>
            <w:r w:rsidRPr="00FB76A9">
              <w:rPr>
                <w:rFonts w:eastAsia="Times New Roman" w:cs="Times New Roman"/>
                <w:sz w:val="24"/>
                <w:szCs w:val="24"/>
              </w:rPr>
              <w:lastRenderedPageBreak/>
              <w:t>11.11.2021, str. 29, Dz. Urz. UE L 296 z 16.11.2022, str. 1, Dz. Urz. UE L 304 z 24.11.2022, str. 103, Dz. Urz. UE L 92 z 30.03.2023, str. 30, Dz. Urz. L UE 2024/1257 z 08.05.2024 oraz Dz. Urz. UE L 2024/1610 z 06.06.2024);</w:t>
            </w:r>
          </w:p>
          <w:p w14:paraId="46AA49C3" w14:textId="77777777" w:rsidR="0051186D" w:rsidRPr="00FB76A9" w:rsidRDefault="0051186D" w:rsidP="00FD5CD5">
            <w:pPr>
              <w:pStyle w:val="ODNONIKtreodnonika"/>
              <w:ind w:left="78" w:hanging="65"/>
              <w:jc w:val="left"/>
              <w:rPr>
                <w:rFonts w:eastAsia="Times New Roman" w:cs="Times New Roman"/>
                <w:sz w:val="24"/>
                <w:szCs w:val="24"/>
              </w:rPr>
            </w:pPr>
            <w:r w:rsidRPr="00FB76A9">
              <w:rPr>
                <w:rFonts w:eastAsia="Times New Roman" w:cs="Times New Roman"/>
                <w:sz w:val="24"/>
                <w:szCs w:val="24"/>
              </w:rPr>
              <w:t xml:space="preserve">7) rozporządzenia Parlamentu Europejskiego i Rady (UE) 2019/1020 z dnia 20 czerwca 2019 r. w sprawie nadzoru rynku i zgodności produktów oraz zmieniającego dyrektywę 2004/42/WE oraz rozporządzenia (WE) nr 765/2008 i (UE) nr 305/2011 (Dz. Urz. UE L 169 z 25.06.2019, str. 1, Dz. Urz. UE L 191 z 28.07.2023, str. 1, Dz. Urz. UE L 2024/1252 z 03.05.2024 oraz Dz. Urz. UE L 2024/90589 z 01.10.2024); </w:t>
            </w:r>
          </w:p>
          <w:p w14:paraId="0DDC9522" w14:textId="77777777" w:rsidR="0051186D" w:rsidRPr="00FB76A9" w:rsidRDefault="0051186D" w:rsidP="00FD5CD5">
            <w:pPr>
              <w:pStyle w:val="ODNONIKtreodnonika"/>
              <w:ind w:left="78" w:hanging="65"/>
              <w:jc w:val="left"/>
              <w:rPr>
                <w:rFonts w:eastAsia="Times New Roman" w:cs="Times New Roman"/>
                <w:sz w:val="24"/>
                <w:szCs w:val="24"/>
              </w:rPr>
            </w:pPr>
            <w:r w:rsidRPr="00FB76A9">
              <w:rPr>
                <w:rFonts w:eastAsia="Times New Roman" w:cs="Times New Roman"/>
                <w:sz w:val="24"/>
                <w:szCs w:val="24"/>
              </w:rPr>
              <w:t xml:space="preserve">8) rozporządzenia Parlamentu Europejskiego i Rady (UE) 2019/2144 z dnia 27 listopada 2019 r. w sprawie wymogów dotyczących homologacji typu pojazdów silnikowych i ich przyczep oraz układów, komponentów i oddzielnych zespołów technicznych przeznaczonych do tych pojazdów, w odniesieniu do ich ogólnego bezpieczeństwa oraz ochrony osób znajdujących się w pojeździe i niechronionych uczestników ruchu drogowego, zmieniającego rozporządzenie Parlamentu Europejskiego i Rady (UE) 2018/858 oraz uchylającego rozporządzenia Parlamentu Europejskiego i Rady (WE) nr 78/2009, (WE) nr 79/2009 i (WE) nr 661/2009 oraz rozporządzenia Komisji (WE) nr 631/2009, (UE) nr 406/2010, (UE) nr 672/2010, (UE) nr 1003/2010, (UE) nr 1005/2010, (UE) nr 1008/2010, (UE) nr </w:t>
            </w:r>
            <w:r w:rsidRPr="00FB76A9">
              <w:rPr>
                <w:rFonts w:eastAsia="Times New Roman" w:cs="Times New Roman"/>
                <w:sz w:val="24"/>
                <w:szCs w:val="24"/>
              </w:rPr>
              <w:lastRenderedPageBreak/>
              <w:t>1009/2010, (UE) nr 19/2011, (UE) nr 109/2011, (UE) nr 458/2011, (UE) nr 65/2012, (UE) nr 130/2012, (UE) nr 347/2012, (UE) nr 351/2012, (UE) nr 1230/2012 i (UE) 2015/166 (Dz. Urz. UE L 325 z 16.12.2019, str. 1, Dz. Urz. UE L 272 z 30.07.2021, str. 11, Dz. Urz. UE L 292 z 16.08.2021, str. 4, Dz. Urz. UE L 398 z 11.11.2021, str. 29, Dz. Urz. UE L 409 z 17.11.2021, str. 1, Dz. Urz. UE L 107 z 06.04.2022, str. 18, Dz. Urz. UE L 213 z 16.08.2022, str. 1 oraz Dz. Urz. UE L 2023/2590 z 22.11.2023);</w:t>
            </w:r>
          </w:p>
          <w:p w14:paraId="62520447" w14:textId="77777777" w:rsidR="0051186D" w:rsidRPr="00FB76A9" w:rsidRDefault="0051186D" w:rsidP="00FD5CD5">
            <w:pPr>
              <w:pStyle w:val="ODNONIKtreodnonika"/>
              <w:ind w:left="78" w:hanging="65"/>
              <w:jc w:val="left"/>
              <w:rPr>
                <w:rFonts w:eastAsia="Times New Roman" w:cs="Times New Roman"/>
                <w:sz w:val="24"/>
                <w:szCs w:val="24"/>
              </w:rPr>
            </w:pPr>
            <w:r w:rsidRPr="00FB76A9">
              <w:rPr>
                <w:rFonts w:eastAsia="Times New Roman" w:cs="Times New Roman"/>
                <w:sz w:val="24"/>
                <w:szCs w:val="24"/>
              </w:rPr>
              <w:t>9) rozporządzenia wykonawczego Komisji (UE) 2021/133 z dnia 4 lutego 2021 r. w sprawie wykonania rozporządzenia Parlamentu Europejskiego i Rady (UE) 2018/858 w odniesieniu do podstawowego formatu, struktury i środków wymiany danych dotyczących świadectw zgodności w formacie elektronicznym (Dz. Urz. UE L 42 z 05.02.2021, str. 1, Dz. Urz. UE L 68 z 03.03.2022, str. 22 oraz Dz. Urz. UE L 2024/1061 z 11.04.2024);</w:t>
            </w:r>
          </w:p>
          <w:p w14:paraId="7F7B0A34" w14:textId="77777777" w:rsidR="00A54745" w:rsidRPr="00FB76A9" w:rsidRDefault="0051186D" w:rsidP="00FD5CD5">
            <w:pPr>
              <w:pStyle w:val="ODNONIKtreodnonika"/>
              <w:ind w:left="78" w:hanging="65"/>
              <w:jc w:val="left"/>
              <w:rPr>
                <w:rFonts w:eastAsia="Times New Roman" w:cs="Times New Roman"/>
                <w:sz w:val="24"/>
                <w:szCs w:val="24"/>
              </w:rPr>
            </w:pPr>
            <w:r w:rsidRPr="00FB76A9">
              <w:rPr>
                <w:rFonts w:eastAsia="Times New Roman" w:cs="Times New Roman"/>
                <w:sz w:val="24"/>
                <w:szCs w:val="24"/>
              </w:rPr>
              <w:t>10) rozporządzenia wykonawczego Komisji (UE) 2022/163 z dnia 7 lutego 2022 r. ustanawiającego przepisy dotyczące stosowania rozporządzenia Parlamentu Europejskiego i Rady (UE) 2018/858 w odniesieniu do wymogów funkcjonalnych dotyczących nadzoru rynku w zakresie pojazdów, układów, komponentów i oddzielnych zespołów technicznych (Dz. Urz. UE L 27 z 08.02.2022, str. 1)</w:t>
            </w:r>
            <w:r w:rsidR="00CB6E08" w:rsidRPr="00FB76A9">
              <w:rPr>
                <w:rFonts w:eastAsia="Times New Roman" w:cs="Times New Roman"/>
                <w:sz w:val="24"/>
                <w:szCs w:val="24"/>
              </w:rPr>
              <w:t>;</w:t>
            </w:r>
          </w:p>
          <w:p w14:paraId="2E437B1B" w14:textId="77777777" w:rsidR="00CB6E08" w:rsidRPr="00FB76A9" w:rsidRDefault="00CB6E08" w:rsidP="00FD5CD5">
            <w:pPr>
              <w:pStyle w:val="ODNONIKtreodnonika"/>
              <w:ind w:left="78" w:hanging="65"/>
              <w:jc w:val="left"/>
              <w:rPr>
                <w:rFonts w:eastAsia="Times New Roman" w:cs="Times New Roman"/>
                <w:sz w:val="24"/>
                <w:szCs w:val="24"/>
              </w:rPr>
            </w:pPr>
            <w:r w:rsidRPr="00FB76A9">
              <w:rPr>
                <w:rFonts w:eastAsia="Times New Roman" w:cs="Times New Roman"/>
                <w:sz w:val="24"/>
                <w:szCs w:val="24"/>
              </w:rPr>
              <w:lastRenderedPageBreak/>
              <w:t>11)</w:t>
            </w:r>
            <w:r w:rsidRPr="00FB76A9">
              <w:rPr>
                <w:rFonts w:eastAsia="Times New Roman" w:cs="Times New Roman"/>
                <w:sz w:val="24"/>
                <w:szCs w:val="24"/>
              </w:rPr>
              <w:tab/>
              <w:t>rozporządzenia Parlamentu Europejskiego i Rady (UE) 2024/1257 z dnia 24 kwietnia 2024 r. w sprawie homologacji typu pojazdów silnikowych i silników oraz układów, komponentów i oddzielnych zespołów technicznych przeznaczonych do takich pojazdów, w odniesieniu do emisji i trwałości akumulatora (Euro 7), zmieniającego rozporządzenie Parlamentu Europejskiego i Rady (UE) 2018/858 oraz uchylającego rozporządzenie (WE) nr 715/2007 Parlamentu Europejskiego i Rady i rozporządzenie Parlamentu Europejskiego i Rady (WE) nr 595/2009, rozporządzenie Komisji (UE) nr 582/2011, rozporządzenie Komisji (UE) 2017/1151, rozporządzenie Komisji (UE) 2017/2400 oraz rozporządzenie Komisji (UE) 2022/1362 (Dz. Urz. UE L 1257 z dnia 08.05.2024)”;”</w:t>
            </w:r>
          </w:p>
          <w:p w14:paraId="6DD68B5B"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AAD0603" w14:textId="77777777" w:rsidR="0051186D" w:rsidRPr="00FB76A9" w:rsidRDefault="00A5474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w:t>
            </w:r>
            <w:r w:rsidR="0051186D" w:rsidRPr="00FB76A9">
              <w:rPr>
                <w:rFonts w:ascii="Times New Roman" w:eastAsia="Times New Roman" w:hAnsi="Times New Roman" w:cs="Times New Roman"/>
                <w:sz w:val="24"/>
                <w:szCs w:val="24"/>
                <w:lang w:eastAsia="pl-PL"/>
              </w:rPr>
              <w:t>a)</w:t>
            </w:r>
            <w:r w:rsidR="00FF7C78" w:rsidRPr="00FB76A9">
              <w:rPr>
                <w:rFonts w:ascii="Times New Roman" w:eastAsia="Times New Roman" w:hAnsi="Times New Roman" w:cs="Times New Roman"/>
                <w:sz w:val="24"/>
                <w:szCs w:val="24"/>
                <w:lang w:eastAsia="pl-PL"/>
              </w:rPr>
              <w:t xml:space="preserve"> </w:t>
            </w:r>
            <w:r w:rsidR="0051186D" w:rsidRPr="00FB76A9">
              <w:rPr>
                <w:rFonts w:ascii="Times New Roman" w:eastAsia="Times New Roman" w:hAnsi="Times New Roman" w:cs="Times New Roman"/>
                <w:sz w:val="24"/>
                <w:szCs w:val="24"/>
                <w:lang w:eastAsia="pl-PL"/>
              </w:rPr>
              <w:t>w ust. 1 w pkt 11 kropkę zastępuje się średnikiem i dodaje się pkt 12 w brzmieniu:</w:t>
            </w:r>
          </w:p>
          <w:p w14:paraId="3ACC86EB" w14:textId="77777777" w:rsidR="0051186D" w:rsidRPr="00FB76A9" w:rsidRDefault="0051186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„12)</w:t>
            </w:r>
            <w:r w:rsidRPr="00FB76A9">
              <w:rPr>
                <w:rFonts w:ascii="Times New Roman" w:eastAsia="Times New Roman" w:hAnsi="Times New Roman" w:cs="Times New Roman"/>
                <w:sz w:val="24"/>
                <w:szCs w:val="24"/>
                <w:lang w:eastAsia="pl-PL"/>
              </w:rPr>
              <w:tab/>
              <w:t>nakładanie administracyjnych kar pieniężnych za naruszenie obowiązków wynikających z ustawy oraz:</w:t>
            </w:r>
          </w:p>
          <w:p w14:paraId="5360B971" w14:textId="77777777" w:rsidR="0051186D" w:rsidRPr="00FB76A9" w:rsidRDefault="0051186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w:t>
            </w:r>
            <w:r w:rsidR="00FF7C78"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rozporządzenia Parlamentu Europejskiego i Rady (UE) nr 167/2013 z dnia 5 lutego 2013 r. w sprawie homologacji i nadzoru rynku pojazdów rolniczych i leśnych (Dz. Urz. UE L 60 z 02.03.2013, str. 1, z późn. zm. )), zwanego dalej „rozporządzeniem 167/2013”,</w:t>
            </w:r>
          </w:p>
          <w:p w14:paraId="40B6F63F" w14:textId="77777777" w:rsidR="0051186D" w:rsidRPr="00FB76A9" w:rsidRDefault="0051186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b)</w:t>
            </w:r>
            <w:r w:rsidR="00FF7C78"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 xml:space="preserve">rozporządzenia Parlamentu Europejskiego i Rady (UE) nr 168/2013 z dnia 15 stycznia 2013 r. </w:t>
            </w:r>
            <w:r w:rsidRPr="00FB76A9">
              <w:rPr>
                <w:rFonts w:ascii="Times New Roman" w:eastAsia="Times New Roman" w:hAnsi="Times New Roman" w:cs="Times New Roman"/>
                <w:sz w:val="24"/>
                <w:szCs w:val="24"/>
                <w:lang w:eastAsia="pl-PL"/>
              </w:rPr>
              <w:lastRenderedPageBreak/>
              <w:t>w sprawie homologacji i nadzoru rynku pojazdów dwu– lub trzykołowych oraz czterokołowców (Dz. Urz. UE L 60 z 02.03.2013, str. 52, z późn. zm. )), zwanego dalej „rozporządzeniem 168/2013”,</w:t>
            </w:r>
          </w:p>
          <w:p w14:paraId="4611B2B1" w14:textId="77777777" w:rsidR="0051186D" w:rsidRPr="00FB76A9" w:rsidRDefault="0051186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c) </w:t>
            </w:r>
            <w:r w:rsidR="00FF7C78"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rozporządzenia Parlamentu Europejskiego i Rady (UE) 2018/858 z dnia 30 maja 2018 r. w sprawie homologacji i nadzoru rynku pojazdów silnikowych i ich przyczep oraz układów, komponentów i oddzielnych zespołów technicznych przeznaczonych do tych pojazdów, zmieniającego rozporządzenie (WE) nr 715/2007 i (WE) nr 595/2009 oraz uchylającego dyrektywę 2007/46/WE (Dz. Urz. UE L 151 z 14.06.2018, str. 1, z późn. zm. )), zwanego dalej „rozporządzeniem 2018/858”,</w:t>
            </w:r>
          </w:p>
          <w:p w14:paraId="3001080B" w14:textId="77777777" w:rsidR="0051186D" w:rsidRPr="00FB76A9" w:rsidRDefault="0051186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d) </w:t>
            </w:r>
            <w:r w:rsidR="00FF7C78"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rozporządzenia Parlamentu Europejskiego i Rady (UE) 2019/1020 z dnia 20 czerwca 2019 r. w sprawie nadzoru rynku i zgodności produktów oraz zmieniające dyrektywę 2004/42/WE oraz rozporządzenia (WE) nr 765/2008 i (UE) nr 305/2011 (Dz. Urz. UE L 169 z 25.06.2019, str. 1, z późn. zm. )), zwanego dalej „rozporządzeniem 2019/2010”,</w:t>
            </w:r>
          </w:p>
          <w:p w14:paraId="329E5C5F" w14:textId="77777777" w:rsidR="0051186D" w:rsidRPr="00FB76A9" w:rsidRDefault="0051186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e) </w:t>
            </w:r>
            <w:r w:rsidR="00FF7C78"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aktów wymienionych w rozporządzeniach, o których mowa w lit. a–d oraz aktów wydanych na podstawie tych rozporządzeń,</w:t>
            </w:r>
          </w:p>
          <w:p w14:paraId="004A8235" w14:textId="77777777" w:rsidR="0051186D" w:rsidRPr="00FB76A9" w:rsidRDefault="0051186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f) regulaminów ONZ, o których mowa w art. 2 ust. 1 pkt 34, zwanych dalej „regulaminami ONZ”,</w:t>
            </w:r>
          </w:p>
          <w:p w14:paraId="4571C8A0" w14:textId="77777777" w:rsidR="0051186D" w:rsidRPr="00FB76A9" w:rsidRDefault="0051186D" w:rsidP="00FD5CD5">
            <w:pPr>
              <w:spacing w:after="0" w:line="240" w:lineRule="auto"/>
              <w:rPr>
                <w:rFonts w:ascii="Times New Roman" w:eastAsia="Times New Roman" w:hAnsi="Times New Roman" w:cs="Times New Roman"/>
                <w:sz w:val="24"/>
                <w:szCs w:val="24"/>
                <w:lang w:eastAsia="pl-PL"/>
              </w:rPr>
            </w:pPr>
          </w:p>
          <w:p w14:paraId="392A83C2" w14:textId="77777777" w:rsidR="0051186D" w:rsidRPr="00FB76A9" w:rsidRDefault="0051186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b) ust. 2 otrzymuje brzmienie:</w:t>
            </w:r>
          </w:p>
          <w:p w14:paraId="2F0D8557" w14:textId="77777777" w:rsidR="00A54745" w:rsidRPr="00FB76A9" w:rsidRDefault="0051186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„2. Ustawa określa organ nadzoru rynku oraz zasady funkcjonowania systemu nadzoru rynku w </w:t>
            </w:r>
            <w:r w:rsidRPr="00FB76A9">
              <w:rPr>
                <w:rFonts w:ascii="Times New Roman" w:eastAsia="Times New Roman" w:hAnsi="Times New Roman" w:cs="Times New Roman"/>
                <w:sz w:val="24"/>
                <w:szCs w:val="24"/>
                <w:lang w:eastAsia="pl-PL"/>
              </w:rPr>
              <w:lastRenderedPageBreak/>
              <w:t>odniesieniu do pojazdów, przedmiotów wyposażenia i części.”,</w:t>
            </w:r>
            <w:r w:rsidR="00A54745" w:rsidRPr="00FB76A9">
              <w:rPr>
                <w:rFonts w:ascii="Times New Roman" w:eastAsia="Times New Roman" w:hAnsi="Times New Roman" w:cs="Times New Roman"/>
                <w:sz w:val="24"/>
                <w:szCs w:val="24"/>
                <w:lang w:eastAsia="pl-PL"/>
              </w:rPr>
              <w:t>”</w:t>
            </w:r>
          </w:p>
          <w:p w14:paraId="34C1289B" w14:textId="77777777" w:rsidR="002C6CE0" w:rsidRPr="00FB76A9" w:rsidRDefault="002C6CE0" w:rsidP="00FD5CD5">
            <w:pPr>
              <w:spacing w:after="0" w:line="240" w:lineRule="auto"/>
              <w:rPr>
                <w:rFonts w:ascii="Times New Roman" w:eastAsia="Times New Roman" w:hAnsi="Times New Roman" w:cs="Times New Roman"/>
                <w:sz w:val="24"/>
                <w:szCs w:val="24"/>
                <w:lang w:eastAsia="pl-PL"/>
              </w:rPr>
            </w:pPr>
          </w:p>
          <w:p w14:paraId="713F9F84" w14:textId="77777777" w:rsidR="0051186D" w:rsidRPr="00FB76A9" w:rsidRDefault="00A54745" w:rsidP="00FD5CD5">
            <w:pPr>
              <w:pStyle w:val="ARTartustawynprozporzdzenia"/>
              <w:keepNext/>
              <w:spacing w:line="240" w:lineRule="auto"/>
              <w:ind w:firstLine="0"/>
              <w:jc w:val="left"/>
              <w:rPr>
                <w:rFonts w:ascii="Times New Roman" w:hAnsi="Times New Roman" w:cs="Times New Roman"/>
                <w:szCs w:val="24"/>
              </w:rPr>
            </w:pPr>
            <w:r w:rsidRPr="00FB76A9">
              <w:rPr>
                <w:rStyle w:val="Ppogrubienie"/>
                <w:rFonts w:ascii="Times New Roman" w:hAnsi="Times New Roman" w:cs="Times New Roman"/>
                <w:b w:val="0"/>
                <w:szCs w:val="24"/>
              </w:rPr>
              <w:t>„Art. </w:t>
            </w:r>
            <w:r w:rsidR="00CB6E08" w:rsidRPr="00FB76A9">
              <w:rPr>
                <w:rStyle w:val="Ppogrubienie"/>
                <w:rFonts w:ascii="Times New Roman" w:hAnsi="Times New Roman" w:cs="Times New Roman"/>
                <w:b w:val="0"/>
                <w:szCs w:val="24"/>
              </w:rPr>
              <w:t>4</w:t>
            </w:r>
            <w:r w:rsidRPr="00FB76A9">
              <w:rPr>
                <w:rStyle w:val="Ppogrubienie"/>
                <w:rFonts w:ascii="Times New Roman" w:hAnsi="Times New Roman" w:cs="Times New Roman"/>
                <w:b w:val="0"/>
                <w:szCs w:val="24"/>
              </w:rPr>
              <w:t>.</w:t>
            </w:r>
            <w:r w:rsidRPr="00FB76A9">
              <w:rPr>
                <w:rStyle w:val="Ppogrubienie"/>
                <w:rFonts w:ascii="Times New Roman" w:hAnsi="Times New Roman" w:cs="Times New Roman"/>
                <w:szCs w:val="24"/>
              </w:rPr>
              <w:t xml:space="preserve"> </w:t>
            </w:r>
            <w:r w:rsidR="0051186D" w:rsidRPr="00FB76A9">
              <w:rPr>
                <w:rFonts w:ascii="Times New Roman" w:hAnsi="Times New Roman" w:cs="Times New Roman"/>
                <w:szCs w:val="24"/>
              </w:rPr>
              <w:t xml:space="preserve">W ustawie z dnia 21 grudnia 2000 r. o dozorze technicznym (Dz. U. z 2024 r. poz. 1194 oraz z 2026 r. poz. 252) w odnośniku do tytułu ustawy dodaje się zdanie drugie w brzmieniu: </w:t>
            </w:r>
          </w:p>
          <w:p w14:paraId="30D789A8" w14:textId="77777777" w:rsidR="00A54745" w:rsidRPr="00FB76A9" w:rsidRDefault="0051186D" w:rsidP="00FD5CD5">
            <w:pPr>
              <w:pStyle w:val="ARTartustawynprozporzdzenia"/>
              <w:keepNext/>
              <w:spacing w:before="0" w:line="240" w:lineRule="auto"/>
              <w:ind w:firstLine="0"/>
              <w:jc w:val="left"/>
              <w:rPr>
                <w:rFonts w:ascii="Times New Roman" w:hAnsi="Times New Roman" w:cs="Times New Roman"/>
                <w:szCs w:val="24"/>
              </w:rPr>
            </w:pPr>
            <w:r w:rsidRPr="00FB76A9">
              <w:rPr>
                <w:rFonts w:ascii="Times New Roman" w:hAnsi="Times New Roman" w:cs="Times New Roman"/>
                <w:szCs w:val="24"/>
              </w:rPr>
              <w:t>„Niniejsza ustawa służy stosowaniu rozporządzenia Parlamentu Europejskiego i Rady (UE) 2019/1020 z dnia 20 czerwca 2019 r. w sprawie nadzoru rynku i zgodności produktów oraz zmieniającego dyrektywę 2004/42/WE oraz rozporządzenia (WE) nr 765/2008 i (UE) nr 305/2011 (Dz. Urz. UE L 169 z 25.06.2019, str. 1, Dz. Urz. UE L 191 z 28.07.2023, str. 1, Dz. Urz. UE L 2024/1252 z 03.05.2024 oraz Dz. Urz. UE L 2024/90589 z 01.10.2024).</w:t>
            </w:r>
            <w:r w:rsidR="00A54745" w:rsidRPr="00FB76A9">
              <w:rPr>
                <w:rFonts w:ascii="Times New Roman" w:hAnsi="Times New Roman" w:cs="Times New Roman"/>
                <w:szCs w:val="24"/>
              </w:rPr>
              <w:t>”</w:t>
            </w:r>
          </w:p>
        </w:tc>
        <w:tc>
          <w:tcPr>
            <w:tcW w:w="2268" w:type="dxa"/>
            <w:tcBorders>
              <w:top w:val="single" w:sz="4" w:space="0" w:color="auto"/>
              <w:left w:val="single" w:sz="4" w:space="0" w:color="auto"/>
              <w:bottom w:val="single" w:sz="4" w:space="0" w:color="auto"/>
              <w:right w:val="single" w:sz="4" w:space="0" w:color="auto"/>
            </w:tcBorders>
          </w:tcPr>
          <w:p w14:paraId="57C8D1DD" w14:textId="77777777" w:rsidR="00A54745" w:rsidRPr="00FB76A9" w:rsidRDefault="00A54745" w:rsidP="00FD5CD5">
            <w:pPr>
              <w:spacing w:after="0" w:line="240" w:lineRule="auto"/>
              <w:ind w:right="3104"/>
              <w:rPr>
                <w:rFonts w:ascii="Times New Roman" w:eastAsia="Times New Roman" w:hAnsi="Times New Roman" w:cs="Times New Roman"/>
                <w:sz w:val="24"/>
                <w:szCs w:val="24"/>
                <w:lang w:eastAsia="pl-PL"/>
              </w:rPr>
            </w:pPr>
          </w:p>
        </w:tc>
      </w:tr>
      <w:tr w:rsidR="00A54745" w:rsidRPr="00FB76A9" w14:paraId="70CD0C4D" w14:textId="77777777" w:rsidTr="002D5DFD">
        <w:trPr>
          <w:trHeight w:val="2820"/>
        </w:trPr>
        <w:tc>
          <w:tcPr>
            <w:tcW w:w="988" w:type="dxa"/>
            <w:tcBorders>
              <w:top w:val="single" w:sz="4" w:space="0" w:color="auto"/>
              <w:left w:val="single" w:sz="4" w:space="0" w:color="auto"/>
              <w:bottom w:val="single" w:sz="4" w:space="0" w:color="auto"/>
              <w:right w:val="single" w:sz="4" w:space="0" w:color="auto"/>
            </w:tcBorders>
          </w:tcPr>
          <w:p w14:paraId="6D625937" w14:textId="77777777" w:rsidR="00A54745" w:rsidRPr="00FB76A9" w:rsidRDefault="00A54745"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lastRenderedPageBreak/>
              <w:t xml:space="preserve">Art. 3 pkt </w:t>
            </w:r>
          </w:p>
          <w:p w14:paraId="71057F2D" w14:textId="77777777" w:rsidR="00A54745" w:rsidRPr="00FB76A9" w:rsidRDefault="00A54745"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 xml:space="preserve">1-4, </w:t>
            </w:r>
          </w:p>
          <w:p w14:paraId="7AECC646" w14:textId="77777777" w:rsidR="00A54745" w:rsidRPr="00FB76A9" w:rsidRDefault="00A54745"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 xml:space="preserve">pkt 13 i </w:t>
            </w:r>
          </w:p>
          <w:p w14:paraId="687F5F0B"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b/>
                <w:sz w:val="24"/>
                <w:szCs w:val="24"/>
                <w:lang w:eastAsia="pl-PL"/>
              </w:rPr>
              <w:t>pkt 21</w:t>
            </w:r>
            <w:r w:rsidRPr="00FB76A9">
              <w:rPr>
                <w:rFonts w:ascii="Times New Roman" w:eastAsia="Times New Roman" w:hAnsi="Times New Roman" w:cs="Times New Roman"/>
                <w:sz w:val="24"/>
                <w:szCs w:val="24"/>
                <w:lang w:eastAsia="pl-PL"/>
              </w:rPr>
              <w:t xml:space="preserve"> </w:t>
            </w:r>
          </w:p>
        </w:tc>
        <w:tc>
          <w:tcPr>
            <w:tcW w:w="4961" w:type="dxa"/>
            <w:tcBorders>
              <w:top w:val="single" w:sz="4" w:space="0" w:color="auto"/>
              <w:left w:val="single" w:sz="4" w:space="0" w:color="auto"/>
              <w:bottom w:val="single" w:sz="4" w:space="0" w:color="auto"/>
              <w:right w:val="single" w:sz="4" w:space="0" w:color="auto"/>
            </w:tcBorders>
          </w:tcPr>
          <w:p w14:paraId="796E0D52"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„1) „udostępnienie na rynku” oznacza dostarczenie produktu do celów dystrybucji, konsumpcji lub używania na rynku Unii w ramach działalności handlowej, odpłatnie lub nieodpłatnie; </w:t>
            </w:r>
          </w:p>
          <w:p w14:paraId="0E020B50"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2) „wprowadzenie do obrotu” oznacza udostępnienie produktu na rynku Unii po raz pierwszy; </w:t>
            </w:r>
          </w:p>
          <w:p w14:paraId="7F78ADBD"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3) „nadzór rynku” oznacza czynności wykonywane i środki stosowane przez organy nadzoru rynku w celu zapewnienia, aby produkty spełniały wymagania określone w mającym zastosowanie unijnym prawodawstwie harmonizacyjnym oraz w celu zapewnienia </w:t>
            </w:r>
            <w:r w:rsidRPr="00FB76A9">
              <w:rPr>
                <w:rFonts w:ascii="Times New Roman" w:eastAsia="Times New Roman" w:hAnsi="Times New Roman" w:cs="Times New Roman"/>
                <w:sz w:val="24"/>
                <w:szCs w:val="24"/>
                <w:lang w:eastAsia="pl-PL"/>
              </w:rPr>
              <w:lastRenderedPageBreak/>
              <w:t>ochrony interesu publicznego określonego w tym prawodawstwie;</w:t>
            </w:r>
          </w:p>
          <w:p w14:paraId="53AE15E8"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588B5500"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4) „organ nadzoru rynku” oznacza organ wyznaczony przez państwo członkowskie na podstawie art. 10 jako odpowiedzialny za sprawowanie nadzoru rynku na terytorium tego państwa członkowskiego;”</w:t>
            </w:r>
          </w:p>
          <w:p w14:paraId="7448B42B"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 (…) </w:t>
            </w:r>
          </w:p>
          <w:p w14:paraId="2434C74A"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17CE2A7E" w14:textId="77777777" w:rsidR="00A54745" w:rsidRPr="00FB76A9" w:rsidRDefault="00A54745" w:rsidP="00FD5CD5">
            <w:pPr>
              <w:spacing w:after="0" w:line="240" w:lineRule="auto"/>
              <w:rPr>
                <w:rFonts w:ascii="Times New Roman" w:hAnsi="Times New Roman" w:cs="Times New Roman"/>
                <w:sz w:val="24"/>
                <w:szCs w:val="24"/>
              </w:rPr>
            </w:pPr>
          </w:p>
          <w:p w14:paraId="5B40D79F" w14:textId="77777777" w:rsidR="00A54745" w:rsidRPr="00FB76A9" w:rsidRDefault="00A54745" w:rsidP="00FD5CD5">
            <w:pPr>
              <w:spacing w:after="0" w:line="240" w:lineRule="auto"/>
              <w:rPr>
                <w:rFonts w:ascii="Times New Roman" w:hAnsi="Times New Roman" w:cs="Times New Roman"/>
                <w:sz w:val="24"/>
                <w:szCs w:val="24"/>
              </w:rPr>
            </w:pPr>
          </w:p>
          <w:p w14:paraId="619CE346" w14:textId="77777777" w:rsidR="00A54745" w:rsidRPr="00FB76A9" w:rsidRDefault="00A54745" w:rsidP="00FD5CD5">
            <w:pPr>
              <w:spacing w:after="0" w:line="240" w:lineRule="auto"/>
              <w:rPr>
                <w:rFonts w:ascii="Times New Roman" w:hAnsi="Times New Roman" w:cs="Times New Roman"/>
                <w:sz w:val="24"/>
                <w:szCs w:val="24"/>
              </w:rPr>
            </w:pPr>
          </w:p>
          <w:p w14:paraId="5AC7DF93" w14:textId="77777777" w:rsidR="00A54745" w:rsidRPr="00FB76A9" w:rsidRDefault="00A54745" w:rsidP="00FD5CD5">
            <w:pPr>
              <w:spacing w:after="0" w:line="240" w:lineRule="auto"/>
              <w:rPr>
                <w:rFonts w:ascii="Times New Roman" w:hAnsi="Times New Roman" w:cs="Times New Roman"/>
                <w:sz w:val="24"/>
                <w:szCs w:val="24"/>
              </w:rPr>
            </w:pPr>
          </w:p>
          <w:p w14:paraId="40D900DD" w14:textId="77777777" w:rsidR="00A54745" w:rsidRPr="00FB76A9" w:rsidRDefault="00A54745" w:rsidP="00FD5CD5">
            <w:pPr>
              <w:spacing w:after="0" w:line="240" w:lineRule="auto"/>
              <w:rPr>
                <w:rFonts w:ascii="Times New Roman" w:hAnsi="Times New Roman" w:cs="Times New Roman"/>
                <w:sz w:val="24"/>
                <w:szCs w:val="24"/>
              </w:rPr>
            </w:pPr>
          </w:p>
          <w:p w14:paraId="6002FECB" w14:textId="77777777" w:rsidR="00FB66A0" w:rsidRDefault="00FB66A0" w:rsidP="00FD5CD5">
            <w:pPr>
              <w:spacing w:after="0" w:line="240" w:lineRule="auto"/>
              <w:rPr>
                <w:rFonts w:ascii="Times New Roman" w:hAnsi="Times New Roman" w:cs="Times New Roman"/>
                <w:sz w:val="24"/>
                <w:szCs w:val="24"/>
              </w:rPr>
            </w:pPr>
          </w:p>
          <w:p w14:paraId="6DF589C9" w14:textId="77777777" w:rsidR="00FB66A0" w:rsidRDefault="00FB66A0" w:rsidP="00FD5CD5">
            <w:pPr>
              <w:spacing w:after="0" w:line="240" w:lineRule="auto"/>
              <w:rPr>
                <w:rFonts w:ascii="Times New Roman" w:hAnsi="Times New Roman" w:cs="Times New Roman"/>
                <w:sz w:val="24"/>
                <w:szCs w:val="24"/>
              </w:rPr>
            </w:pPr>
          </w:p>
          <w:p w14:paraId="7FB3CE44" w14:textId="77777777" w:rsidR="00FB66A0" w:rsidRPr="001038FF" w:rsidRDefault="001038FF" w:rsidP="00FD5CD5">
            <w:pPr>
              <w:spacing w:after="0" w:line="240" w:lineRule="auto"/>
              <w:rPr>
                <w:rFonts w:ascii="Times New Roman" w:eastAsia="Times New Roman" w:hAnsi="Times New Roman" w:cs="Times New Roman"/>
                <w:sz w:val="24"/>
                <w:szCs w:val="24"/>
                <w:lang w:eastAsia="pl-PL"/>
              </w:rPr>
            </w:pPr>
            <w:r w:rsidRPr="001038FF">
              <w:rPr>
                <w:rFonts w:ascii="Times New Roman" w:eastAsia="Times New Roman" w:hAnsi="Times New Roman" w:cs="Times New Roman"/>
                <w:sz w:val="24"/>
                <w:szCs w:val="24"/>
                <w:lang w:eastAsia="pl-PL"/>
              </w:rPr>
              <w:t xml:space="preserve">14) „dostawca usług społeczeństwa informacyjnego” oznacza dostawcę usługi zdefiniowanej w art. 1 ust. 1 lit. b) dyrektywy Parlamentu Europejskiego i Rady (UE) 2015/1535 </w:t>
            </w:r>
          </w:p>
          <w:p w14:paraId="2FFCF66C" w14:textId="77777777" w:rsidR="001038FF" w:rsidRDefault="001038FF" w:rsidP="00FD5CD5">
            <w:pPr>
              <w:spacing w:after="0" w:line="240" w:lineRule="auto"/>
              <w:rPr>
                <w:rFonts w:ascii="Times New Roman" w:hAnsi="Times New Roman" w:cs="Times New Roman"/>
                <w:sz w:val="24"/>
                <w:szCs w:val="24"/>
              </w:rPr>
            </w:pPr>
          </w:p>
          <w:p w14:paraId="1686607C"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r w:rsidRPr="00FB76A9">
              <w:rPr>
                <w:rFonts w:ascii="Times New Roman" w:hAnsi="Times New Roman" w:cs="Times New Roman"/>
                <w:sz w:val="24"/>
                <w:szCs w:val="24"/>
              </w:rPr>
              <w:t>„</w:t>
            </w:r>
            <w:r w:rsidRPr="00FB76A9">
              <w:rPr>
                <w:rFonts w:ascii="Times New Roman" w:eastAsia="Times New Roman" w:hAnsi="Times New Roman" w:cs="Times New Roman"/>
                <w:sz w:val="24"/>
                <w:szCs w:val="24"/>
                <w:lang w:eastAsia="pl-PL"/>
              </w:rPr>
              <w:t>13) „podmiot gospodarczy” oznacza producenta, upoważnionego przedstawiciela, importera, dystrybutora, dostawcę usług realizacji zamówień lub każdą inną osobę fizyczną lub prawną podlegającą obowiązkom związanym z wytwarzaniem produktów, udostępnianiem ich na rynku lub oddawaniem do użytku zgodnie z odpowiednim unijnym prawodawstwem harmonizacyjnym;”</w:t>
            </w:r>
          </w:p>
          <w:p w14:paraId="3C3020F5"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lastRenderedPageBreak/>
              <w:t>(…)</w:t>
            </w:r>
          </w:p>
          <w:p w14:paraId="1D6D1B6A" w14:textId="77777777" w:rsidR="00A54745" w:rsidRDefault="00A54745" w:rsidP="00FD5CD5">
            <w:pPr>
              <w:spacing w:after="0" w:line="240" w:lineRule="auto"/>
              <w:rPr>
                <w:rFonts w:ascii="Times New Roman" w:hAnsi="Times New Roman" w:cs="Times New Roman"/>
                <w:sz w:val="24"/>
                <w:szCs w:val="24"/>
              </w:rPr>
            </w:pPr>
          </w:p>
          <w:p w14:paraId="7DC18520"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„21) „użytkownik końcowy” oznacza każdą osobę fizyczną lub prawną, która ma miejsce zamieszkania lub siedzibę w Unii i której produkt udostępniono jako konsumentowi, bez związku z prowadzoną przez nią działalnością handlową, gospodarczą, rzemieślniczą lub zawodową, albo jako profesjonalnemu użytkownikowi końcowemu w ramach prowadzonej działalności przemysłowej lub zawodowej;”</w:t>
            </w:r>
          </w:p>
        </w:tc>
        <w:tc>
          <w:tcPr>
            <w:tcW w:w="850" w:type="dxa"/>
            <w:gridSpan w:val="2"/>
            <w:tcBorders>
              <w:top w:val="single" w:sz="4" w:space="0" w:color="auto"/>
              <w:left w:val="single" w:sz="4" w:space="0" w:color="auto"/>
              <w:bottom w:val="single" w:sz="4" w:space="0" w:color="auto"/>
              <w:right w:val="single" w:sz="4" w:space="0" w:color="auto"/>
            </w:tcBorders>
          </w:tcPr>
          <w:p w14:paraId="041D11BE"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lastRenderedPageBreak/>
              <w:t>T</w:t>
            </w:r>
          </w:p>
        </w:tc>
        <w:tc>
          <w:tcPr>
            <w:tcW w:w="851" w:type="dxa"/>
            <w:gridSpan w:val="2"/>
            <w:tcBorders>
              <w:top w:val="single" w:sz="4" w:space="0" w:color="auto"/>
              <w:left w:val="single" w:sz="4" w:space="0" w:color="auto"/>
              <w:bottom w:val="single" w:sz="4" w:space="0" w:color="auto"/>
              <w:right w:val="single" w:sz="4" w:space="0" w:color="auto"/>
            </w:tcBorders>
          </w:tcPr>
          <w:p w14:paraId="6A3E55E6"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 xml:space="preserve">Art. 1 pkt 3 lit. </w:t>
            </w:r>
            <w:r w:rsidR="002065A6" w:rsidRPr="00FB76A9">
              <w:rPr>
                <w:rFonts w:ascii="Times New Roman" w:eastAsia="Times New Roman" w:hAnsi="Times New Roman" w:cs="Times New Roman"/>
                <w:sz w:val="24"/>
                <w:szCs w:val="24"/>
                <w:lang w:val="en-GB" w:eastAsia="pl-PL"/>
              </w:rPr>
              <w:t>f</w:t>
            </w:r>
            <w:r w:rsidRPr="00FB76A9">
              <w:rPr>
                <w:rFonts w:ascii="Times New Roman" w:eastAsia="Times New Roman" w:hAnsi="Times New Roman" w:cs="Times New Roman"/>
                <w:sz w:val="24"/>
                <w:szCs w:val="24"/>
                <w:lang w:val="en-GB" w:eastAsia="pl-PL"/>
              </w:rPr>
              <w:t xml:space="preserve">, pkt 4 lit. </w:t>
            </w:r>
            <w:r w:rsidR="001B19A7" w:rsidRPr="00FB76A9">
              <w:rPr>
                <w:rFonts w:ascii="Times New Roman" w:eastAsia="Times New Roman" w:hAnsi="Times New Roman" w:cs="Times New Roman"/>
                <w:sz w:val="24"/>
                <w:szCs w:val="24"/>
                <w:lang w:val="en-GB" w:eastAsia="pl-PL"/>
              </w:rPr>
              <w:t>d</w:t>
            </w:r>
          </w:p>
          <w:p w14:paraId="74725B60"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6228779F"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4581F171"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25185E5C"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32E8AEE3"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238A0E89"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025C6FF8"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2F403A89"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4E127183"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349993F8"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02CE61B8"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42879467"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665514FA"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69129854"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096AC2BC"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5FBD4F35"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7C9484D5"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68B8E4C0"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182C7FE1"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7E32A450"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77D69F80"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7FB1D6E0"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648D466F"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1AD4024B"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5268B549"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15FF9AA6" w14:textId="77777777" w:rsidR="00FB66A0" w:rsidRDefault="00FB66A0" w:rsidP="00FD5CD5">
            <w:pPr>
              <w:spacing w:after="0" w:line="240" w:lineRule="auto"/>
              <w:rPr>
                <w:rFonts w:ascii="Times New Roman" w:eastAsia="Times New Roman" w:hAnsi="Times New Roman" w:cs="Times New Roman"/>
                <w:sz w:val="24"/>
                <w:szCs w:val="24"/>
                <w:lang w:val="en-GB" w:eastAsia="pl-PL"/>
              </w:rPr>
            </w:pPr>
          </w:p>
          <w:p w14:paraId="09DC7FB7" w14:textId="77777777" w:rsidR="001038FF" w:rsidRDefault="001038FF" w:rsidP="00FD5CD5">
            <w:pPr>
              <w:spacing w:after="0" w:line="240" w:lineRule="auto"/>
              <w:rPr>
                <w:rFonts w:ascii="Times New Roman" w:eastAsia="Times New Roman" w:hAnsi="Times New Roman" w:cs="Times New Roman"/>
                <w:sz w:val="24"/>
                <w:szCs w:val="24"/>
                <w:lang w:val="en-GB" w:eastAsia="pl-PL"/>
              </w:rPr>
            </w:pPr>
          </w:p>
          <w:p w14:paraId="6B1C45CD" w14:textId="77777777" w:rsidR="00FB66A0" w:rsidRPr="00FB76A9" w:rsidRDefault="00FB66A0"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 xml:space="preserve">Art. 1 pkt 3 lit. </w:t>
            </w:r>
            <w:r>
              <w:rPr>
                <w:rFonts w:ascii="Times New Roman" w:eastAsia="Times New Roman" w:hAnsi="Times New Roman" w:cs="Times New Roman"/>
                <w:sz w:val="24"/>
                <w:szCs w:val="24"/>
                <w:lang w:val="en-GB" w:eastAsia="pl-PL"/>
              </w:rPr>
              <w:t>f</w:t>
            </w:r>
          </w:p>
          <w:p w14:paraId="36AEBDC3" w14:textId="77777777" w:rsidR="00FB66A0" w:rsidRDefault="00FB66A0" w:rsidP="00FD5CD5">
            <w:pPr>
              <w:spacing w:after="0" w:line="240" w:lineRule="auto"/>
              <w:rPr>
                <w:rFonts w:ascii="Times New Roman" w:eastAsia="Times New Roman" w:hAnsi="Times New Roman" w:cs="Times New Roman"/>
                <w:sz w:val="24"/>
                <w:szCs w:val="24"/>
                <w:lang w:val="en-GB" w:eastAsia="pl-PL"/>
              </w:rPr>
            </w:pPr>
          </w:p>
          <w:p w14:paraId="68B2B815" w14:textId="77777777" w:rsidR="00FB66A0" w:rsidRDefault="00FB66A0" w:rsidP="00FD5CD5">
            <w:pPr>
              <w:spacing w:after="0" w:line="240" w:lineRule="auto"/>
              <w:rPr>
                <w:rFonts w:ascii="Times New Roman" w:eastAsia="Times New Roman" w:hAnsi="Times New Roman" w:cs="Times New Roman"/>
                <w:sz w:val="24"/>
                <w:szCs w:val="24"/>
                <w:lang w:val="en-GB" w:eastAsia="pl-PL"/>
              </w:rPr>
            </w:pPr>
          </w:p>
          <w:p w14:paraId="2B4CDA18" w14:textId="77777777" w:rsidR="00FB66A0" w:rsidRDefault="00FB66A0" w:rsidP="00FD5CD5">
            <w:pPr>
              <w:spacing w:after="0" w:line="240" w:lineRule="auto"/>
              <w:rPr>
                <w:rFonts w:ascii="Times New Roman" w:eastAsia="Times New Roman" w:hAnsi="Times New Roman" w:cs="Times New Roman"/>
                <w:sz w:val="24"/>
                <w:szCs w:val="24"/>
                <w:lang w:val="en-GB" w:eastAsia="pl-PL"/>
              </w:rPr>
            </w:pPr>
          </w:p>
          <w:p w14:paraId="3E5783BD" w14:textId="77777777" w:rsidR="00FB66A0" w:rsidRDefault="00FB66A0" w:rsidP="00FD5CD5">
            <w:pPr>
              <w:spacing w:after="0" w:line="240" w:lineRule="auto"/>
              <w:rPr>
                <w:rFonts w:ascii="Times New Roman" w:eastAsia="Times New Roman" w:hAnsi="Times New Roman" w:cs="Times New Roman"/>
                <w:sz w:val="24"/>
                <w:szCs w:val="24"/>
                <w:lang w:val="en-GB" w:eastAsia="pl-PL"/>
              </w:rPr>
            </w:pPr>
          </w:p>
          <w:p w14:paraId="3E65CC44"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 xml:space="preserve">Art. 1 pkt 3 lit. a </w:t>
            </w:r>
          </w:p>
          <w:p w14:paraId="625A280A"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p>
          <w:p w14:paraId="37BEF195" w14:textId="77777777" w:rsidR="00FF7C78" w:rsidRPr="00FB76A9" w:rsidRDefault="00FF7C78" w:rsidP="00FD5CD5">
            <w:pPr>
              <w:spacing w:after="0" w:line="240" w:lineRule="auto"/>
              <w:rPr>
                <w:rFonts w:ascii="Times New Roman" w:eastAsia="Times New Roman" w:hAnsi="Times New Roman" w:cs="Times New Roman"/>
                <w:sz w:val="24"/>
                <w:szCs w:val="24"/>
                <w:lang w:val="en-GB" w:eastAsia="pl-PL"/>
              </w:rPr>
            </w:pPr>
          </w:p>
          <w:p w14:paraId="3346B4D3" w14:textId="77777777" w:rsidR="00FF7C78" w:rsidRPr="00FB76A9" w:rsidRDefault="00FF7C78" w:rsidP="00FD5CD5">
            <w:pPr>
              <w:spacing w:after="0" w:line="240" w:lineRule="auto"/>
              <w:rPr>
                <w:rFonts w:ascii="Times New Roman" w:eastAsia="Times New Roman" w:hAnsi="Times New Roman" w:cs="Times New Roman"/>
                <w:sz w:val="24"/>
                <w:szCs w:val="24"/>
                <w:lang w:val="en-GB" w:eastAsia="pl-PL"/>
              </w:rPr>
            </w:pPr>
          </w:p>
          <w:p w14:paraId="3A93D85F" w14:textId="77777777" w:rsidR="00FF7C78" w:rsidRPr="00FB76A9" w:rsidRDefault="00FF7C78" w:rsidP="00FD5CD5">
            <w:pPr>
              <w:spacing w:after="0" w:line="240" w:lineRule="auto"/>
              <w:rPr>
                <w:rFonts w:ascii="Times New Roman" w:eastAsia="Times New Roman" w:hAnsi="Times New Roman" w:cs="Times New Roman"/>
                <w:sz w:val="24"/>
                <w:szCs w:val="24"/>
                <w:lang w:val="en-GB" w:eastAsia="pl-PL"/>
              </w:rPr>
            </w:pPr>
          </w:p>
          <w:p w14:paraId="54E0868F" w14:textId="77777777" w:rsidR="00FF7C78" w:rsidRPr="00FB76A9" w:rsidRDefault="00FF7C78" w:rsidP="00FD5CD5">
            <w:pPr>
              <w:spacing w:after="0" w:line="240" w:lineRule="auto"/>
              <w:rPr>
                <w:rFonts w:ascii="Times New Roman" w:eastAsia="Times New Roman" w:hAnsi="Times New Roman" w:cs="Times New Roman"/>
                <w:sz w:val="24"/>
                <w:szCs w:val="24"/>
                <w:lang w:val="en-GB" w:eastAsia="pl-PL"/>
              </w:rPr>
            </w:pPr>
          </w:p>
          <w:p w14:paraId="4496F1D1" w14:textId="77777777" w:rsidR="00074CD7" w:rsidRDefault="00074CD7" w:rsidP="00FD5CD5">
            <w:pPr>
              <w:spacing w:after="0" w:line="240" w:lineRule="auto"/>
              <w:rPr>
                <w:rFonts w:ascii="Times New Roman" w:eastAsia="Times New Roman" w:hAnsi="Times New Roman" w:cs="Times New Roman"/>
                <w:sz w:val="24"/>
                <w:szCs w:val="24"/>
                <w:lang w:val="en-GB" w:eastAsia="pl-PL"/>
              </w:rPr>
            </w:pPr>
          </w:p>
          <w:p w14:paraId="6DC7BEE8" w14:textId="77777777" w:rsidR="00A54745" w:rsidRPr="00FB76A9" w:rsidRDefault="00A54745" w:rsidP="00FD5CD5">
            <w:pPr>
              <w:spacing w:after="0" w:line="240" w:lineRule="auto"/>
              <w:rPr>
                <w:rFonts w:ascii="Times New Roman" w:eastAsia="Times New Roman" w:hAnsi="Times New Roman" w:cs="Times New Roman"/>
                <w:sz w:val="24"/>
                <w:szCs w:val="24"/>
                <w:lang w:val="en-GB" w:eastAsia="pl-PL"/>
              </w:rPr>
            </w:pPr>
            <w:r w:rsidRPr="00FB76A9">
              <w:rPr>
                <w:rFonts w:ascii="Times New Roman" w:eastAsia="Times New Roman" w:hAnsi="Times New Roman" w:cs="Times New Roman"/>
                <w:sz w:val="24"/>
                <w:szCs w:val="24"/>
                <w:lang w:val="en-GB" w:eastAsia="pl-PL"/>
              </w:rPr>
              <w:t xml:space="preserve">Art. 1 pkt 3 lit. </w:t>
            </w:r>
            <w:r w:rsidR="001B19A7" w:rsidRPr="00FB76A9">
              <w:rPr>
                <w:rFonts w:ascii="Times New Roman" w:eastAsia="Times New Roman" w:hAnsi="Times New Roman" w:cs="Times New Roman"/>
                <w:sz w:val="24"/>
                <w:szCs w:val="24"/>
                <w:lang w:val="en-GB" w:eastAsia="pl-PL"/>
              </w:rPr>
              <w:t>f</w:t>
            </w:r>
          </w:p>
        </w:tc>
        <w:tc>
          <w:tcPr>
            <w:tcW w:w="5103" w:type="dxa"/>
            <w:gridSpan w:val="2"/>
            <w:tcBorders>
              <w:top w:val="single" w:sz="4" w:space="0" w:color="auto"/>
              <w:left w:val="single" w:sz="4" w:space="0" w:color="auto"/>
              <w:bottom w:val="single" w:sz="4" w:space="0" w:color="auto"/>
              <w:right w:val="single" w:sz="4" w:space="0" w:color="auto"/>
            </w:tcBorders>
          </w:tcPr>
          <w:p w14:paraId="22F3BE46"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lastRenderedPageBreak/>
              <w:t xml:space="preserve">„37) </w:t>
            </w:r>
            <w:r w:rsidR="002065A6" w:rsidRPr="00FB76A9">
              <w:rPr>
                <w:rFonts w:ascii="Times New Roman" w:eastAsia="Times New Roman" w:hAnsi="Times New Roman" w:cs="Times New Roman"/>
                <w:sz w:val="24"/>
                <w:szCs w:val="24"/>
                <w:lang w:eastAsia="pl-PL"/>
              </w:rPr>
              <w:t>udostępnieniu na rynku – rozumie się przez to udostępnienie na rynku, o którym mowa odpowiednio w art. 3 pkt 47 rozporządzenia 167/2013, art. 3 pkt 55 rozporządzenia 168/2013 albo art. 3 pkt 51 rozporządzenia 2018/858 albo art. 3 pkt 1 rozporządzenia 2019/1020</w:t>
            </w:r>
            <w:r w:rsidRPr="00FB76A9">
              <w:rPr>
                <w:rFonts w:ascii="Times New Roman" w:eastAsia="Times New Roman" w:hAnsi="Times New Roman" w:cs="Times New Roman"/>
                <w:sz w:val="24"/>
                <w:szCs w:val="24"/>
                <w:lang w:eastAsia="pl-PL"/>
              </w:rPr>
              <w:t>”,</w:t>
            </w:r>
          </w:p>
          <w:p w14:paraId="7BD73DCC" w14:textId="77777777" w:rsidR="001B19A7" w:rsidRPr="00FB76A9" w:rsidRDefault="00A54745" w:rsidP="00FD5CD5">
            <w:pPr>
              <w:pStyle w:val="ZLITUSTzmustliter"/>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„Art. 3.3. </w:t>
            </w:r>
            <w:r w:rsidR="001B19A7" w:rsidRPr="00FB76A9">
              <w:rPr>
                <w:rFonts w:ascii="Times New Roman" w:hAnsi="Times New Roman" w:cs="Times New Roman"/>
                <w:szCs w:val="24"/>
              </w:rPr>
              <w:t>ust. 3 otrzymuje brzmienie:</w:t>
            </w:r>
          </w:p>
          <w:p w14:paraId="0B6AA80F" w14:textId="77777777" w:rsidR="00A54745" w:rsidRPr="00FB76A9" w:rsidRDefault="00CF37BF" w:rsidP="00FD5CD5">
            <w:pPr>
              <w:pStyle w:val="ZLITUSTzmustliter"/>
              <w:spacing w:line="240" w:lineRule="auto"/>
              <w:ind w:left="0" w:firstLine="0"/>
              <w:jc w:val="left"/>
              <w:rPr>
                <w:rFonts w:ascii="Times New Roman" w:hAnsi="Times New Roman" w:cs="Times New Roman"/>
                <w:szCs w:val="24"/>
              </w:rPr>
            </w:pPr>
            <w:r w:rsidRPr="001038FF">
              <w:t xml:space="preserve">„3.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w:t>
            </w:r>
            <w:r w:rsidRPr="001038FF">
              <w:lastRenderedPageBreak/>
              <w:t xml:space="preserve">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 wózki rowerowe, hulajnogi elektryczne oraz urządzenia transportu osobistego warunków technicznych, </w:t>
            </w:r>
            <w:r w:rsidRPr="001038FF">
              <w:rPr>
                <w:rFonts w:ascii="Times New Roman" w:hAnsi="Times New Roman" w:cs="Times New Roman"/>
                <w:szCs w:val="24"/>
              </w:rPr>
              <w:t>o których mowa w art. 66 ust. 1 ustawy z dnia 20 czerwca 1997 r. – Prawo o ruchu drogowym oraz określonych w przepisach wydanych na podstawie art. 66 ust. 5 tej ustawy</w:t>
            </w:r>
            <w:r w:rsidRPr="001038FF">
              <w:t>, zgodnie z zasadami i procedurami określonymi w rozporządzeniu 2019/1020, które stanowi ramy dla kontroli produktów.”</w:t>
            </w:r>
          </w:p>
          <w:p w14:paraId="15BDFF20" w14:textId="77777777" w:rsidR="00FB66A0" w:rsidRDefault="00FB66A0" w:rsidP="00FD5CD5">
            <w:pPr>
              <w:spacing w:after="0" w:line="240" w:lineRule="auto"/>
              <w:rPr>
                <w:rFonts w:ascii="Times New Roman" w:eastAsia="Times New Roman" w:hAnsi="Times New Roman" w:cs="Times New Roman"/>
                <w:sz w:val="24"/>
                <w:szCs w:val="24"/>
                <w:lang w:eastAsia="pl-PL"/>
              </w:rPr>
            </w:pPr>
          </w:p>
          <w:p w14:paraId="34F12087" w14:textId="77777777" w:rsidR="00A54745" w:rsidRPr="00FB76A9" w:rsidRDefault="00FB66A0" w:rsidP="00FD5CD5">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FB66A0">
              <w:rPr>
                <w:rFonts w:ascii="Times New Roman" w:eastAsia="Times New Roman" w:hAnsi="Times New Roman" w:cs="Times New Roman"/>
                <w:sz w:val="24"/>
                <w:szCs w:val="24"/>
                <w:lang w:eastAsia="pl-PL"/>
              </w:rPr>
              <w:t xml:space="preserve">41) </w:t>
            </w:r>
            <w:r w:rsidRPr="00FB66A0">
              <w:rPr>
                <w:rFonts w:ascii="Times New Roman" w:eastAsia="Times New Roman" w:hAnsi="Times New Roman" w:cs="Times New Roman"/>
                <w:sz w:val="24"/>
                <w:szCs w:val="24"/>
                <w:lang w:eastAsia="pl-PL"/>
              </w:rPr>
              <w:tab/>
              <w:t>dostawcy usług społeczeństwa informacyjnego – rozumie się przez to dostawcę, o którym mowa w art. 3 pkt 14 rozporządzenia 2019/1020;</w:t>
            </w:r>
            <w:r>
              <w:rPr>
                <w:rFonts w:ascii="Times New Roman" w:eastAsia="Times New Roman" w:hAnsi="Times New Roman" w:cs="Times New Roman"/>
                <w:sz w:val="24"/>
                <w:szCs w:val="24"/>
                <w:lang w:eastAsia="pl-PL"/>
              </w:rPr>
              <w:t>”</w:t>
            </w:r>
          </w:p>
          <w:p w14:paraId="2179B3D6" w14:textId="77777777" w:rsidR="00FB66A0" w:rsidRDefault="00FB66A0" w:rsidP="00FD5CD5">
            <w:pPr>
              <w:pStyle w:val="ZLITPKTzmpktliter"/>
              <w:spacing w:line="240" w:lineRule="auto"/>
              <w:ind w:left="72" w:firstLine="0"/>
              <w:jc w:val="left"/>
              <w:rPr>
                <w:rFonts w:ascii="Times New Roman" w:hAnsi="Times New Roman" w:cs="Times New Roman"/>
                <w:szCs w:val="24"/>
              </w:rPr>
            </w:pPr>
          </w:p>
          <w:p w14:paraId="54F4D595" w14:textId="77777777" w:rsidR="00FB66A0" w:rsidRDefault="00FB66A0" w:rsidP="00FD5CD5">
            <w:pPr>
              <w:pStyle w:val="ZLITPKTzmpktliter"/>
              <w:spacing w:line="240" w:lineRule="auto"/>
              <w:ind w:left="72" w:firstLine="0"/>
              <w:jc w:val="left"/>
              <w:rPr>
                <w:rFonts w:ascii="Times New Roman" w:hAnsi="Times New Roman" w:cs="Times New Roman"/>
                <w:szCs w:val="24"/>
              </w:rPr>
            </w:pPr>
          </w:p>
          <w:p w14:paraId="4FB2A1D9" w14:textId="77777777" w:rsidR="00FB66A0" w:rsidRDefault="00FB66A0" w:rsidP="00074CD7">
            <w:pPr>
              <w:pStyle w:val="ZLITPKTzmpktliter"/>
              <w:spacing w:line="240" w:lineRule="auto"/>
              <w:ind w:left="0" w:firstLine="0"/>
              <w:jc w:val="left"/>
              <w:rPr>
                <w:rFonts w:ascii="Times New Roman" w:hAnsi="Times New Roman" w:cs="Times New Roman"/>
                <w:szCs w:val="24"/>
              </w:rPr>
            </w:pPr>
          </w:p>
          <w:p w14:paraId="12F7F12E" w14:textId="77777777" w:rsidR="00A54745" w:rsidRPr="00FB76A9" w:rsidRDefault="00A54745" w:rsidP="00FD5CD5">
            <w:pPr>
              <w:pStyle w:val="ZLITPKTzmpktliter"/>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„5) </w:t>
            </w:r>
            <w:r w:rsidR="001B19A7" w:rsidRPr="00FB76A9">
              <w:rPr>
                <w:rFonts w:ascii="Times New Roman" w:hAnsi="Times New Roman" w:cs="Times New Roman"/>
                <w:szCs w:val="24"/>
              </w:rPr>
              <w:t>podmiocie gospodarczym – rozumie się przez to podmiot gospodarczy, o którym mowa w art. 3 pkt 13 rozporządzenia 2019/1020</w:t>
            </w:r>
            <w:r w:rsidRPr="00FB76A9">
              <w:rPr>
                <w:rFonts w:ascii="Times New Roman" w:hAnsi="Times New Roman" w:cs="Times New Roman"/>
                <w:szCs w:val="24"/>
              </w:rPr>
              <w:t>,”</w:t>
            </w:r>
          </w:p>
          <w:p w14:paraId="4CEC220A" w14:textId="77777777" w:rsidR="00A54745" w:rsidRPr="00FB76A9" w:rsidRDefault="00A54745" w:rsidP="00FD5CD5">
            <w:pPr>
              <w:pStyle w:val="ZLITPKTzmpktliter"/>
              <w:spacing w:line="240" w:lineRule="auto"/>
              <w:ind w:left="987" w:firstLine="0"/>
              <w:jc w:val="left"/>
              <w:rPr>
                <w:rFonts w:ascii="Times New Roman" w:hAnsi="Times New Roman" w:cs="Times New Roman"/>
                <w:szCs w:val="24"/>
              </w:rPr>
            </w:pPr>
          </w:p>
          <w:p w14:paraId="19E2B98B" w14:textId="77777777" w:rsidR="00A54745" w:rsidRPr="00FB76A9" w:rsidRDefault="00A54745" w:rsidP="00FD5CD5">
            <w:pPr>
              <w:pStyle w:val="ZLITPKTzmpktliter"/>
              <w:spacing w:line="240" w:lineRule="auto"/>
              <w:ind w:left="987" w:firstLine="0"/>
              <w:jc w:val="left"/>
              <w:rPr>
                <w:rFonts w:ascii="Times New Roman" w:hAnsi="Times New Roman" w:cs="Times New Roman"/>
                <w:szCs w:val="24"/>
              </w:rPr>
            </w:pPr>
          </w:p>
          <w:p w14:paraId="29F4D028" w14:textId="77777777" w:rsidR="00FF7C78" w:rsidRPr="00FB76A9" w:rsidRDefault="00FF7C78" w:rsidP="00FD5CD5">
            <w:pPr>
              <w:pStyle w:val="ZLITPKTzmpktliter"/>
              <w:spacing w:line="240" w:lineRule="auto"/>
              <w:ind w:left="124" w:firstLine="0"/>
              <w:jc w:val="left"/>
              <w:rPr>
                <w:rFonts w:ascii="Times New Roman" w:hAnsi="Times New Roman" w:cs="Times New Roman"/>
                <w:szCs w:val="24"/>
              </w:rPr>
            </w:pPr>
          </w:p>
          <w:p w14:paraId="2FE24D06" w14:textId="77777777" w:rsidR="00FF7C78" w:rsidRPr="00FB76A9" w:rsidRDefault="00FF7C78" w:rsidP="00FD5CD5">
            <w:pPr>
              <w:pStyle w:val="ZLITPKTzmpktliter"/>
              <w:spacing w:line="240" w:lineRule="auto"/>
              <w:ind w:left="124" w:firstLine="0"/>
              <w:jc w:val="left"/>
              <w:rPr>
                <w:rFonts w:ascii="Times New Roman" w:hAnsi="Times New Roman" w:cs="Times New Roman"/>
                <w:szCs w:val="24"/>
              </w:rPr>
            </w:pPr>
          </w:p>
          <w:p w14:paraId="17B1A564" w14:textId="77777777" w:rsidR="00FF7C78" w:rsidRPr="00FB76A9" w:rsidRDefault="00FF7C78" w:rsidP="00FD5CD5">
            <w:pPr>
              <w:pStyle w:val="ZLITPKTzmpktliter"/>
              <w:spacing w:line="240" w:lineRule="auto"/>
              <w:ind w:left="124" w:firstLine="0"/>
              <w:jc w:val="left"/>
              <w:rPr>
                <w:rFonts w:ascii="Times New Roman" w:hAnsi="Times New Roman" w:cs="Times New Roman"/>
                <w:szCs w:val="24"/>
              </w:rPr>
            </w:pPr>
          </w:p>
          <w:p w14:paraId="1522A860" w14:textId="77777777" w:rsidR="00FF7C78" w:rsidRPr="00FB76A9" w:rsidRDefault="00FF7C78" w:rsidP="00074CD7">
            <w:pPr>
              <w:pStyle w:val="ZLITPKTzmpktliter"/>
              <w:spacing w:line="240" w:lineRule="auto"/>
              <w:ind w:left="0" w:firstLine="0"/>
              <w:jc w:val="left"/>
              <w:rPr>
                <w:rFonts w:ascii="Times New Roman" w:hAnsi="Times New Roman" w:cs="Times New Roman"/>
                <w:szCs w:val="24"/>
              </w:rPr>
            </w:pPr>
          </w:p>
          <w:p w14:paraId="6DA22372" w14:textId="77777777" w:rsidR="00A54745" w:rsidRPr="00FB76A9" w:rsidRDefault="00A54745" w:rsidP="00FD5CD5">
            <w:pPr>
              <w:pStyle w:val="ZLITPKTzmpktliter"/>
              <w:spacing w:line="240" w:lineRule="auto"/>
              <w:ind w:left="124" w:firstLine="0"/>
              <w:jc w:val="left"/>
              <w:rPr>
                <w:rFonts w:ascii="Times New Roman" w:hAnsi="Times New Roman" w:cs="Times New Roman"/>
                <w:szCs w:val="24"/>
              </w:rPr>
            </w:pPr>
            <w:r w:rsidRPr="00FB76A9">
              <w:rPr>
                <w:rFonts w:ascii="Times New Roman" w:hAnsi="Times New Roman" w:cs="Times New Roman"/>
                <w:szCs w:val="24"/>
              </w:rPr>
              <w:t>„4</w:t>
            </w:r>
            <w:r w:rsidR="00FB66A0">
              <w:rPr>
                <w:rFonts w:ascii="Times New Roman" w:hAnsi="Times New Roman" w:cs="Times New Roman"/>
                <w:szCs w:val="24"/>
              </w:rPr>
              <w:t>2</w:t>
            </w:r>
            <w:r w:rsidRPr="00FB76A9">
              <w:rPr>
                <w:rFonts w:ascii="Times New Roman" w:hAnsi="Times New Roman" w:cs="Times New Roman"/>
                <w:szCs w:val="24"/>
              </w:rPr>
              <w:t>)  użytkowniku końcowym – rozumie się przez to użytkownika końcowego, o którym mowa w art. 3 pkt 21 rozporządzenia 2019/1020.”;”</w:t>
            </w:r>
          </w:p>
          <w:p w14:paraId="0036AB94" w14:textId="77777777" w:rsidR="00A54745" w:rsidRPr="00FB76A9" w:rsidRDefault="00A54745" w:rsidP="00FD5CD5">
            <w:pPr>
              <w:pStyle w:val="ZLITPKTzmpktliter"/>
              <w:spacing w:line="240" w:lineRule="auto"/>
              <w:ind w:left="987" w:firstLine="0"/>
              <w:jc w:val="left"/>
              <w:rPr>
                <w:rFonts w:ascii="Times New Roman" w:hAnsi="Times New Roman" w:cs="Times New Roman"/>
                <w:szCs w:val="24"/>
              </w:rPr>
            </w:pPr>
          </w:p>
          <w:p w14:paraId="4C60F441"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p>
          <w:p w14:paraId="3E8730E4" w14:textId="77777777" w:rsidR="00A54745" w:rsidRDefault="00A54745" w:rsidP="00FD5CD5">
            <w:pPr>
              <w:spacing w:after="0" w:line="240" w:lineRule="auto"/>
              <w:rPr>
                <w:rFonts w:ascii="Times New Roman" w:eastAsia="Times New Roman" w:hAnsi="Times New Roman" w:cs="Times New Roman"/>
                <w:sz w:val="24"/>
                <w:szCs w:val="24"/>
                <w:lang w:eastAsia="pl-PL"/>
              </w:rPr>
            </w:pPr>
          </w:p>
          <w:p w14:paraId="636B636F" w14:textId="77777777" w:rsidR="006F07F2" w:rsidRDefault="006F07F2" w:rsidP="00FD5CD5">
            <w:pPr>
              <w:spacing w:after="0" w:line="240" w:lineRule="auto"/>
              <w:rPr>
                <w:rFonts w:ascii="Times New Roman" w:eastAsia="Times New Roman" w:hAnsi="Times New Roman" w:cs="Times New Roman"/>
                <w:sz w:val="24"/>
                <w:szCs w:val="24"/>
                <w:lang w:eastAsia="pl-PL"/>
              </w:rPr>
            </w:pPr>
          </w:p>
          <w:p w14:paraId="29D2738A" w14:textId="77777777" w:rsidR="006F07F2" w:rsidRPr="00FB76A9" w:rsidRDefault="006F07F2" w:rsidP="00FD5CD5">
            <w:pPr>
              <w:spacing w:after="0" w:line="240" w:lineRule="auto"/>
              <w:rPr>
                <w:rFonts w:ascii="Times New Roman" w:eastAsia="Times New Roman" w:hAnsi="Times New Roman" w:cs="Times New Roman"/>
                <w:sz w:val="24"/>
                <w:szCs w:val="24"/>
                <w:lang w:eastAsia="pl-PL"/>
              </w:rPr>
            </w:pPr>
          </w:p>
        </w:tc>
        <w:tc>
          <w:tcPr>
            <w:tcW w:w="2268" w:type="dxa"/>
            <w:tcBorders>
              <w:top w:val="single" w:sz="4" w:space="0" w:color="auto"/>
              <w:left w:val="single" w:sz="4" w:space="0" w:color="auto"/>
              <w:bottom w:val="single" w:sz="4" w:space="0" w:color="auto"/>
              <w:right w:val="single" w:sz="4" w:space="0" w:color="auto"/>
            </w:tcBorders>
          </w:tcPr>
          <w:p w14:paraId="09A74349" w14:textId="77777777" w:rsidR="00A54745" w:rsidRPr="00FB76A9" w:rsidRDefault="00A54745" w:rsidP="00FD5CD5">
            <w:pPr>
              <w:spacing w:after="0" w:line="240" w:lineRule="auto"/>
              <w:ind w:right="3104"/>
              <w:rPr>
                <w:rFonts w:ascii="Times New Roman" w:eastAsia="Times New Roman" w:hAnsi="Times New Roman" w:cs="Times New Roman"/>
                <w:sz w:val="24"/>
                <w:szCs w:val="24"/>
                <w:lang w:eastAsia="pl-PL"/>
              </w:rPr>
            </w:pPr>
          </w:p>
        </w:tc>
      </w:tr>
      <w:tr w:rsidR="00821799" w:rsidRPr="00FB76A9" w14:paraId="44FB0892" w14:textId="77777777" w:rsidTr="007A584D">
        <w:trPr>
          <w:trHeight w:val="220"/>
        </w:trPr>
        <w:tc>
          <w:tcPr>
            <w:tcW w:w="988" w:type="dxa"/>
            <w:tcBorders>
              <w:top w:val="single" w:sz="4" w:space="0" w:color="auto"/>
              <w:left w:val="single" w:sz="4" w:space="0" w:color="auto"/>
              <w:bottom w:val="single" w:sz="4" w:space="0" w:color="auto"/>
              <w:right w:val="single" w:sz="4" w:space="0" w:color="auto"/>
            </w:tcBorders>
          </w:tcPr>
          <w:p w14:paraId="055DDC70" w14:textId="77777777" w:rsidR="00821799" w:rsidRPr="00FB76A9" w:rsidRDefault="00821799" w:rsidP="00FD5CD5">
            <w:pPr>
              <w:spacing w:after="0" w:line="240" w:lineRule="auto"/>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 xml:space="preserve">Art. 8 ust. 2 </w:t>
            </w:r>
          </w:p>
        </w:tc>
        <w:tc>
          <w:tcPr>
            <w:tcW w:w="4961" w:type="dxa"/>
            <w:tcBorders>
              <w:top w:val="single" w:sz="4" w:space="0" w:color="auto"/>
              <w:left w:val="single" w:sz="4" w:space="0" w:color="auto"/>
              <w:bottom w:val="single" w:sz="4" w:space="0" w:color="auto"/>
              <w:right w:val="single" w:sz="4" w:space="0" w:color="auto"/>
            </w:tcBorders>
          </w:tcPr>
          <w:p w14:paraId="7CDE6EE7" w14:textId="77777777" w:rsidR="0017284B" w:rsidRDefault="0017284B" w:rsidP="00FD5CD5">
            <w:pPr>
              <w:pStyle w:val="oj-normal"/>
              <w:shd w:val="clear" w:color="auto" w:fill="FFFFFF"/>
              <w:spacing w:before="0" w:beforeAutospacing="0" w:after="0" w:afterAutospacing="0"/>
              <w:rPr>
                <w:sz w:val="19"/>
                <w:szCs w:val="19"/>
              </w:rPr>
            </w:pPr>
          </w:p>
          <w:p w14:paraId="7C519949" w14:textId="77777777" w:rsidR="00821799" w:rsidRPr="00FB76A9" w:rsidRDefault="0017284B" w:rsidP="00FD5CD5">
            <w:pPr>
              <w:pStyle w:val="oj-normal"/>
              <w:shd w:val="clear" w:color="auto" w:fill="FFFFFF"/>
              <w:spacing w:before="0" w:beforeAutospacing="0" w:after="0" w:afterAutospacing="0"/>
            </w:pPr>
            <w:r>
              <w:rPr>
                <w:sz w:val="19"/>
                <w:szCs w:val="19"/>
              </w:rPr>
              <w:t xml:space="preserve">„2. </w:t>
            </w:r>
            <w:r w:rsidRPr="0017284B">
              <w:t>Państwa członkowskie ustanawiają procedury w celu dostarczania podmiotom gospodarczym, na ich wniosek i nieodpłatnie, informacji dotyczących krajowego wykonywania i wdrażania unijnego prawodawstwa harmonizacyjnego mającego zastosowanie do produktów. W tym celu stosuje się art. 9 ust. 1, 4 i 5 rozporządzenia (UE) 2019/515.</w:t>
            </w:r>
            <w:r>
              <w:t>”</w:t>
            </w:r>
          </w:p>
        </w:tc>
        <w:tc>
          <w:tcPr>
            <w:tcW w:w="850" w:type="dxa"/>
            <w:gridSpan w:val="2"/>
            <w:tcBorders>
              <w:top w:val="single" w:sz="4" w:space="0" w:color="auto"/>
              <w:left w:val="single" w:sz="4" w:space="0" w:color="auto"/>
              <w:bottom w:val="single" w:sz="4" w:space="0" w:color="auto"/>
              <w:right w:val="single" w:sz="4" w:space="0" w:color="auto"/>
            </w:tcBorders>
          </w:tcPr>
          <w:p w14:paraId="61729202" w14:textId="77777777" w:rsidR="00821799" w:rsidRPr="00FB76A9" w:rsidRDefault="002D5DFD" w:rsidP="00FD5CD5">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w:t>
            </w:r>
          </w:p>
        </w:tc>
        <w:tc>
          <w:tcPr>
            <w:tcW w:w="851" w:type="dxa"/>
            <w:gridSpan w:val="2"/>
            <w:tcBorders>
              <w:top w:val="single" w:sz="4" w:space="0" w:color="auto"/>
              <w:left w:val="single" w:sz="4" w:space="0" w:color="auto"/>
              <w:bottom w:val="single" w:sz="4" w:space="0" w:color="auto"/>
              <w:right w:val="single" w:sz="4" w:space="0" w:color="auto"/>
            </w:tcBorders>
          </w:tcPr>
          <w:p w14:paraId="035846C0" w14:textId="77777777" w:rsidR="00821799" w:rsidRPr="0005306A" w:rsidRDefault="002D5DFD" w:rsidP="00FD5CD5">
            <w:pPr>
              <w:spacing w:after="0" w:line="240" w:lineRule="auto"/>
              <w:rPr>
                <w:rFonts w:ascii="Times New Roman" w:eastAsia="Times New Roman" w:hAnsi="Times New Roman" w:cs="Times New Roman"/>
                <w:sz w:val="24"/>
                <w:szCs w:val="24"/>
                <w:lang w:val="en-GB" w:eastAsia="pl-PL"/>
              </w:rPr>
            </w:pPr>
            <w:r>
              <w:rPr>
                <w:rFonts w:ascii="Times New Roman" w:eastAsia="Times New Roman" w:hAnsi="Times New Roman" w:cs="Times New Roman"/>
                <w:sz w:val="24"/>
                <w:szCs w:val="24"/>
                <w:lang w:val="en-GB" w:eastAsia="pl-PL"/>
              </w:rPr>
              <w:t>Inny akt prawny</w:t>
            </w:r>
          </w:p>
        </w:tc>
        <w:tc>
          <w:tcPr>
            <w:tcW w:w="5103" w:type="dxa"/>
            <w:gridSpan w:val="2"/>
            <w:tcBorders>
              <w:top w:val="single" w:sz="4" w:space="0" w:color="auto"/>
              <w:left w:val="single" w:sz="4" w:space="0" w:color="auto"/>
              <w:bottom w:val="single" w:sz="4" w:space="0" w:color="auto"/>
              <w:right w:val="single" w:sz="4" w:space="0" w:color="auto"/>
            </w:tcBorders>
          </w:tcPr>
          <w:p w14:paraId="6C9ED611" w14:textId="77777777" w:rsidR="00821799" w:rsidRDefault="00821799" w:rsidP="00821799">
            <w:pPr>
              <w:pStyle w:val="Nagwek1"/>
              <w:rPr>
                <w:rFonts w:ascii="Times New Roman" w:eastAsia="Times New Roman" w:hAnsi="Times New Roman" w:cs="Times New Roman"/>
                <w:bCs w:val="0"/>
                <w:color w:val="auto"/>
                <w:kern w:val="0"/>
                <w:sz w:val="24"/>
                <w:szCs w:val="24"/>
                <w:lang w:eastAsia="pl-PL"/>
              </w:rPr>
            </w:pPr>
            <w:r w:rsidRPr="00821799">
              <w:rPr>
                <w:rFonts w:ascii="Times New Roman" w:eastAsia="Times New Roman" w:hAnsi="Times New Roman" w:cs="Times New Roman"/>
                <w:bCs w:val="0"/>
                <w:color w:val="auto"/>
                <w:kern w:val="0"/>
                <w:sz w:val="24"/>
                <w:szCs w:val="24"/>
                <w:lang w:eastAsia="pl-PL"/>
              </w:rPr>
              <w:t>Ustawa z dnia 14 sierpnia 2020 r. o wskazaniu organu prowadzącego punkt kontaktowy do spraw produktów oraz o odpowiedzialności za naruszenie przepisów rozporządzenia w sprawie wzajemnego uznawania towarów zgodnie z prawem wprowadzonych do obrotu w innym państwie członkowskim</w:t>
            </w:r>
            <w:r>
              <w:rPr>
                <w:rFonts w:ascii="Times New Roman" w:eastAsia="Times New Roman" w:hAnsi="Times New Roman" w:cs="Times New Roman"/>
                <w:bCs w:val="0"/>
                <w:color w:val="auto"/>
                <w:kern w:val="0"/>
                <w:sz w:val="24"/>
                <w:szCs w:val="24"/>
                <w:lang w:eastAsia="pl-PL"/>
              </w:rPr>
              <w:t xml:space="preserve"> (Dz. U. poz. 1454)</w:t>
            </w:r>
            <w:r w:rsidR="002D5DFD">
              <w:rPr>
                <w:rFonts w:ascii="Times New Roman" w:eastAsia="Times New Roman" w:hAnsi="Times New Roman" w:cs="Times New Roman"/>
                <w:bCs w:val="0"/>
                <w:color w:val="auto"/>
                <w:kern w:val="0"/>
                <w:sz w:val="24"/>
                <w:szCs w:val="24"/>
                <w:lang w:eastAsia="pl-PL"/>
              </w:rPr>
              <w:t>.</w:t>
            </w:r>
          </w:p>
          <w:p w14:paraId="24872B5C" w14:textId="77777777" w:rsidR="002D5DFD" w:rsidRPr="002D5DFD" w:rsidRDefault="002D5DFD" w:rsidP="002D5DFD">
            <w:pP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2: </w:t>
            </w:r>
            <w:r w:rsidRPr="002D5DFD">
              <w:rPr>
                <w:rFonts w:ascii="Times New Roman" w:eastAsia="Times New Roman" w:hAnsi="Times New Roman" w:cs="Times New Roman"/>
                <w:b/>
                <w:sz w:val="24"/>
                <w:szCs w:val="24"/>
                <w:lang w:eastAsia="pl-PL"/>
              </w:rPr>
              <w:t xml:space="preserve">Minister właściwy do spraw gospodarki prowadzi punkt kontaktowy do spraw produktów, o którym mowa w </w:t>
            </w:r>
            <w:hyperlink r:id="rId8" w:history="1">
              <w:r w:rsidRPr="002D5DFD">
                <w:rPr>
                  <w:rFonts w:ascii="Times New Roman" w:eastAsia="Times New Roman" w:hAnsi="Times New Roman" w:cs="Times New Roman"/>
                  <w:b/>
                  <w:sz w:val="24"/>
                  <w:szCs w:val="24"/>
                  <w:lang w:eastAsia="pl-PL"/>
                </w:rPr>
                <w:t>art. 9</w:t>
              </w:r>
            </w:hyperlink>
            <w:r w:rsidRPr="002D5DFD">
              <w:rPr>
                <w:rFonts w:ascii="Times New Roman" w:eastAsia="Times New Roman" w:hAnsi="Times New Roman" w:cs="Times New Roman"/>
                <w:b/>
                <w:sz w:val="24"/>
                <w:szCs w:val="24"/>
                <w:lang w:eastAsia="pl-PL"/>
              </w:rPr>
              <w:t xml:space="preserve"> rozporządzenia 2019/515.</w:t>
            </w:r>
          </w:p>
          <w:p w14:paraId="70973286" w14:textId="77777777" w:rsidR="00821799" w:rsidRDefault="00821799" w:rsidP="00821799">
            <w:pPr>
              <w:spacing w:after="0" w:line="240" w:lineRule="auto"/>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Link do strony punktu kontaktowego MRiT:</w:t>
            </w:r>
          </w:p>
          <w:p w14:paraId="737A312B" w14:textId="77777777" w:rsidR="00821799" w:rsidRDefault="00821799" w:rsidP="00821799">
            <w:pPr>
              <w:spacing w:after="0" w:line="240" w:lineRule="auto"/>
              <w:rPr>
                <w:rFonts w:ascii="Times New Roman" w:eastAsia="Times New Roman" w:hAnsi="Times New Roman" w:cs="Times New Roman"/>
                <w:b/>
                <w:sz w:val="24"/>
                <w:szCs w:val="24"/>
                <w:lang w:eastAsia="pl-PL"/>
              </w:rPr>
            </w:pPr>
          </w:p>
          <w:p w14:paraId="31BD2D71" w14:textId="77777777" w:rsidR="00821799" w:rsidRPr="00821799" w:rsidRDefault="00821799" w:rsidP="00821799">
            <w:pPr>
              <w:spacing w:after="0" w:line="240" w:lineRule="auto"/>
              <w:rPr>
                <w:rFonts w:ascii="Times New Roman" w:eastAsia="Times New Roman" w:hAnsi="Times New Roman" w:cs="Times New Roman"/>
                <w:b/>
                <w:sz w:val="24"/>
                <w:szCs w:val="24"/>
                <w:lang w:eastAsia="pl-PL"/>
              </w:rPr>
            </w:pPr>
            <w:r w:rsidRPr="00821799">
              <w:rPr>
                <w:rFonts w:ascii="Times New Roman" w:eastAsia="Times New Roman" w:hAnsi="Times New Roman" w:cs="Times New Roman"/>
                <w:b/>
                <w:sz w:val="24"/>
                <w:szCs w:val="24"/>
                <w:lang w:eastAsia="pl-PL"/>
              </w:rPr>
              <w:t>https://www.gov.pl/web/rozwoj-technologia/punkt-kontaktowy-do-spraw-produktow</w:t>
            </w:r>
          </w:p>
          <w:p w14:paraId="41851467" w14:textId="77777777" w:rsidR="00821799" w:rsidRPr="0005306A" w:rsidRDefault="00821799" w:rsidP="00FD5CD5">
            <w:pPr>
              <w:pStyle w:val="ZLITUSTzmustliter"/>
              <w:spacing w:line="240" w:lineRule="auto"/>
              <w:ind w:left="0" w:firstLine="0"/>
              <w:jc w:val="left"/>
            </w:pPr>
          </w:p>
        </w:tc>
        <w:tc>
          <w:tcPr>
            <w:tcW w:w="2268" w:type="dxa"/>
            <w:tcBorders>
              <w:top w:val="single" w:sz="4" w:space="0" w:color="auto"/>
              <w:left w:val="single" w:sz="4" w:space="0" w:color="auto"/>
              <w:bottom w:val="single" w:sz="4" w:space="0" w:color="auto"/>
              <w:right w:val="single" w:sz="4" w:space="0" w:color="auto"/>
            </w:tcBorders>
          </w:tcPr>
          <w:p w14:paraId="296C90C8" w14:textId="77777777" w:rsidR="00821799" w:rsidRPr="00FB76A9" w:rsidRDefault="00821799" w:rsidP="00FD5CD5">
            <w:pPr>
              <w:pStyle w:val="ZLITUSTzmustliter"/>
              <w:spacing w:line="240" w:lineRule="auto"/>
              <w:ind w:left="0" w:right="3104" w:firstLine="0"/>
              <w:jc w:val="left"/>
              <w:rPr>
                <w:rFonts w:ascii="Times New Roman" w:hAnsi="Times New Roman" w:cs="Times New Roman"/>
                <w:szCs w:val="24"/>
              </w:rPr>
            </w:pPr>
          </w:p>
        </w:tc>
      </w:tr>
      <w:tr w:rsidR="00A54745" w:rsidRPr="00FB76A9" w14:paraId="74DA79C4" w14:textId="77777777" w:rsidTr="007A584D">
        <w:trPr>
          <w:trHeight w:val="220"/>
        </w:trPr>
        <w:tc>
          <w:tcPr>
            <w:tcW w:w="988" w:type="dxa"/>
            <w:tcBorders>
              <w:top w:val="single" w:sz="4" w:space="0" w:color="auto"/>
              <w:left w:val="single" w:sz="4" w:space="0" w:color="auto"/>
              <w:bottom w:val="single" w:sz="4" w:space="0" w:color="auto"/>
              <w:right w:val="single" w:sz="4" w:space="0" w:color="auto"/>
            </w:tcBorders>
          </w:tcPr>
          <w:p w14:paraId="6D84A08E" w14:textId="77777777" w:rsidR="00A54745" w:rsidRPr="00FB76A9" w:rsidRDefault="00A54745"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lastRenderedPageBreak/>
              <w:t>Art. 10</w:t>
            </w:r>
          </w:p>
        </w:tc>
        <w:tc>
          <w:tcPr>
            <w:tcW w:w="4961" w:type="dxa"/>
            <w:tcBorders>
              <w:top w:val="single" w:sz="4" w:space="0" w:color="auto"/>
              <w:left w:val="single" w:sz="4" w:space="0" w:color="auto"/>
              <w:bottom w:val="single" w:sz="4" w:space="0" w:color="auto"/>
              <w:right w:val="single" w:sz="4" w:space="0" w:color="auto"/>
            </w:tcBorders>
          </w:tcPr>
          <w:p w14:paraId="1410476C" w14:textId="77777777" w:rsidR="00A54745" w:rsidRPr="00FB76A9" w:rsidRDefault="00A54745" w:rsidP="00FD5CD5">
            <w:pPr>
              <w:pStyle w:val="oj-normal"/>
              <w:shd w:val="clear" w:color="auto" w:fill="FFFFFF"/>
              <w:spacing w:before="0" w:beforeAutospacing="0" w:after="0" w:afterAutospacing="0"/>
            </w:pPr>
            <w:r w:rsidRPr="00FB76A9">
              <w:t>„Art. 10.1. Państwa członkowskie organizują i sprawują nadzór rynku zgodnie z niniejszym rozporządzeniem.</w:t>
            </w:r>
          </w:p>
          <w:p w14:paraId="4F90B9FF" w14:textId="77777777" w:rsidR="00A54745" w:rsidRPr="00FB76A9" w:rsidRDefault="00A54745" w:rsidP="00FD5CD5">
            <w:pPr>
              <w:pStyle w:val="oj-normal"/>
              <w:shd w:val="clear" w:color="auto" w:fill="FFFFFF"/>
              <w:spacing w:before="0" w:beforeAutospacing="0" w:after="0" w:afterAutospacing="0"/>
            </w:pPr>
            <w:r w:rsidRPr="00FB76A9">
              <w:t>2. Do celów ust. 1 niniejszego artykułu każde państwo członkowskie wyznacza na swoim terytorium co najmniej jeden organ nadzoru rynku. Każde państwo członkowskie przekazuje Komisji i pozostałym państwom członkowskim informacje o swoich organach nadzoru rynku oraz o zakresie kompetencji każdego z tych organów, wykorzystując do tego system informacyjny i komunikacyjny, o którym mowa w art. 34.</w:t>
            </w:r>
          </w:p>
          <w:p w14:paraId="7E3C5B93" w14:textId="77777777" w:rsidR="00A54745" w:rsidRPr="00FB76A9" w:rsidRDefault="00A54745" w:rsidP="00FD5CD5">
            <w:pPr>
              <w:pStyle w:val="oj-normal"/>
              <w:shd w:val="clear" w:color="auto" w:fill="FFFFFF"/>
              <w:spacing w:before="0" w:beforeAutospacing="0" w:after="0" w:afterAutospacing="0"/>
            </w:pPr>
            <w:r w:rsidRPr="00FB76A9">
              <w:t xml:space="preserve">(…) </w:t>
            </w:r>
          </w:p>
          <w:p w14:paraId="6C9224D7" w14:textId="77777777" w:rsidR="00A54745" w:rsidRPr="00FB76A9" w:rsidRDefault="00A54745" w:rsidP="00FD5CD5">
            <w:pPr>
              <w:pStyle w:val="oj-normal"/>
              <w:shd w:val="clear" w:color="auto" w:fill="FFFFFF"/>
              <w:spacing w:before="0" w:beforeAutospacing="0" w:after="0" w:afterAutospacing="0"/>
            </w:pPr>
            <w:r w:rsidRPr="00FB76A9">
              <w:t>5. W celu sprawowania nadzoru rynku produktów udostępnianych online i offline tak samo skutecznie w przypadku wszystkich kanałów dystrybucji państwa członkowskie zapewniają, aby ich organy nadzoru rynku i jednolity urząd łącznikowy posiadały konieczne zasoby, w tym wystarczające zasoby budżetowe i innego rodzaju zasoby, takie jak odpowiednia liczba kompetentnych członków personelu, a także wiedzę fachową, procedury i inne ustalenia do celów odpowiedniego wykonywania ich obowiązków.</w:t>
            </w:r>
          </w:p>
          <w:p w14:paraId="3D9C317C" w14:textId="77777777" w:rsidR="00A54745" w:rsidRPr="00FB76A9" w:rsidRDefault="00A54745" w:rsidP="00FD5CD5">
            <w:pPr>
              <w:pStyle w:val="oj-normal"/>
              <w:shd w:val="clear" w:color="auto" w:fill="FFFFFF"/>
              <w:spacing w:before="0" w:beforeAutospacing="0" w:after="0" w:afterAutospacing="0"/>
            </w:pPr>
            <w:r w:rsidRPr="00FB76A9">
              <w:t xml:space="preserve">6. Jeżeli na terytorium państwa członkowskiego funkcjonuje więcej niż jeden organ nadzoru rynku, państwa członkowskie zapewniają, aby odpowiednie obowiązki tych organów były jasno określone oraz aby ustanowiono odpowiednie mechanizmy komunikacji i koordynacji, które </w:t>
            </w:r>
            <w:r w:rsidRPr="00FB76A9">
              <w:lastRenderedPageBreak/>
              <w:t>umożliwią organom ścisłą współpracę i skuteczne wykonywanie ich obowiązków.”</w:t>
            </w:r>
          </w:p>
        </w:tc>
        <w:tc>
          <w:tcPr>
            <w:tcW w:w="850" w:type="dxa"/>
            <w:gridSpan w:val="2"/>
            <w:tcBorders>
              <w:top w:val="single" w:sz="4" w:space="0" w:color="auto"/>
              <w:left w:val="single" w:sz="4" w:space="0" w:color="auto"/>
              <w:bottom w:val="single" w:sz="4" w:space="0" w:color="auto"/>
              <w:right w:val="single" w:sz="4" w:space="0" w:color="auto"/>
            </w:tcBorders>
          </w:tcPr>
          <w:p w14:paraId="2C2332BF"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lastRenderedPageBreak/>
              <w:t>T</w:t>
            </w:r>
          </w:p>
        </w:tc>
        <w:tc>
          <w:tcPr>
            <w:tcW w:w="851" w:type="dxa"/>
            <w:gridSpan w:val="2"/>
            <w:tcBorders>
              <w:top w:val="single" w:sz="4" w:space="0" w:color="auto"/>
              <w:left w:val="single" w:sz="4" w:space="0" w:color="auto"/>
              <w:bottom w:val="single" w:sz="4" w:space="0" w:color="auto"/>
              <w:right w:val="single" w:sz="4" w:space="0" w:color="auto"/>
            </w:tcBorders>
          </w:tcPr>
          <w:p w14:paraId="5D5E94EA" w14:textId="77777777" w:rsidR="00A54745" w:rsidRPr="0005306A" w:rsidRDefault="00A54745" w:rsidP="00FD5CD5">
            <w:pPr>
              <w:spacing w:after="0" w:line="240" w:lineRule="auto"/>
              <w:rPr>
                <w:rFonts w:ascii="Times New Roman" w:eastAsia="Times New Roman" w:hAnsi="Times New Roman" w:cs="Times New Roman"/>
                <w:sz w:val="24"/>
                <w:szCs w:val="24"/>
                <w:lang w:val="en-GB" w:eastAsia="pl-PL"/>
              </w:rPr>
            </w:pPr>
            <w:r w:rsidRPr="0005306A">
              <w:rPr>
                <w:rFonts w:ascii="Times New Roman" w:eastAsia="Times New Roman" w:hAnsi="Times New Roman" w:cs="Times New Roman"/>
                <w:sz w:val="24"/>
                <w:szCs w:val="24"/>
                <w:lang w:val="en-GB" w:eastAsia="pl-PL"/>
              </w:rPr>
              <w:t xml:space="preserve">Art. 1 pkt 4 lit. </w:t>
            </w:r>
            <w:r w:rsidR="001B19A7" w:rsidRPr="0005306A">
              <w:rPr>
                <w:rFonts w:ascii="Times New Roman" w:eastAsia="Times New Roman" w:hAnsi="Times New Roman" w:cs="Times New Roman"/>
                <w:sz w:val="24"/>
                <w:szCs w:val="24"/>
                <w:lang w:val="en-GB" w:eastAsia="pl-PL"/>
              </w:rPr>
              <w:t>d</w:t>
            </w:r>
          </w:p>
          <w:p w14:paraId="1083B272" w14:textId="77777777" w:rsidR="00A54745" w:rsidRPr="0005306A" w:rsidRDefault="00A54745" w:rsidP="00FD5CD5">
            <w:pPr>
              <w:spacing w:after="0" w:line="240" w:lineRule="auto"/>
              <w:rPr>
                <w:rFonts w:ascii="Times New Roman" w:eastAsia="Times New Roman" w:hAnsi="Times New Roman" w:cs="Times New Roman"/>
                <w:sz w:val="24"/>
                <w:szCs w:val="24"/>
                <w:lang w:val="en-GB" w:eastAsia="pl-PL"/>
              </w:rPr>
            </w:pPr>
          </w:p>
          <w:p w14:paraId="2761864C" w14:textId="77777777" w:rsidR="00A54745" w:rsidRPr="0005306A" w:rsidRDefault="00A54745" w:rsidP="00FD5CD5">
            <w:pPr>
              <w:spacing w:after="0" w:line="240" w:lineRule="auto"/>
              <w:rPr>
                <w:rFonts w:ascii="Times New Roman" w:eastAsia="Times New Roman" w:hAnsi="Times New Roman" w:cs="Times New Roman"/>
                <w:sz w:val="24"/>
                <w:szCs w:val="24"/>
                <w:lang w:val="en-GB" w:eastAsia="pl-PL"/>
              </w:rPr>
            </w:pPr>
          </w:p>
          <w:p w14:paraId="6369E501" w14:textId="77777777" w:rsidR="00A54745" w:rsidRPr="0005306A" w:rsidRDefault="00A54745" w:rsidP="00FD5CD5">
            <w:pPr>
              <w:spacing w:after="0" w:line="240" w:lineRule="auto"/>
              <w:rPr>
                <w:rFonts w:ascii="Times New Roman" w:eastAsia="Times New Roman" w:hAnsi="Times New Roman" w:cs="Times New Roman"/>
                <w:sz w:val="24"/>
                <w:szCs w:val="24"/>
                <w:lang w:val="en-GB" w:eastAsia="pl-PL"/>
              </w:rPr>
            </w:pPr>
          </w:p>
          <w:p w14:paraId="70833792" w14:textId="77777777" w:rsidR="00A54745" w:rsidRPr="0005306A" w:rsidRDefault="00A54745" w:rsidP="00FD5CD5">
            <w:pPr>
              <w:spacing w:after="0" w:line="240" w:lineRule="auto"/>
              <w:rPr>
                <w:rFonts w:ascii="Times New Roman" w:eastAsia="Times New Roman" w:hAnsi="Times New Roman" w:cs="Times New Roman"/>
                <w:sz w:val="24"/>
                <w:szCs w:val="24"/>
                <w:lang w:val="en-GB" w:eastAsia="pl-PL"/>
              </w:rPr>
            </w:pPr>
          </w:p>
          <w:p w14:paraId="74F7BE91" w14:textId="77777777" w:rsidR="00A54745" w:rsidRPr="0005306A" w:rsidRDefault="00A54745" w:rsidP="00FD5CD5">
            <w:pPr>
              <w:spacing w:after="0" w:line="240" w:lineRule="auto"/>
              <w:rPr>
                <w:rFonts w:ascii="Times New Roman" w:eastAsia="Times New Roman" w:hAnsi="Times New Roman" w:cs="Times New Roman"/>
                <w:sz w:val="24"/>
                <w:szCs w:val="24"/>
                <w:lang w:val="en-GB" w:eastAsia="pl-PL"/>
              </w:rPr>
            </w:pPr>
          </w:p>
          <w:p w14:paraId="5F56BB7B" w14:textId="77777777" w:rsidR="00A54745" w:rsidRPr="0005306A" w:rsidRDefault="00A54745" w:rsidP="00FD5CD5">
            <w:pPr>
              <w:spacing w:after="0" w:line="240" w:lineRule="auto"/>
              <w:rPr>
                <w:rFonts w:ascii="Times New Roman" w:eastAsia="Times New Roman" w:hAnsi="Times New Roman" w:cs="Times New Roman"/>
                <w:sz w:val="24"/>
                <w:szCs w:val="24"/>
                <w:lang w:val="en-GB" w:eastAsia="pl-PL"/>
              </w:rPr>
            </w:pPr>
          </w:p>
          <w:p w14:paraId="1D6352CD" w14:textId="77777777" w:rsidR="00A54745" w:rsidRPr="0005306A" w:rsidRDefault="00A54745" w:rsidP="00FD5CD5">
            <w:pPr>
              <w:spacing w:after="0" w:line="240" w:lineRule="auto"/>
              <w:rPr>
                <w:rFonts w:ascii="Times New Roman" w:eastAsia="Times New Roman" w:hAnsi="Times New Roman" w:cs="Times New Roman"/>
                <w:sz w:val="24"/>
                <w:szCs w:val="24"/>
                <w:lang w:val="en-GB" w:eastAsia="pl-PL"/>
              </w:rPr>
            </w:pPr>
          </w:p>
          <w:p w14:paraId="066C3248" w14:textId="77777777" w:rsidR="00A54745" w:rsidRPr="0005306A" w:rsidRDefault="00A54745" w:rsidP="00FD5CD5">
            <w:pPr>
              <w:spacing w:after="0" w:line="240" w:lineRule="auto"/>
              <w:rPr>
                <w:rFonts w:ascii="Times New Roman" w:eastAsia="Times New Roman" w:hAnsi="Times New Roman" w:cs="Times New Roman"/>
                <w:sz w:val="24"/>
                <w:szCs w:val="24"/>
                <w:lang w:val="en-GB" w:eastAsia="pl-PL"/>
              </w:rPr>
            </w:pPr>
          </w:p>
          <w:p w14:paraId="7FD1A348" w14:textId="77777777" w:rsidR="00A54745" w:rsidRPr="0005306A" w:rsidRDefault="00A54745" w:rsidP="00FD5CD5">
            <w:pPr>
              <w:spacing w:after="0" w:line="240" w:lineRule="auto"/>
              <w:rPr>
                <w:rFonts w:ascii="Times New Roman" w:eastAsia="Times New Roman" w:hAnsi="Times New Roman" w:cs="Times New Roman"/>
                <w:sz w:val="24"/>
                <w:szCs w:val="24"/>
                <w:lang w:val="en-GB" w:eastAsia="pl-PL"/>
              </w:rPr>
            </w:pPr>
          </w:p>
          <w:p w14:paraId="28720B07" w14:textId="77777777" w:rsidR="00A54745" w:rsidRPr="0005306A" w:rsidRDefault="00A54745" w:rsidP="00FD5CD5">
            <w:pPr>
              <w:spacing w:after="0" w:line="240" w:lineRule="auto"/>
              <w:rPr>
                <w:rFonts w:ascii="Times New Roman" w:eastAsia="Times New Roman" w:hAnsi="Times New Roman" w:cs="Times New Roman"/>
                <w:sz w:val="24"/>
                <w:szCs w:val="24"/>
                <w:lang w:val="en-GB" w:eastAsia="pl-PL"/>
              </w:rPr>
            </w:pPr>
          </w:p>
          <w:p w14:paraId="3A1DC769" w14:textId="77777777" w:rsidR="00A54745" w:rsidRPr="0005306A" w:rsidRDefault="00A54745" w:rsidP="00FD5CD5">
            <w:pPr>
              <w:spacing w:after="0" w:line="240" w:lineRule="auto"/>
              <w:rPr>
                <w:rFonts w:ascii="Times New Roman" w:eastAsia="Times New Roman" w:hAnsi="Times New Roman" w:cs="Times New Roman"/>
                <w:sz w:val="24"/>
                <w:szCs w:val="24"/>
                <w:lang w:val="en-GB" w:eastAsia="pl-PL"/>
              </w:rPr>
            </w:pPr>
          </w:p>
          <w:p w14:paraId="2377E601" w14:textId="77777777" w:rsidR="00A54745" w:rsidRPr="0005306A" w:rsidRDefault="00A54745" w:rsidP="00FD5CD5">
            <w:pPr>
              <w:spacing w:after="0" w:line="240" w:lineRule="auto"/>
              <w:rPr>
                <w:rFonts w:ascii="Times New Roman" w:eastAsia="Times New Roman" w:hAnsi="Times New Roman" w:cs="Times New Roman"/>
                <w:sz w:val="24"/>
                <w:szCs w:val="24"/>
                <w:lang w:val="en-GB" w:eastAsia="pl-PL"/>
              </w:rPr>
            </w:pPr>
          </w:p>
          <w:p w14:paraId="49BF8C8E" w14:textId="77777777" w:rsidR="00A54745" w:rsidRPr="0005306A" w:rsidRDefault="00A54745" w:rsidP="00FD5CD5">
            <w:pPr>
              <w:spacing w:after="0" w:line="240" w:lineRule="auto"/>
              <w:rPr>
                <w:rFonts w:ascii="Times New Roman" w:eastAsia="Times New Roman" w:hAnsi="Times New Roman" w:cs="Times New Roman"/>
                <w:sz w:val="24"/>
                <w:szCs w:val="24"/>
                <w:lang w:val="en-GB" w:eastAsia="pl-PL"/>
              </w:rPr>
            </w:pPr>
          </w:p>
          <w:p w14:paraId="547FF568" w14:textId="77777777" w:rsidR="00A54745" w:rsidRPr="0005306A" w:rsidRDefault="00A54745" w:rsidP="00FD5CD5">
            <w:pPr>
              <w:spacing w:after="0" w:line="240" w:lineRule="auto"/>
              <w:rPr>
                <w:rFonts w:ascii="Times New Roman" w:eastAsia="Times New Roman" w:hAnsi="Times New Roman" w:cs="Times New Roman"/>
                <w:sz w:val="24"/>
                <w:szCs w:val="24"/>
                <w:lang w:val="en-GB" w:eastAsia="pl-PL"/>
              </w:rPr>
            </w:pPr>
          </w:p>
          <w:p w14:paraId="4BF67E1B" w14:textId="77777777" w:rsidR="00A54745" w:rsidRPr="0005306A" w:rsidRDefault="00A54745" w:rsidP="00FD5CD5">
            <w:pPr>
              <w:spacing w:after="0" w:line="240" w:lineRule="auto"/>
              <w:rPr>
                <w:rFonts w:ascii="Times New Roman" w:eastAsia="Times New Roman" w:hAnsi="Times New Roman" w:cs="Times New Roman"/>
                <w:sz w:val="24"/>
                <w:szCs w:val="24"/>
                <w:lang w:val="en-GB" w:eastAsia="pl-PL"/>
              </w:rPr>
            </w:pPr>
          </w:p>
          <w:p w14:paraId="4A50BE28" w14:textId="77777777" w:rsidR="00A54745" w:rsidRPr="0005306A" w:rsidRDefault="00A54745" w:rsidP="00FD5CD5">
            <w:pPr>
              <w:spacing w:after="0" w:line="240" w:lineRule="auto"/>
              <w:rPr>
                <w:rFonts w:ascii="Times New Roman" w:eastAsia="Times New Roman" w:hAnsi="Times New Roman" w:cs="Times New Roman"/>
                <w:sz w:val="24"/>
                <w:szCs w:val="24"/>
                <w:lang w:val="en-GB" w:eastAsia="pl-PL"/>
              </w:rPr>
            </w:pPr>
          </w:p>
          <w:p w14:paraId="169BD109" w14:textId="77777777" w:rsidR="00A54745" w:rsidRPr="0005306A" w:rsidRDefault="00A54745" w:rsidP="00FD5CD5">
            <w:pPr>
              <w:spacing w:after="0" w:line="240" w:lineRule="auto"/>
              <w:rPr>
                <w:rFonts w:ascii="Times New Roman" w:eastAsia="Times New Roman" w:hAnsi="Times New Roman" w:cs="Times New Roman"/>
                <w:sz w:val="24"/>
                <w:szCs w:val="24"/>
                <w:lang w:val="en-GB" w:eastAsia="pl-PL"/>
              </w:rPr>
            </w:pPr>
          </w:p>
          <w:p w14:paraId="72AF0B33" w14:textId="77777777" w:rsidR="00A54745" w:rsidRPr="0005306A" w:rsidRDefault="00A54745" w:rsidP="00FD5CD5">
            <w:pPr>
              <w:spacing w:after="0" w:line="240" w:lineRule="auto"/>
              <w:rPr>
                <w:rFonts w:ascii="Times New Roman" w:eastAsia="Times New Roman" w:hAnsi="Times New Roman" w:cs="Times New Roman"/>
                <w:sz w:val="24"/>
                <w:szCs w:val="24"/>
                <w:lang w:val="en-GB" w:eastAsia="pl-PL"/>
              </w:rPr>
            </w:pPr>
          </w:p>
          <w:p w14:paraId="404DA7ED" w14:textId="77777777" w:rsidR="000A0E57" w:rsidRPr="0005306A" w:rsidRDefault="000A0E57" w:rsidP="00FD5CD5">
            <w:pPr>
              <w:spacing w:after="0" w:line="240" w:lineRule="auto"/>
              <w:rPr>
                <w:rFonts w:ascii="Times New Roman" w:eastAsia="Times New Roman" w:hAnsi="Times New Roman" w:cs="Times New Roman"/>
                <w:sz w:val="24"/>
                <w:szCs w:val="24"/>
                <w:lang w:val="en-GB" w:eastAsia="pl-PL"/>
              </w:rPr>
            </w:pPr>
          </w:p>
          <w:p w14:paraId="7E30076F" w14:textId="77777777" w:rsidR="000A0E57" w:rsidRPr="0005306A" w:rsidRDefault="000A0E57" w:rsidP="00FD5CD5">
            <w:pPr>
              <w:spacing w:after="0" w:line="240" w:lineRule="auto"/>
              <w:rPr>
                <w:rFonts w:ascii="Times New Roman" w:eastAsia="Times New Roman" w:hAnsi="Times New Roman" w:cs="Times New Roman"/>
                <w:sz w:val="24"/>
                <w:szCs w:val="24"/>
                <w:lang w:val="en-GB" w:eastAsia="pl-PL"/>
              </w:rPr>
            </w:pPr>
          </w:p>
          <w:p w14:paraId="139A3373" w14:textId="77777777" w:rsidR="000A0E57" w:rsidRPr="0005306A" w:rsidRDefault="000A0E57" w:rsidP="00FD5CD5">
            <w:pPr>
              <w:spacing w:after="0" w:line="240" w:lineRule="auto"/>
              <w:rPr>
                <w:rFonts w:ascii="Times New Roman" w:eastAsia="Times New Roman" w:hAnsi="Times New Roman" w:cs="Times New Roman"/>
                <w:sz w:val="24"/>
                <w:szCs w:val="24"/>
                <w:lang w:val="en-GB" w:eastAsia="pl-PL"/>
              </w:rPr>
            </w:pPr>
          </w:p>
          <w:p w14:paraId="1DB47BA6" w14:textId="77777777" w:rsidR="008D2BE4" w:rsidRPr="0005306A" w:rsidRDefault="008D2BE4" w:rsidP="00FD5CD5">
            <w:pPr>
              <w:spacing w:after="0" w:line="240" w:lineRule="auto"/>
              <w:rPr>
                <w:rFonts w:ascii="Times New Roman" w:eastAsia="Times New Roman" w:hAnsi="Times New Roman" w:cs="Times New Roman"/>
                <w:sz w:val="24"/>
                <w:szCs w:val="24"/>
                <w:lang w:val="en-GB" w:eastAsia="pl-PL"/>
              </w:rPr>
            </w:pPr>
          </w:p>
          <w:p w14:paraId="2FF863FA" w14:textId="77777777" w:rsidR="008D2BE4" w:rsidRPr="0005306A" w:rsidRDefault="008D2BE4" w:rsidP="00FD5CD5">
            <w:pPr>
              <w:spacing w:after="0" w:line="240" w:lineRule="auto"/>
              <w:rPr>
                <w:rFonts w:ascii="Times New Roman" w:eastAsia="Times New Roman" w:hAnsi="Times New Roman" w:cs="Times New Roman"/>
                <w:sz w:val="24"/>
                <w:szCs w:val="24"/>
                <w:lang w:val="en-GB" w:eastAsia="pl-PL"/>
              </w:rPr>
            </w:pPr>
            <w:r w:rsidRPr="0005306A">
              <w:rPr>
                <w:rFonts w:ascii="Times New Roman" w:eastAsia="Times New Roman" w:hAnsi="Times New Roman" w:cs="Times New Roman"/>
                <w:sz w:val="24"/>
                <w:szCs w:val="24"/>
                <w:lang w:val="en-GB" w:eastAsia="pl-PL"/>
              </w:rPr>
              <w:t>Art. 1 pkt 4 lit. e</w:t>
            </w:r>
          </w:p>
          <w:p w14:paraId="67202B09" w14:textId="77777777" w:rsidR="008D2BE4" w:rsidRPr="0005306A" w:rsidRDefault="008D2BE4" w:rsidP="00FD5CD5">
            <w:pPr>
              <w:spacing w:after="0" w:line="240" w:lineRule="auto"/>
              <w:rPr>
                <w:rFonts w:ascii="Times New Roman" w:eastAsia="Times New Roman" w:hAnsi="Times New Roman" w:cs="Times New Roman"/>
                <w:sz w:val="24"/>
                <w:szCs w:val="24"/>
                <w:lang w:val="en-GB" w:eastAsia="pl-PL"/>
              </w:rPr>
            </w:pPr>
          </w:p>
          <w:p w14:paraId="581FE178" w14:textId="77777777" w:rsidR="008D2BE4" w:rsidRPr="0005306A" w:rsidRDefault="008D2BE4" w:rsidP="00FD5CD5">
            <w:pPr>
              <w:spacing w:after="0" w:line="240" w:lineRule="auto"/>
              <w:rPr>
                <w:rFonts w:ascii="Times New Roman" w:eastAsia="Times New Roman" w:hAnsi="Times New Roman" w:cs="Times New Roman"/>
                <w:sz w:val="24"/>
                <w:szCs w:val="24"/>
                <w:lang w:val="en-GB" w:eastAsia="pl-PL"/>
              </w:rPr>
            </w:pPr>
          </w:p>
          <w:p w14:paraId="5A199355" w14:textId="77777777" w:rsidR="008D2BE4" w:rsidRPr="0005306A" w:rsidRDefault="008D2BE4" w:rsidP="00FD5CD5">
            <w:pPr>
              <w:spacing w:after="0" w:line="240" w:lineRule="auto"/>
              <w:rPr>
                <w:rFonts w:ascii="Times New Roman" w:eastAsia="Times New Roman" w:hAnsi="Times New Roman" w:cs="Times New Roman"/>
                <w:sz w:val="24"/>
                <w:szCs w:val="24"/>
                <w:lang w:val="en-GB" w:eastAsia="pl-PL"/>
              </w:rPr>
            </w:pPr>
          </w:p>
          <w:p w14:paraId="2235FC72" w14:textId="77777777" w:rsidR="008D2BE4" w:rsidRPr="0005306A" w:rsidRDefault="008D2BE4" w:rsidP="00FD5CD5">
            <w:pPr>
              <w:spacing w:after="0" w:line="240" w:lineRule="auto"/>
              <w:rPr>
                <w:rFonts w:ascii="Times New Roman" w:eastAsia="Times New Roman" w:hAnsi="Times New Roman" w:cs="Times New Roman"/>
                <w:sz w:val="24"/>
                <w:szCs w:val="24"/>
                <w:lang w:val="en-GB" w:eastAsia="pl-PL"/>
              </w:rPr>
            </w:pPr>
          </w:p>
          <w:p w14:paraId="0C226FB8" w14:textId="77777777" w:rsidR="008D2BE4" w:rsidRPr="0005306A" w:rsidRDefault="008D2BE4" w:rsidP="00FD5CD5">
            <w:pPr>
              <w:spacing w:after="0" w:line="240" w:lineRule="auto"/>
              <w:rPr>
                <w:rFonts w:ascii="Times New Roman" w:eastAsia="Times New Roman" w:hAnsi="Times New Roman" w:cs="Times New Roman"/>
                <w:sz w:val="24"/>
                <w:szCs w:val="24"/>
                <w:lang w:val="en-GB" w:eastAsia="pl-PL"/>
              </w:rPr>
            </w:pPr>
          </w:p>
          <w:p w14:paraId="20249234" w14:textId="77777777" w:rsidR="008D2BE4" w:rsidRPr="0005306A" w:rsidRDefault="008D2BE4" w:rsidP="00FD5CD5">
            <w:pPr>
              <w:spacing w:after="0" w:line="240" w:lineRule="auto"/>
              <w:rPr>
                <w:rFonts w:ascii="Times New Roman" w:eastAsia="Times New Roman" w:hAnsi="Times New Roman" w:cs="Times New Roman"/>
                <w:sz w:val="24"/>
                <w:szCs w:val="24"/>
                <w:lang w:val="en-GB" w:eastAsia="pl-PL"/>
              </w:rPr>
            </w:pPr>
          </w:p>
          <w:p w14:paraId="36099CBF" w14:textId="77777777" w:rsidR="008D2BE4" w:rsidRPr="0005306A" w:rsidRDefault="008D2BE4" w:rsidP="00FD5CD5">
            <w:pPr>
              <w:spacing w:after="0" w:line="240" w:lineRule="auto"/>
              <w:rPr>
                <w:rFonts w:ascii="Times New Roman" w:eastAsia="Times New Roman" w:hAnsi="Times New Roman" w:cs="Times New Roman"/>
                <w:sz w:val="24"/>
                <w:szCs w:val="24"/>
                <w:lang w:val="en-GB" w:eastAsia="pl-PL"/>
              </w:rPr>
            </w:pPr>
          </w:p>
          <w:p w14:paraId="29CF2CA5" w14:textId="77777777" w:rsidR="008D2BE4" w:rsidRPr="0005306A" w:rsidRDefault="008D2BE4" w:rsidP="00FD5CD5">
            <w:pPr>
              <w:spacing w:after="0" w:line="240" w:lineRule="auto"/>
              <w:rPr>
                <w:rFonts w:ascii="Times New Roman" w:eastAsia="Times New Roman" w:hAnsi="Times New Roman" w:cs="Times New Roman"/>
                <w:sz w:val="24"/>
                <w:szCs w:val="24"/>
                <w:lang w:val="en-GB" w:eastAsia="pl-PL"/>
              </w:rPr>
            </w:pPr>
          </w:p>
          <w:p w14:paraId="0BF086F1" w14:textId="77777777" w:rsidR="008D2BE4" w:rsidRPr="0005306A" w:rsidRDefault="008D2BE4" w:rsidP="00FD5CD5">
            <w:pPr>
              <w:spacing w:after="0" w:line="240" w:lineRule="auto"/>
              <w:rPr>
                <w:rFonts w:ascii="Times New Roman" w:eastAsia="Times New Roman" w:hAnsi="Times New Roman" w:cs="Times New Roman"/>
                <w:sz w:val="24"/>
                <w:szCs w:val="24"/>
                <w:lang w:val="en-GB" w:eastAsia="pl-PL"/>
              </w:rPr>
            </w:pPr>
          </w:p>
          <w:p w14:paraId="25758C97" w14:textId="77777777" w:rsidR="008D2BE4" w:rsidRPr="0005306A" w:rsidRDefault="008D2BE4" w:rsidP="00FD5CD5">
            <w:pPr>
              <w:spacing w:after="0" w:line="240" w:lineRule="auto"/>
              <w:rPr>
                <w:rFonts w:ascii="Times New Roman" w:eastAsia="Times New Roman" w:hAnsi="Times New Roman" w:cs="Times New Roman"/>
                <w:sz w:val="24"/>
                <w:szCs w:val="24"/>
                <w:lang w:val="en-GB" w:eastAsia="pl-PL"/>
              </w:rPr>
            </w:pPr>
          </w:p>
          <w:p w14:paraId="299F49CF" w14:textId="77777777" w:rsidR="008D2BE4" w:rsidRPr="0005306A" w:rsidRDefault="008D2BE4" w:rsidP="00FD5CD5">
            <w:pPr>
              <w:spacing w:after="0" w:line="240" w:lineRule="auto"/>
              <w:rPr>
                <w:rFonts w:ascii="Times New Roman" w:eastAsia="Times New Roman" w:hAnsi="Times New Roman" w:cs="Times New Roman"/>
                <w:sz w:val="24"/>
                <w:szCs w:val="24"/>
                <w:lang w:val="en-GB" w:eastAsia="pl-PL"/>
              </w:rPr>
            </w:pPr>
          </w:p>
          <w:p w14:paraId="5EDF5294" w14:textId="77777777" w:rsidR="00A54745" w:rsidRPr="0005306A" w:rsidRDefault="00A54745" w:rsidP="00FD5CD5">
            <w:pPr>
              <w:spacing w:after="0" w:line="240" w:lineRule="auto"/>
              <w:rPr>
                <w:rFonts w:ascii="Times New Roman" w:eastAsia="Times New Roman" w:hAnsi="Times New Roman" w:cs="Times New Roman"/>
                <w:sz w:val="24"/>
                <w:szCs w:val="24"/>
                <w:lang w:val="en-GB" w:eastAsia="pl-PL"/>
              </w:rPr>
            </w:pPr>
            <w:r w:rsidRPr="0005306A">
              <w:rPr>
                <w:rFonts w:ascii="Times New Roman" w:eastAsia="Times New Roman" w:hAnsi="Times New Roman" w:cs="Times New Roman"/>
                <w:sz w:val="24"/>
                <w:szCs w:val="24"/>
                <w:lang w:val="en-GB" w:eastAsia="pl-PL"/>
              </w:rPr>
              <w:t xml:space="preserve">Art. 1 pkt </w:t>
            </w:r>
            <w:r w:rsidR="001B19A7" w:rsidRPr="0005306A">
              <w:rPr>
                <w:rFonts w:ascii="Times New Roman" w:eastAsia="Times New Roman" w:hAnsi="Times New Roman" w:cs="Times New Roman"/>
                <w:sz w:val="24"/>
                <w:szCs w:val="24"/>
                <w:lang w:val="en-GB" w:eastAsia="pl-PL"/>
              </w:rPr>
              <w:t>21</w:t>
            </w:r>
            <w:r w:rsidRPr="0005306A">
              <w:rPr>
                <w:rFonts w:ascii="Times New Roman" w:eastAsia="Times New Roman" w:hAnsi="Times New Roman" w:cs="Times New Roman"/>
                <w:sz w:val="24"/>
                <w:szCs w:val="24"/>
                <w:lang w:val="en-GB" w:eastAsia="pl-PL"/>
              </w:rPr>
              <w:t xml:space="preserve"> </w:t>
            </w:r>
          </w:p>
        </w:tc>
        <w:tc>
          <w:tcPr>
            <w:tcW w:w="5103" w:type="dxa"/>
            <w:gridSpan w:val="2"/>
            <w:tcBorders>
              <w:top w:val="single" w:sz="4" w:space="0" w:color="auto"/>
              <w:left w:val="single" w:sz="4" w:space="0" w:color="auto"/>
              <w:bottom w:val="single" w:sz="4" w:space="0" w:color="auto"/>
              <w:right w:val="single" w:sz="4" w:space="0" w:color="auto"/>
            </w:tcBorders>
          </w:tcPr>
          <w:p w14:paraId="386FE370" w14:textId="77777777" w:rsidR="00CF37BF" w:rsidRPr="0005306A" w:rsidRDefault="00CF37BF" w:rsidP="00FD5CD5">
            <w:pPr>
              <w:pStyle w:val="ZLITUSTzmustliter"/>
              <w:spacing w:line="240" w:lineRule="auto"/>
              <w:ind w:left="0" w:firstLine="0"/>
              <w:jc w:val="left"/>
              <w:rPr>
                <w:rFonts w:ascii="Times New Roman" w:hAnsi="Times New Roman" w:cs="Times New Roman"/>
                <w:szCs w:val="24"/>
              </w:rPr>
            </w:pPr>
            <w:r w:rsidRPr="0005306A">
              <w:lastRenderedPageBreak/>
              <w:t xml:space="preserve">„3.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w:t>
            </w:r>
            <w:bookmarkStart w:id="72" w:name="_Hlk233375634"/>
            <w:r w:rsidRPr="0005306A">
              <w:t xml:space="preserve">2019/1020 </w:t>
            </w:r>
            <w:bookmarkEnd w:id="72"/>
            <w:r w:rsidRPr="0005306A">
              <w:t xml:space="preserve">w odniesieniu do krajowej homologacji typu pojazdu, homologacji dodatkowej instalacji zasilania gazem pojazdu, krajowego indywidualnego dopuszczenia pojazdu niebędącego nowym pojazdem oraz spełniania przez rowery, wózki rowerowe, hulajnogi elektryczne oraz urządzenia transportu osobistego warunków technicznych, </w:t>
            </w:r>
            <w:r w:rsidRPr="0005306A">
              <w:rPr>
                <w:rFonts w:ascii="Times New Roman" w:hAnsi="Times New Roman" w:cs="Times New Roman"/>
                <w:szCs w:val="24"/>
              </w:rPr>
              <w:t>o których mowa w art. 66 ust. 1 ustawy z dnia 20 czerwca 1997 r. – Prawo o ruchu drogowym oraz określonych w przepisach wydanych na podstawie art. 66 ust. 5 tej ustawy</w:t>
            </w:r>
            <w:r w:rsidRPr="0005306A">
              <w:t>, zgodnie z zasadami i procedurami określonymi w rozporządzeniu 2019/1020, które stanowi ramy dla kontroli produktów.”</w:t>
            </w:r>
          </w:p>
          <w:p w14:paraId="37751A34" w14:textId="77777777" w:rsidR="007702C5" w:rsidRPr="0005306A" w:rsidRDefault="007702C5" w:rsidP="00FD5CD5">
            <w:pPr>
              <w:pStyle w:val="ZROZDZODDZOZNzmoznrozdzoddzartykuempunktem"/>
              <w:spacing w:line="240" w:lineRule="auto"/>
              <w:ind w:left="0"/>
              <w:jc w:val="left"/>
              <w:rPr>
                <w:rFonts w:ascii="Times New Roman" w:hAnsi="Times New Roman" w:cs="Times New Roman"/>
              </w:rPr>
            </w:pPr>
          </w:p>
          <w:p w14:paraId="227B008E" w14:textId="77777777" w:rsidR="008D2BE4" w:rsidRPr="0005306A" w:rsidRDefault="008D2BE4" w:rsidP="008D2BE4">
            <w:pPr>
              <w:pStyle w:val="ZLITUSTzmustliter"/>
              <w:spacing w:line="240" w:lineRule="auto"/>
              <w:ind w:left="0" w:firstLine="0"/>
            </w:pPr>
            <w:r w:rsidRPr="0005306A">
              <w:t xml:space="preserve">„Art. 3.4. Organy administracji rządowej i samorządowej, państwowe osoby prawne oraz państwowe i samorządowe jednostki organizacyjne są obowiązane, wyłącznie w zakresie swojej właściwości oraz z uwzględnieniem swoich realnych możliwości organizacyjnych i finansowych, współdziałać z Dyrektorem TDT, </w:t>
            </w:r>
            <w:r w:rsidRPr="0005306A">
              <w:lastRenderedPageBreak/>
              <w:t>nieodpłatnie udostępniać Dyrektorowi TDT informacje w sprawach indywidualnych oraz udzielać Dyrektorowi TDT pomocy, w tym pomocy technicznej przy wykonywaniu jego zadań wynikających z ustawy.”;</w:t>
            </w:r>
          </w:p>
          <w:p w14:paraId="63D0FBE2" w14:textId="77777777" w:rsidR="008D2BE4" w:rsidRPr="0005306A" w:rsidRDefault="008D2BE4" w:rsidP="008D2BE4">
            <w:pPr>
              <w:pStyle w:val="ZARTzmartartykuempunktem"/>
              <w:ind w:left="0" w:firstLine="0"/>
            </w:pPr>
          </w:p>
          <w:p w14:paraId="635C050F" w14:textId="77777777" w:rsidR="007702C5" w:rsidRPr="0005306A" w:rsidRDefault="007702C5" w:rsidP="00FD5CD5">
            <w:pPr>
              <w:pStyle w:val="ZROZDZODDZOZNzmoznrozdzoddzartykuempunktem"/>
              <w:spacing w:line="240" w:lineRule="auto"/>
              <w:ind w:left="0"/>
              <w:jc w:val="left"/>
              <w:rPr>
                <w:rFonts w:ascii="Times New Roman" w:hAnsi="Times New Roman" w:cs="Times New Roman"/>
              </w:rPr>
            </w:pPr>
            <w:r w:rsidRPr="0005306A">
              <w:rPr>
                <w:rFonts w:ascii="Times New Roman" w:hAnsi="Times New Roman" w:cs="Times New Roman"/>
              </w:rPr>
              <w:t>„Rozdział 4b</w:t>
            </w:r>
          </w:p>
          <w:p w14:paraId="5C3B093B" w14:textId="77777777" w:rsidR="007702C5" w:rsidRPr="0005306A" w:rsidRDefault="007702C5" w:rsidP="00FD5CD5">
            <w:pPr>
              <w:pStyle w:val="ZROZDZODDZPRZEDMzmprzedmrozdzoddzartykuempunktem"/>
              <w:spacing w:before="0" w:after="0" w:line="240" w:lineRule="auto"/>
              <w:ind w:left="0"/>
              <w:jc w:val="left"/>
              <w:rPr>
                <w:rFonts w:ascii="Times New Roman" w:hAnsi="Times New Roman"/>
              </w:rPr>
            </w:pPr>
            <w:r w:rsidRPr="0005306A">
              <w:rPr>
                <w:rFonts w:ascii="Times New Roman" w:hAnsi="Times New Roman"/>
              </w:rPr>
              <w:t>Nadzór rynku</w:t>
            </w:r>
          </w:p>
          <w:p w14:paraId="5FDE1524" w14:textId="77777777" w:rsidR="007702C5" w:rsidRPr="0005306A" w:rsidRDefault="007702C5" w:rsidP="00FD5CD5">
            <w:pPr>
              <w:pStyle w:val="ZARTzmartartykuempunktem"/>
              <w:keepNext/>
              <w:spacing w:line="240" w:lineRule="auto"/>
              <w:ind w:left="0" w:firstLine="0"/>
              <w:jc w:val="left"/>
              <w:rPr>
                <w:rFonts w:ascii="Times New Roman" w:hAnsi="Times New Roman" w:cs="Times New Roman"/>
                <w:szCs w:val="24"/>
              </w:rPr>
            </w:pPr>
            <w:r w:rsidRPr="0005306A">
              <w:rPr>
                <w:rFonts w:ascii="Times New Roman" w:hAnsi="Times New Roman" w:cs="Times New Roman"/>
                <w:szCs w:val="24"/>
              </w:rPr>
              <w:t>Art. 68s. 1. Dyrektor TDT jako organ nadzoru rynku jest uprawniony do:</w:t>
            </w:r>
          </w:p>
          <w:p w14:paraId="65DDF7D1" w14:textId="77777777" w:rsidR="007702C5" w:rsidRPr="0005306A" w:rsidRDefault="007702C5" w:rsidP="005E0F9D">
            <w:pPr>
              <w:pStyle w:val="ZPKTzmpktartykuempunktem"/>
              <w:numPr>
                <w:ilvl w:val="0"/>
                <w:numId w:val="29"/>
              </w:numPr>
              <w:spacing w:line="240" w:lineRule="auto"/>
              <w:ind w:right="215"/>
              <w:jc w:val="left"/>
              <w:rPr>
                <w:rFonts w:ascii="Times New Roman" w:hAnsi="Times New Roman" w:cs="Times New Roman"/>
                <w:szCs w:val="24"/>
              </w:rPr>
            </w:pPr>
            <w:r w:rsidRPr="0005306A">
              <w:rPr>
                <w:rFonts w:ascii="Times New Roman" w:hAnsi="Times New Roman" w:cs="Times New Roman"/>
                <w:szCs w:val="24"/>
              </w:rPr>
              <w:t>realizacji czynności, o których mowa w art. 14 ust. 4 rozporządzenia 2019/1020 względem podmiotu gospodarczego lub posiadacza pojazdu, przedmiotu wyposażenia lub części niebędącego użytkownikiem końcowym;</w:t>
            </w:r>
          </w:p>
          <w:p w14:paraId="0F7902CB" w14:textId="77777777" w:rsidR="007702C5" w:rsidRPr="0005306A" w:rsidRDefault="007702C5" w:rsidP="005E0F9D">
            <w:pPr>
              <w:pStyle w:val="ZPKTzmpktartykuempunktem"/>
              <w:numPr>
                <w:ilvl w:val="0"/>
                <w:numId w:val="29"/>
              </w:numPr>
              <w:spacing w:line="240" w:lineRule="auto"/>
              <w:ind w:right="215"/>
              <w:jc w:val="left"/>
              <w:rPr>
                <w:rFonts w:ascii="Times New Roman" w:hAnsi="Times New Roman" w:cs="Times New Roman"/>
                <w:szCs w:val="24"/>
              </w:rPr>
            </w:pPr>
            <w:r w:rsidRPr="0005306A">
              <w:rPr>
                <w:rFonts w:ascii="Times New Roman" w:hAnsi="Times New Roman" w:cs="Times New Roman"/>
                <w:szCs w:val="24"/>
              </w:rPr>
              <w:t>realizacji zadań, o których mowa w art. 12, art. 22−24, rozdziale VII rozporządzenia 2019/1020;</w:t>
            </w:r>
          </w:p>
          <w:p w14:paraId="306CCE82" w14:textId="77777777" w:rsidR="007702C5" w:rsidRPr="0005306A" w:rsidRDefault="007702C5" w:rsidP="005E0F9D">
            <w:pPr>
              <w:pStyle w:val="ZPKTzmpktartykuempunktem"/>
              <w:numPr>
                <w:ilvl w:val="0"/>
                <w:numId w:val="29"/>
              </w:numPr>
              <w:spacing w:line="240" w:lineRule="auto"/>
              <w:ind w:right="215"/>
              <w:jc w:val="left"/>
              <w:rPr>
                <w:rFonts w:ascii="Times New Roman" w:hAnsi="Times New Roman" w:cs="Times New Roman"/>
                <w:szCs w:val="24"/>
              </w:rPr>
            </w:pPr>
            <w:r w:rsidRPr="0005306A">
              <w:rPr>
                <w:rFonts w:ascii="Times New Roman" w:hAnsi="Times New Roman" w:cs="Times New Roman"/>
                <w:szCs w:val="24"/>
              </w:rPr>
              <w:t>wymagania od operatora platformy lub dostawcy usług społeczeństwa informacyjnego przedstawienia informacji niezbędnych do ustalenia własności stron internetowych w toku prowadzenia czynności wyjaśniających, kontroli, badań lub postępowań administracyjnych;</w:t>
            </w:r>
          </w:p>
          <w:p w14:paraId="593B23DF" w14:textId="77777777" w:rsidR="007702C5" w:rsidRPr="0005306A" w:rsidRDefault="007702C5" w:rsidP="005E0F9D">
            <w:pPr>
              <w:pStyle w:val="ZPKTzmpktartykuempunktem"/>
              <w:numPr>
                <w:ilvl w:val="0"/>
                <w:numId w:val="29"/>
              </w:numPr>
              <w:spacing w:line="240" w:lineRule="auto"/>
              <w:ind w:right="215"/>
              <w:jc w:val="left"/>
              <w:rPr>
                <w:rFonts w:ascii="Times New Roman" w:hAnsi="Times New Roman" w:cs="Times New Roman"/>
                <w:szCs w:val="24"/>
              </w:rPr>
            </w:pPr>
            <w:r w:rsidRPr="0005306A">
              <w:rPr>
                <w:rFonts w:ascii="Times New Roman" w:hAnsi="Times New Roman" w:cs="Times New Roman"/>
                <w:szCs w:val="24"/>
              </w:rPr>
              <w:t xml:space="preserve">wymagania od operatora platformy lub dostawcy usług społeczeństwa informacyjnego podjęcia działań w ramach interfejsu online, w tym usunięcia z interfejsu online treści odnoszących się </w:t>
            </w:r>
            <w:r w:rsidRPr="0005306A">
              <w:rPr>
                <w:rFonts w:ascii="Times New Roman" w:hAnsi="Times New Roman" w:cs="Times New Roman"/>
                <w:szCs w:val="24"/>
              </w:rPr>
              <w:lastRenderedPageBreak/>
              <w:t>do pojazdu, przedmiotu wyposażenia i części, wobec których stwierdzono niezgodność z wymaganiami technicznymi lub poważne ryzyko, zawieszenia konta podmiotu gospodarczego na platformie lub wyświetlenia wyraźnego ostrzeżenia dla użytkowników końcowych uzyskujących dostęp do oferty tego pojazdu, przedmiotu wyposażenia lub części;</w:t>
            </w:r>
          </w:p>
          <w:p w14:paraId="4CDC0943" w14:textId="77777777" w:rsidR="007702C5" w:rsidRPr="0005306A" w:rsidRDefault="007702C5" w:rsidP="005E0F9D">
            <w:pPr>
              <w:pStyle w:val="ZPKTzmpktartykuempunktem"/>
              <w:numPr>
                <w:ilvl w:val="0"/>
                <w:numId w:val="29"/>
              </w:numPr>
              <w:spacing w:line="240" w:lineRule="auto"/>
              <w:ind w:right="215"/>
              <w:jc w:val="left"/>
              <w:rPr>
                <w:rFonts w:ascii="Times New Roman" w:hAnsi="Times New Roman" w:cs="Times New Roman"/>
                <w:szCs w:val="24"/>
              </w:rPr>
            </w:pPr>
            <w:r w:rsidRPr="0005306A">
              <w:rPr>
                <w:rFonts w:ascii="Times New Roman" w:hAnsi="Times New Roman" w:cs="Times New Roman"/>
                <w:szCs w:val="24"/>
              </w:rPr>
              <w:t>zasięgania z urzędu niezbędnych opinii eksperckich, w tym  w toku kontroli dokumentów, fizycznej lub laboratoryjnej kontroli pojazdów, przedmiotów wyposażenia lub części lub prowadzonych postępowań administracyjnych;</w:t>
            </w:r>
          </w:p>
          <w:p w14:paraId="305C34B8" w14:textId="77777777" w:rsidR="007702C5" w:rsidRPr="0005306A" w:rsidRDefault="007702C5" w:rsidP="005E0F9D">
            <w:pPr>
              <w:pStyle w:val="ZPKTzmpktartykuempunktem"/>
              <w:numPr>
                <w:ilvl w:val="0"/>
                <w:numId w:val="29"/>
              </w:numPr>
              <w:spacing w:line="240" w:lineRule="auto"/>
              <w:ind w:right="215"/>
              <w:jc w:val="left"/>
              <w:rPr>
                <w:rFonts w:ascii="Times New Roman" w:hAnsi="Times New Roman" w:cs="Times New Roman"/>
                <w:szCs w:val="24"/>
              </w:rPr>
            </w:pPr>
            <w:r w:rsidRPr="0005306A">
              <w:rPr>
                <w:rFonts w:ascii="Times New Roman" w:hAnsi="Times New Roman" w:cs="Times New Roman"/>
                <w:szCs w:val="24"/>
              </w:rPr>
              <w:t>prowadzenia nieodpłatnych kampanii informacyjnych dla obywateli w mediach publicznych, komercyjnych i społecznościowych;</w:t>
            </w:r>
          </w:p>
          <w:p w14:paraId="5C5F4777" w14:textId="77777777" w:rsidR="007702C5" w:rsidRPr="0005306A" w:rsidRDefault="007702C5" w:rsidP="005E0F9D">
            <w:pPr>
              <w:pStyle w:val="ZPKTzmpktartykuempunktem"/>
              <w:numPr>
                <w:ilvl w:val="0"/>
                <w:numId w:val="29"/>
              </w:numPr>
              <w:spacing w:line="240" w:lineRule="auto"/>
              <w:ind w:right="215"/>
              <w:jc w:val="left"/>
              <w:rPr>
                <w:rFonts w:ascii="Times New Roman" w:hAnsi="Times New Roman" w:cs="Times New Roman"/>
                <w:szCs w:val="24"/>
              </w:rPr>
            </w:pPr>
            <w:r w:rsidRPr="0005306A">
              <w:rPr>
                <w:rFonts w:ascii="Times New Roman" w:hAnsi="Times New Roman" w:cs="Times New Roman"/>
                <w:szCs w:val="24"/>
              </w:rPr>
              <w:t>opracowania i prowadzenia wykazu pojazdów, przedmiotów wyposażenia lub części niezgodnych z wymaganiami technicznymi lub stwarzających poważne ryzyko, który udostępnia na stronie podmiotowej Transportowego Dozoru Technicznego;</w:t>
            </w:r>
          </w:p>
          <w:p w14:paraId="4E458B27" w14:textId="77777777" w:rsidR="007702C5" w:rsidRPr="0005306A" w:rsidRDefault="007702C5" w:rsidP="005E0F9D">
            <w:pPr>
              <w:pStyle w:val="ZPKTzmpktartykuempunktem"/>
              <w:numPr>
                <w:ilvl w:val="0"/>
                <w:numId w:val="29"/>
              </w:numPr>
              <w:spacing w:line="240" w:lineRule="auto"/>
              <w:ind w:right="215"/>
              <w:jc w:val="left"/>
              <w:rPr>
                <w:rFonts w:ascii="Times New Roman" w:hAnsi="Times New Roman" w:cs="Times New Roman"/>
                <w:szCs w:val="24"/>
              </w:rPr>
            </w:pPr>
            <w:r w:rsidRPr="0005306A">
              <w:rPr>
                <w:rFonts w:ascii="Times New Roman" w:hAnsi="Times New Roman" w:cs="Times New Roman"/>
                <w:szCs w:val="24"/>
              </w:rPr>
              <w:t>opracowania i prowadzenia wykazu akcji serwisowych, który udostępnia na stronie podmiotowej</w:t>
            </w:r>
            <w:r w:rsidRPr="0005306A" w:rsidDel="007B42A7">
              <w:rPr>
                <w:rFonts w:ascii="Times New Roman" w:hAnsi="Times New Roman" w:cs="Times New Roman"/>
                <w:szCs w:val="24"/>
              </w:rPr>
              <w:t xml:space="preserve"> </w:t>
            </w:r>
            <w:r w:rsidRPr="0005306A">
              <w:rPr>
                <w:rFonts w:ascii="Times New Roman" w:hAnsi="Times New Roman" w:cs="Times New Roman"/>
                <w:szCs w:val="24"/>
              </w:rPr>
              <w:t>Transportowego Dozoru Technicznego;</w:t>
            </w:r>
          </w:p>
          <w:p w14:paraId="5CF838B9" w14:textId="77777777" w:rsidR="007702C5" w:rsidRPr="0005306A" w:rsidRDefault="007702C5" w:rsidP="005E0F9D">
            <w:pPr>
              <w:pStyle w:val="ZPKTzmpktartykuempunktem"/>
              <w:numPr>
                <w:ilvl w:val="0"/>
                <w:numId w:val="29"/>
              </w:numPr>
              <w:spacing w:line="240" w:lineRule="auto"/>
              <w:ind w:right="215"/>
              <w:jc w:val="left"/>
              <w:rPr>
                <w:rFonts w:ascii="Times New Roman" w:hAnsi="Times New Roman" w:cs="Times New Roman"/>
                <w:szCs w:val="24"/>
              </w:rPr>
            </w:pPr>
            <w:r w:rsidRPr="0005306A">
              <w:rPr>
                <w:rFonts w:ascii="Times New Roman" w:hAnsi="Times New Roman" w:cs="Times New Roman"/>
                <w:szCs w:val="24"/>
              </w:rPr>
              <w:lastRenderedPageBreak/>
              <w:t xml:space="preserve">pozyskiwania od podmiotu gospodarczego informacji o przeprowadzanej akcji serwisowej w formie powiadomienia, o którym mowa w art. 70 ust. </w:t>
            </w:r>
            <w:r w:rsidR="001038FF" w:rsidRPr="0005306A">
              <w:rPr>
                <w:rFonts w:ascii="Times New Roman" w:hAnsi="Times New Roman" w:cs="Times New Roman"/>
                <w:szCs w:val="24"/>
              </w:rPr>
              <w:t>2</w:t>
            </w:r>
            <w:r w:rsidRPr="0005306A">
              <w:rPr>
                <w:rFonts w:ascii="Times New Roman" w:hAnsi="Times New Roman" w:cs="Times New Roman"/>
                <w:szCs w:val="24"/>
              </w:rPr>
              <w:t xml:space="preserve"> lub art. 71 ust. </w:t>
            </w:r>
            <w:r w:rsidR="001038FF" w:rsidRPr="0005306A">
              <w:rPr>
                <w:rFonts w:ascii="Times New Roman" w:hAnsi="Times New Roman" w:cs="Times New Roman"/>
                <w:szCs w:val="24"/>
              </w:rPr>
              <w:t>2</w:t>
            </w:r>
            <w:r w:rsidRPr="0005306A">
              <w:rPr>
                <w:rFonts w:ascii="Times New Roman" w:hAnsi="Times New Roman" w:cs="Times New Roman"/>
                <w:szCs w:val="24"/>
              </w:rPr>
              <w:t>, w celu umieszczenia ich w systemie szybkiej wymiany informacji, o którym mowa w art. 20 ust. 4 rozporządzenia 2019/1020, zwanym dalej „systemem Safety Gate” i systemie informacyjnym i komunikacyjnym do celów nadzoru rynku, o którym mowa w art. 34 ust. 1 rozporządzenia 2019/1020, zwanym dalej „systemem ICSMS” oraz na stronie podmiotowej</w:t>
            </w:r>
            <w:r w:rsidRPr="0005306A" w:rsidDel="003014A1">
              <w:rPr>
                <w:rFonts w:ascii="Times New Roman" w:hAnsi="Times New Roman" w:cs="Times New Roman"/>
                <w:szCs w:val="24"/>
              </w:rPr>
              <w:t xml:space="preserve"> </w:t>
            </w:r>
            <w:r w:rsidRPr="0005306A">
              <w:rPr>
                <w:rFonts w:ascii="Times New Roman" w:hAnsi="Times New Roman" w:cs="Times New Roman"/>
                <w:szCs w:val="24"/>
              </w:rPr>
              <w:t>Transportowego Dozoru Technicznego;</w:t>
            </w:r>
          </w:p>
          <w:p w14:paraId="39A4FE14" w14:textId="77777777" w:rsidR="007702C5" w:rsidRPr="0005306A" w:rsidRDefault="007702C5" w:rsidP="005E0F9D">
            <w:pPr>
              <w:pStyle w:val="ZPKTzmpktartykuempunktem"/>
              <w:numPr>
                <w:ilvl w:val="0"/>
                <w:numId w:val="29"/>
              </w:numPr>
              <w:spacing w:line="240" w:lineRule="auto"/>
              <w:ind w:right="215"/>
              <w:jc w:val="left"/>
              <w:rPr>
                <w:rFonts w:ascii="Times New Roman" w:hAnsi="Times New Roman" w:cs="Times New Roman"/>
                <w:szCs w:val="24"/>
              </w:rPr>
            </w:pPr>
            <w:r w:rsidRPr="0005306A">
              <w:rPr>
                <w:rFonts w:ascii="Times New Roman" w:hAnsi="Times New Roman" w:cs="Times New Roman"/>
                <w:szCs w:val="24"/>
              </w:rPr>
              <w:t>przekazywania do ewidencji informacji o decyzji Dyrektora TDT, o której mowa w art. 68zj ust. 1 lub art. 68zk ust. 12, w zakresie wycofania pojazdu z obrotu lub użytkowania;</w:t>
            </w:r>
          </w:p>
          <w:p w14:paraId="09B41C30" w14:textId="77777777" w:rsidR="007702C5" w:rsidRPr="0005306A" w:rsidRDefault="007702C5" w:rsidP="005E0F9D">
            <w:pPr>
              <w:pStyle w:val="ZPKTzmpktartykuempunktem"/>
              <w:numPr>
                <w:ilvl w:val="0"/>
                <w:numId w:val="29"/>
              </w:numPr>
              <w:spacing w:line="240" w:lineRule="auto"/>
              <w:ind w:right="215"/>
              <w:jc w:val="left"/>
              <w:rPr>
                <w:rFonts w:ascii="Times New Roman" w:hAnsi="Times New Roman" w:cs="Times New Roman"/>
                <w:szCs w:val="24"/>
              </w:rPr>
            </w:pPr>
            <w:r w:rsidRPr="0005306A">
              <w:rPr>
                <w:rFonts w:ascii="Times New Roman" w:hAnsi="Times New Roman" w:cs="Times New Roman"/>
                <w:szCs w:val="24"/>
              </w:rPr>
              <w:t>kontroli dokumentów związanych z ładunkiem oraz kontroli fizycznej tego ładunku, przewożonego na drogach publicznych,</w:t>
            </w:r>
            <w:r w:rsidRPr="0005306A" w:rsidDel="009C0BFE">
              <w:rPr>
                <w:rFonts w:ascii="Times New Roman" w:hAnsi="Times New Roman" w:cs="Times New Roman"/>
                <w:szCs w:val="24"/>
              </w:rPr>
              <w:t xml:space="preserve"> </w:t>
            </w:r>
            <w:r w:rsidRPr="0005306A">
              <w:rPr>
                <w:rFonts w:ascii="Times New Roman" w:hAnsi="Times New Roman" w:cs="Times New Roman"/>
                <w:szCs w:val="24"/>
              </w:rPr>
              <w:t xml:space="preserve">w zakresie przestrzegania zgodności z aktami prawnymi, dla których jest organem nadzoru rynku zgodnie z art. 3 ust. 3, w ramach wykonywania kontroli ruchu drogowego przez funkcjonariusza Policji, inspektora Inspekcji Transportu Drogowego lub </w:t>
            </w:r>
            <w:r w:rsidRPr="0005306A">
              <w:rPr>
                <w:rFonts w:ascii="Times New Roman" w:hAnsi="Times New Roman" w:cs="Times New Roman"/>
                <w:szCs w:val="24"/>
              </w:rPr>
              <w:lastRenderedPageBreak/>
              <w:t>funkcjonariusza Służby Celno-Skarbowej;</w:t>
            </w:r>
          </w:p>
          <w:p w14:paraId="5DAA0586" w14:textId="77777777" w:rsidR="007702C5" w:rsidRPr="0005306A" w:rsidRDefault="007702C5" w:rsidP="005E0F9D">
            <w:pPr>
              <w:pStyle w:val="ZPKTzmpktartykuempunktem"/>
              <w:numPr>
                <w:ilvl w:val="0"/>
                <w:numId w:val="29"/>
              </w:numPr>
              <w:spacing w:line="240" w:lineRule="auto"/>
              <w:ind w:right="215"/>
              <w:jc w:val="left"/>
              <w:rPr>
                <w:rFonts w:ascii="Times New Roman" w:hAnsi="Times New Roman" w:cs="Times New Roman"/>
                <w:strike/>
                <w:szCs w:val="24"/>
              </w:rPr>
            </w:pPr>
            <w:r w:rsidRPr="0005306A">
              <w:rPr>
                <w:rFonts w:ascii="Times New Roman" w:hAnsi="Times New Roman" w:cs="Times New Roman"/>
                <w:szCs w:val="24"/>
              </w:rPr>
              <w:t>nieodpłatnego uzyskiwania od organów Krajowej Administracji Skarbowej danych, o których mowa w art. 68zx ust. 2;</w:t>
            </w:r>
          </w:p>
          <w:p w14:paraId="5EA2C656" w14:textId="77777777" w:rsidR="007702C5" w:rsidRPr="0005306A" w:rsidRDefault="007702C5" w:rsidP="005E0F9D">
            <w:pPr>
              <w:pStyle w:val="ZPKTzmpktartykuempunktem"/>
              <w:numPr>
                <w:ilvl w:val="0"/>
                <w:numId w:val="29"/>
              </w:numPr>
              <w:spacing w:line="240" w:lineRule="auto"/>
              <w:ind w:right="215"/>
              <w:jc w:val="left"/>
              <w:rPr>
                <w:rFonts w:ascii="Times New Roman" w:hAnsi="Times New Roman" w:cs="Times New Roman"/>
                <w:szCs w:val="24"/>
              </w:rPr>
            </w:pPr>
            <w:r w:rsidRPr="0005306A">
              <w:rPr>
                <w:rFonts w:ascii="Times New Roman" w:hAnsi="Times New Roman" w:cs="Times New Roman"/>
                <w:szCs w:val="24"/>
              </w:rPr>
              <w:t>nieodpłatnego dostępu do ewidencji w celu poinformowania użytkowników pojazdów zarejestrowanych na terytorium Rzeczypospolitej Polskiej o akcjach serwisowych;</w:t>
            </w:r>
          </w:p>
          <w:p w14:paraId="259FB739" w14:textId="77777777" w:rsidR="007702C5" w:rsidRPr="0005306A" w:rsidRDefault="007702C5" w:rsidP="005E0F9D">
            <w:pPr>
              <w:pStyle w:val="ZPKTzmpktartykuempunktem"/>
              <w:numPr>
                <w:ilvl w:val="0"/>
                <w:numId w:val="29"/>
              </w:numPr>
              <w:spacing w:line="240" w:lineRule="auto"/>
              <w:ind w:right="215"/>
              <w:jc w:val="left"/>
              <w:rPr>
                <w:rFonts w:ascii="Times New Roman" w:hAnsi="Times New Roman" w:cs="Times New Roman"/>
                <w:szCs w:val="24"/>
              </w:rPr>
            </w:pPr>
            <w:r w:rsidRPr="0005306A">
              <w:rPr>
                <w:rFonts w:ascii="Times New Roman" w:hAnsi="Times New Roman" w:cs="Times New Roman"/>
                <w:szCs w:val="24"/>
              </w:rPr>
              <w:t>udziału w badaniach wykonywanych przez laboratoria badawcze wykonujące badania na zlecenie Dyrektora TDT;</w:t>
            </w:r>
          </w:p>
          <w:p w14:paraId="7B44C159" w14:textId="77777777" w:rsidR="007702C5" w:rsidRPr="0005306A" w:rsidRDefault="007702C5" w:rsidP="005E0F9D">
            <w:pPr>
              <w:pStyle w:val="ZPKTzmpktartykuempunktem"/>
              <w:numPr>
                <w:ilvl w:val="0"/>
                <w:numId w:val="29"/>
              </w:numPr>
              <w:spacing w:line="240" w:lineRule="auto"/>
              <w:ind w:right="215"/>
              <w:jc w:val="left"/>
              <w:rPr>
                <w:rFonts w:ascii="Times New Roman" w:hAnsi="Times New Roman" w:cs="Times New Roman"/>
                <w:szCs w:val="24"/>
              </w:rPr>
            </w:pPr>
            <w:r w:rsidRPr="0005306A">
              <w:rPr>
                <w:rFonts w:ascii="Times New Roman" w:hAnsi="Times New Roman" w:cs="Times New Roman"/>
                <w:szCs w:val="24"/>
              </w:rPr>
              <w:t>przeprowadzenia badań, o których mowa w art. 7 rozporządzenia 167/2013, art. 8 rozporządzenia 168/2013 oraz art. 8 rozporządzenia 2018/858;</w:t>
            </w:r>
          </w:p>
          <w:p w14:paraId="17BA63A7" w14:textId="77777777" w:rsidR="007702C5" w:rsidRPr="0005306A" w:rsidRDefault="007702C5" w:rsidP="005E0F9D">
            <w:pPr>
              <w:pStyle w:val="ZPKTzmpktartykuempunktem"/>
              <w:numPr>
                <w:ilvl w:val="0"/>
                <w:numId w:val="29"/>
              </w:numPr>
              <w:spacing w:line="240" w:lineRule="auto"/>
              <w:ind w:right="215"/>
              <w:jc w:val="left"/>
              <w:rPr>
                <w:rFonts w:ascii="Times New Roman" w:hAnsi="Times New Roman" w:cs="Times New Roman"/>
                <w:szCs w:val="24"/>
              </w:rPr>
            </w:pPr>
            <w:r w:rsidRPr="0005306A">
              <w:rPr>
                <w:rFonts w:ascii="Times New Roman" w:hAnsi="Times New Roman" w:cs="Times New Roman"/>
                <w:szCs w:val="24"/>
              </w:rPr>
              <w:t xml:space="preserve">wymagania od podmiotu gospodarczego informowania użytkowników końcowych o konieczności sprawdzenia stanu technicznego pojazdu w warunkach serwisowych producenta zgodnie z art. 70 ust. </w:t>
            </w:r>
            <w:r w:rsidR="001038FF" w:rsidRPr="0005306A">
              <w:rPr>
                <w:rFonts w:ascii="Times New Roman" w:hAnsi="Times New Roman" w:cs="Times New Roman"/>
                <w:szCs w:val="24"/>
              </w:rPr>
              <w:t>3</w:t>
            </w:r>
            <w:r w:rsidRPr="0005306A">
              <w:rPr>
                <w:rFonts w:ascii="Times New Roman" w:hAnsi="Times New Roman" w:cs="Times New Roman"/>
                <w:szCs w:val="24"/>
              </w:rPr>
              <w:t xml:space="preserve"> i art. 71 ust. </w:t>
            </w:r>
            <w:r w:rsidR="001038FF" w:rsidRPr="0005306A">
              <w:rPr>
                <w:rFonts w:ascii="Times New Roman" w:hAnsi="Times New Roman" w:cs="Times New Roman"/>
                <w:szCs w:val="24"/>
              </w:rPr>
              <w:t>3</w:t>
            </w:r>
            <w:r w:rsidRPr="0005306A">
              <w:rPr>
                <w:rFonts w:ascii="Times New Roman" w:hAnsi="Times New Roman" w:cs="Times New Roman"/>
                <w:szCs w:val="24"/>
              </w:rPr>
              <w:t xml:space="preserve"> pkt 3; </w:t>
            </w:r>
          </w:p>
          <w:p w14:paraId="648DBBEE" w14:textId="77777777" w:rsidR="007702C5" w:rsidRPr="0005306A" w:rsidRDefault="007702C5" w:rsidP="005E0F9D">
            <w:pPr>
              <w:pStyle w:val="ZPKTzmpktartykuempunktem"/>
              <w:numPr>
                <w:ilvl w:val="0"/>
                <w:numId w:val="29"/>
              </w:numPr>
              <w:spacing w:line="240" w:lineRule="auto"/>
              <w:ind w:right="215"/>
              <w:jc w:val="left"/>
              <w:rPr>
                <w:rFonts w:ascii="Times New Roman" w:hAnsi="Times New Roman" w:cs="Times New Roman"/>
                <w:szCs w:val="24"/>
              </w:rPr>
            </w:pPr>
            <w:r w:rsidRPr="0005306A">
              <w:rPr>
                <w:rFonts w:ascii="Times New Roman" w:hAnsi="Times New Roman" w:cs="Times New Roman"/>
                <w:szCs w:val="24"/>
              </w:rPr>
              <w:t>wymagania od podmiotu gospodarczego informowania o postępie w realizacji akcji serwisowych co najmniej raz na kwartał;</w:t>
            </w:r>
          </w:p>
          <w:p w14:paraId="2C6F977E" w14:textId="77777777" w:rsidR="007702C5" w:rsidRPr="0005306A" w:rsidRDefault="007702C5" w:rsidP="005E0F9D">
            <w:pPr>
              <w:pStyle w:val="ZPKTzmpktartykuempunktem"/>
              <w:numPr>
                <w:ilvl w:val="0"/>
                <w:numId w:val="29"/>
              </w:numPr>
              <w:spacing w:line="240" w:lineRule="auto"/>
              <w:ind w:right="215"/>
              <w:jc w:val="left"/>
              <w:rPr>
                <w:rFonts w:ascii="Times New Roman" w:hAnsi="Times New Roman" w:cs="Times New Roman"/>
                <w:szCs w:val="24"/>
              </w:rPr>
            </w:pPr>
            <w:r w:rsidRPr="0005306A">
              <w:rPr>
                <w:rFonts w:ascii="Times New Roman" w:hAnsi="Times New Roman" w:cs="Times New Roman"/>
                <w:szCs w:val="24"/>
              </w:rPr>
              <w:t xml:space="preserve">wymagania przekazania tłumaczenia na język polski dokumentów albo ich części, mających stanowić dowód w sprawie niezbędny do weryfikacji zgodności </w:t>
            </w:r>
            <w:r w:rsidRPr="0005306A">
              <w:rPr>
                <w:rFonts w:ascii="Times New Roman" w:hAnsi="Times New Roman" w:cs="Times New Roman"/>
                <w:szCs w:val="24"/>
              </w:rPr>
              <w:lastRenderedPageBreak/>
              <w:t>pojazdu, przedmiotu wyposażenia lub części z wymaganiami technicznymi, sporządzonych w języku obcym w toku prowadzenia czynności wyjaśniających, kontroli, badań lub postępowań administracyjnych.</w:t>
            </w:r>
          </w:p>
          <w:p w14:paraId="5013842E" w14:textId="77777777" w:rsidR="007702C5" w:rsidRPr="0005306A" w:rsidRDefault="007702C5" w:rsidP="00FD5CD5">
            <w:pPr>
              <w:pStyle w:val="ZUSTzmustartykuempunktem"/>
              <w:spacing w:line="240" w:lineRule="auto"/>
              <w:ind w:left="634"/>
              <w:jc w:val="left"/>
              <w:rPr>
                <w:rFonts w:ascii="Times New Roman" w:hAnsi="Times New Roman" w:cs="Times New Roman"/>
                <w:szCs w:val="24"/>
              </w:rPr>
            </w:pPr>
            <w:r w:rsidRPr="0005306A">
              <w:rPr>
                <w:rFonts w:ascii="Times New Roman" w:hAnsi="Times New Roman" w:cs="Times New Roman"/>
                <w:szCs w:val="24"/>
              </w:rPr>
              <w:t xml:space="preserve">2. Przy realizacji zadań w ramach nadzoru rynku Dyrektor TDT oraz pracownicy Transportowego Dozoru Technicznemu lub osoby upoważnione przez Dyrektora TDT do realizacji tych zadań w jego imieniu korzystają z ochrony przewidzianej w art. 222 ustawy z dnia 6 czerwca 1997 r. − Kodeks karny (Dz. U. z 2025 r. </w:t>
            </w:r>
            <w:r w:rsidR="00FA7954" w:rsidRPr="0005306A">
              <w:rPr>
                <w:rFonts w:ascii="Times New Roman" w:hAnsi="Times New Roman" w:cs="Times New Roman"/>
                <w:szCs w:val="24"/>
              </w:rPr>
              <w:t>poz. 383, 1818 i 1872</w:t>
            </w:r>
            <w:r w:rsidRPr="0005306A">
              <w:rPr>
                <w:rFonts w:ascii="Times New Roman" w:hAnsi="Times New Roman" w:cs="Times New Roman"/>
                <w:szCs w:val="24"/>
              </w:rPr>
              <w:t>) dla funkcjonariuszy publicznych.</w:t>
            </w:r>
          </w:p>
          <w:p w14:paraId="17C2B686" w14:textId="77777777" w:rsidR="007702C5" w:rsidRPr="0005306A" w:rsidRDefault="007702C5" w:rsidP="00FD5CD5">
            <w:pPr>
              <w:pStyle w:val="ZUSTzmustartykuempunktem"/>
              <w:spacing w:line="240" w:lineRule="auto"/>
              <w:ind w:left="634"/>
              <w:jc w:val="left"/>
              <w:rPr>
                <w:rFonts w:ascii="Times New Roman" w:hAnsi="Times New Roman" w:cs="Times New Roman"/>
                <w:szCs w:val="24"/>
              </w:rPr>
            </w:pPr>
            <w:r w:rsidRPr="0005306A">
              <w:rPr>
                <w:rFonts w:ascii="Times New Roman" w:hAnsi="Times New Roman" w:cs="Times New Roman"/>
                <w:szCs w:val="24"/>
              </w:rPr>
              <w:t xml:space="preserve">3. Dyrektor TDT jako organ nadzoru rynku może zawierać porozumienia z Policją lub Strażą gminną (miejską) dotyczące przekazania do użytkowania przyrządów do określania prędkości lub mocy pojazdów, wskazujące warunki i zasady użytkowania tych przyrządów oraz ponoszenia kosztów z tego tytułu. </w:t>
            </w:r>
          </w:p>
          <w:p w14:paraId="23E0F60B" w14:textId="77777777" w:rsidR="00703BF5" w:rsidRPr="0005306A" w:rsidRDefault="00703BF5" w:rsidP="00FD5CD5">
            <w:pPr>
              <w:pStyle w:val="ZARTzmar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Art. 68t. 1. W przypadku wystąpienia podejrzenia w zakresie spełnienia przez pojazd, przedmiot wyposażenia lub część zgodności z wymaganiami technicznymi lub możliwości wystąpienia poważnego ryzyka Dyrektor TDT jako organ nadzoru rynku przeprowadza ocenę poziomu ryzyka stwarzanego przez pojazd, przedmiot </w:t>
            </w:r>
            <w:r w:rsidRPr="0005306A">
              <w:rPr>
                <w:rFonts w:ascii="Times New Roman" w:hAnsi="Times New Roman" w:cs="Times New Roman"/>
                <w:szCs w:val="24"/>
              </w:rPr>
              <w:lastRenderedPageBreak/>
              <w:t>wyposażenia lub część zgodnie z kryteriami określonymi w załączniku II rozporządzenia delegowanego Komisji (UE) 2024/3173 z dnia 27 sierpnia 2024 r. uzupełniające rozporządzenie Parlamentu Europejskiego i Rady (UE) 2023/988 w zakresie zasad dostępu do systemu wczesnego ostrzegania Safety Gate i jego działania, informacji, które mają być do niego wprowadzane, wymagań dotyczących zgłoszeń oraz kryteriów oceny poziomu ryzyka (Dz. Urz. UE L 3173 z 13.12.2024, str. 1 oraz Dz. Urz. UE L 91009 z 12.12.2025, str. 1), zwanego dalej „rozporządzeniem 2024/3173”.</w:t>
            </w:r>
          </w:p>
          <w:p w14:paraId="084BC2CA" w14:textId="77777777" w:rsidR="007702C5" w:rsidRPr="0005306A" w:rsidRDefault="00703BF5" w:rsidP="00FD5CD5">
            <w:pPr>
              <w:pStyle w:val="ZUSTzmustartykuempunktem"/>
              <w:spacing w:line="240" w:lineRule="auto"/>
              <w:ind w:left="634"/>
              <w:jc w:val="left"/>
              <w:rPr>
                <w:rFonts w:ascii="Times New Roman" w:hAnsi="Times New Roman" w:cs="Times New Roman"/>
                <w:szCs w:val="24"/>
              </w:rPr>
            </w:pPr>
            <w:r w:rsidRPr="0005306A">
              <w:rPr>
                <w:rFonts w:ascii="Times New Roman" w:hAnsi="Times New Roman" w:cs="Times New Roman"/>
                <w:szCs w:val="24"/>
              </w:rPr>
              <w:t xml:space="preserve">2. Poziom ryzyka w odniesieniu do pojazdu, przedmiotu wyposażenia lub części określony jako „poważny” w załączniku II rozporządzenia 2024/3173 traktuje się jako wysokie ryzyko w odniesieniu do podmiotu gospodarczego w rozumieniu przepisu art. 47 ust. 1 ustawy </w:t>
            </w:r>
            <w:r w:rsidRPr="0005306A">
              <w:rPr>
                <w:rFonts w:ascii="Times New Roman" w:hAnsi="Times New Roman" w:cs="Times New Roman"/>
                <w:szCs w:val="24"/>
              </w:rPr>
              <w:softHyphen/>
              <w:t xml:space="preserve"> – Prawo przedsiębiorców.</w:t>
            </w:r>
          </w:p>
          <w:p w14:paraId="5D7C7B19" w14:textId="77777777" w:rsidR="007702C5" w:rsidRPr="0005306A" w:rsidRDefault="007702C5" w:rsidP="00FD5CD5">
            <w:pPr>
              <w:pStyle w:val="NormalnyWeb"/>
              <w:spacing w:before="0" w:beforeAutospacing="0" w:after="0" w:afterAutospacing="0"/>
              <w:ind w:left="634" w:firstLine="510"/>
              <w:rPr>
                <w:rFonts w:eastAsiaTheme="minorEastAsia"/>
              </w:rPr>
            </w:pPr>
            <w:r w:rsidRPr="0005306A">
              <w:rPr>
                <w:rFonts w:eastAsiaTheme="minorEastAsia"/>
              </w:rPr>
              <w:t>Art. 68u. 1. Dyrektor TDT jako organ nadzoru rynku, dokonuje okresowej analizy prawdopodobieństwa naruszenia przepisów, o której mowa w art. 47 ust. 1 ustawy z dnia 6 marca 2018 r. – Prawo przedsiębiorców.</w:t>
            </w:r>
          </w:p>
          <w:p w14:paraId="0B8B655F" w14:textId="77777777" w:rsidR="007702C5" w:rsidRPr="0005306A" w:rsidRDefault="007702C5" w:rsidP="005E0F9D">
            <w:pPr>
              <w:pStyle w:val="NormalnyWeb"/>
              <w:numPr>
                <w:ilvl w:val="0"/>
                <w:numId w:val="14"/>
              </w:numPr>
              <w:spacing w:before="0" w:beforeAutospacing="0" w:after="0" w:afterAutospacing="0"/>
              <w:rPr>
                <w:rFonts w:eastAsiaTheme="minorEastAsia"/>
              </w:rPr>
            </w:pPr>
            <w:r w:rsidRPr="0005306A">
              <w:rPr>
                <w:rFonts w:eastAsiaTheme="minorEastAsia"/>
              </w:rPr>
              <w:t>Analiza, o której mowa w ust. 1, jest przeprowadzana w oparciu o:</w:t>
            </w:r>
          </w:p>
          <w:p w14:paraId="7DBCA794" w14:textId="77777777" w:rsidR="007702C5" w:rsidRPr="0005306A" w:rsidRDefault="007702C5" w:rsidP="005E0F9D">
            <w:pPr>
              <w:pStyle w:val="NormalnyWeb"/>
              <w:numPr>
                <w:ilvl w:val="1"/>
                <w:numId w:val="14"/>
              </w:numPr>
              <w:spacing w:before="0" w:beforeAutospacing="0" w:after="0" w:afterAutospacing="0"/>
              <w:rPr>
                <w:rFonts w:eastAsiaTheme="minorEastAsia"/>
              </w:rPr>
            </w:pPr>
            <w:r w:rsidRPr="0005306A">
              <w:rPr>
                <w:rFonts w:eastAsiaTheme="minorEastAsia"/>
              </w:rPr>
              <w:t>wyniki wcześniejszych kontroli;</w:t>
            </w:r>
          </w:p>
          <w:p w14:paraId="4975D033" w14:textId="77777777" w:rsidR="007702C5" w:rsidRPr="0005306A" w:rsidRDefault="007702C5" w:rsidP="005E0F9D">
            <w:pPr>
              <w:pStyle w:val="NormalnyWeb"/>
              <w:numPr>
                <w:ilvl w:val="1"/>
                <w:numId w:val="14"/>
              </w:numPr>
              <w:spacing w:before="0" w:beforeAutospacing="0" w:after="0" w:afterAutospacing="0"/>
              <w:rPr>
                <w:rFonts w:eastAsiaTheme="minorEastAsia"/>
              </w:rPr>
            </w:pPr>
            <w:r w:rsidRPr="0005306A">
              <w:rPr>
                <w:rFonts w:eastAsiaTheme="minorEastAsia"/>
              </w:rPr>
              <w:t>skargi i sygnały z rynku;</w:t>
            </w:r>
          </w:p>
          <w:p w14:paraId="47C1230C" w14:textId="77777777" w:rsidR="007702C5" w:rsidRPr="0005306A" w:rsidRDefault="007702C5" w:rsidP="005E0F9D">
            <w:pPr>
              <w:pStyle w:val="NormalnyWeb"/>
              <w:numPr>
                <w:ilvl w:val="1"/>
                <w:numId w:val="14"/>
              </w:numPr>
              <w:spacing w:before="0" w:beforeAutospacing="0" w:after="0" w:afterAutospacing="0"/>
              <w:rPr>
                <w:rFonts w:eastAsiaTheme="minorEastAsia"/>
              </w:rPr>
            </w:pPr>
            <w:r w:rsidRPr="0005306A">
              <w:rPr>
                <w:rFonts w:eastAsiaTheme="minorEastAsia"/>
              </w:rPr>
              <w:t>dane z systemu Safety Gate oraz systemu ICSMS;</w:t>
            </w:r>
          </w:p>
          <w:p w14:paraId="576A5A20" w14:textId="77777777" w:rsidR="007702C5" w:rsidRPr="0005306A" w:rsidRDefault="007702C5" w:rsidP="005E0F9D">
            <w:pPr>
              <w:pStyle w:val="NormalnyWeb"/>
              <w:numPr>
                <w:ilvl w:val="1"/>
                <w:numId w:val="14"/>
              </w:numPr>
              <w:spacing w:before="0" w:beforeAutospacing="0" w:after="0" w:afterAutospacing="0"/>
              <w:rPr>
                <w:rFonts w:eastAsiaTheme="minorEastAsia"/>
              </w:rPr>
            </w:pPr>
            <w:r w:rsidRPr="0005306A">
              <w:rPr>
                <w:rFonts w:eastAsiaTheme="minorEastAsia"/>
              </w:rPr>
              <w:lastRenderedPageBreak/>
              <w:t>informacje pochodzące od innych organów;</w:t>
            </w:r>
          </w:p>
          <w:p w14:paraId="26106481" w14:textId="77777777" w:rsidR="007702C5" w:rsidRPr="0005306A" w:rsidRDefault="007702C5" w:rsidP="005E0F9D">
            <w:pPr>
              <w:pStyle w:val="NormalnyWeb"/>
              <w:numPr>
                <w:ilvl w:val="1"/>
                <w:numId w:val="14"/>
              </w:numPr>
              <w:spacing w:before="0" w:beforeAutospacing="0" w:after="0" w:afterAutospacing="0"/>
              <w:rPr>
                <w:rFonts w:eastAsiaTheme="minorEastAsia"/>
              </w:rPr>
            </w:pPr>
            <w:r w:rsidRPr="0005306A">
              <w:rPr>
                <w:rFonts w:eastAsiaTheme="minorEastAsia"/>
              </w:rPr>
              <w:t>dane statystyczne z ostatnich trzech lat dotyczące liczby pojazdów, przedmiotów wyposażenia lub części wprowadzonych do obrotu na terytorium Rzeczypospolitej Polskiej;</w:t>
            </w:r>
          </w:p>
          <w:p w14:paraId="5DEC6B66" w14:textId="77777777" w:rsidR="007702C5" w:rsidRPr="0005306A" w:rsidRDefault="007702C5" w:rsidP="005E0F9D">
            <w:pPr>
              <w:pStyle w:val="NormalnyWeb"/>
              <w:numPr>
                <w:ilvl w:val="1"/>
                <w:numId w:val="14"/>
              </w:numPr>
              <w:spacing w:before="0" w:beforeAutospacing="0" w:after="0" w:afterAutospacing="0"/>
              <w:rPr>
                <w:rFonts w:eastAsiaTheme="minorEastAsia"/>
              </w:rPr>
            </w:pPr>
            <w:r w:rsidRPr="0005306A">
              <w:rPr>
                <w:rFonts w:eastAsiaTheme="minorEastAsia"/>
              </w:rPr>
              <w:t>informacje wymieniane w ciągu ostatnich trzech lat na forum wymiany informacji o egzekwowaniu przepisów, o którym mowa w art. 11 rozporządzenia 2018/858;</w:t>
            </w:r>
          </w:p>
          <w:p w14:paraId="51E10D48" w14:textId="77777777" w:rsidR="007702C5" w:rsidRPr="0005306A" w:rsidRDefault="007702C5" w:rsidP="005E0F9D">
            <w:pPr>
              <w:pStyle w:val="NormalnyWeb"/>
              <w:numPr>
                <w:ilvl w:val="1"/>
                <w:numId w:val="14"/>
              </w:numPr>
              <w:spacing w:before="0" w:beforeAutospacing="0" w:after="0" w:afterAutospacing="0"/>
              <w:rPr>
                <w:rFonts w:eastAsiaTheme="minorEastAsia"/>
              </w:rPr>
            </w:pPr>
            <w:r w:rsidRPr="0005306A">
              <w:rPr>
                <w:rFonts w:eastAsiaTheme="minorEastAsia"/>
              </w:rPr>
              <w:t>informacje z badań opublikowanych w ciągu ostatnich trzech lat przez strony trzecie w odniesieniu do pojazdów, przedmiotów wyposażenia lub części;</w:t>
            </w:r>
          </w:p>
          <w:p w14:paraId="41C76C35" w14:textId="77777777" w:rsidR="007702C5" w:rsidRPr="0005306A" w:rsidRDefault="007702C5" w:rsidP="005E0F9D">
            <w:pPr>
              <w:pStyle w:val="NormalnyWeb"/>
              <w:numPr>
                <w:ilvl w:val="1"/>
                <w:numId w:val="14"/>
              </w:numPr>
              <w:spacing w:before="0" w:beforeAutospacing="0" w:after="0" w:afterAutospacing="0"/>
              <w:rPr>
                <w:rFonts w:eastAsiaTheme="minorEastAsia"/>
              </w:rPr>
            </w:pPr>
            <w:r w:rsidRPr="0005306A">
              <w:rPr>
                <w:rFonts w:eastAsiaTheme="minorEastAsia"/>
              </w:rPr>
              <w:t>zgodność z wymaganiami technicznymi oraz ocenę poziomów ryzyka stwarzanego przez pojazd, przedmiot wyposażenia lub część;</w:t>
            </w:r>
          </w:p>
          <w:p w14:paraId="1A8EFA0F" w14:textId="77777777" w:rsidR="007702C5" w:rsidRPr="0005306A" w:rsidRDefault="007702C5" w:rsidP="005E0F9D">
            <w:pPr>
              <w:pStyle w:val="NormalnyWeb"/>
              <w:numPr>
                <w:ilvl w:val="1"/>
                <w:numId w:val="14"/>
              </w:numPr>
              <w:spacing w:before="0" w:beforeAutospacing="0" w:after="0" w:afterAutospacing="0"/>
              <w:rPr>
                <w:rFonts w:eastAsiaTheme="minorEastAsia"/>
              </w:rPr>
            </w:pPr>
            <w:r w:rsidRPr="0005306A">
              <w:rPr>
                <w:rFonts w:eastAsiaTheme="minorEastAsia"/>
              </w:rPr>
              <w:t>analizy branżowe.</w:t>
            </w:r>
          </w:p>
          <w:p w14:paraId="7A1BCBE4" w14:textId="77777777" w:rsidR="007702C5" w:rsidRPr="0005306A" w:rsidRDefault="007702C5" w:rsidP="00FD5CD5">
            <w:pPr>
              <w:pStyle w:val="NormalnyWeb"/>
              <w:spacing w:before="0" w:beforeAutospacing="0" w:after="0" w:afterAutospacing="0"/>
              <w:ind w:left="634" w:firstLine="510"/>
              <w:rPr>
                <w:rFonts w:eastAsiaTheme="minorEastAsia"/>
              </w:rPr>
            </w:pPr>
            <w:r w:rsidRPr="0005306A">
              <w:rPr>
                <w:rFonts w:eastAsiaTheme="minorEastAsia"/>
              </w:rPr>
              <w:t>3. Na podstawie analizy ryzyka Dyrektor TDT jako organ nadzoru rynku przypisuje podmioty gospodarcze do kategorii ryzyka, zróżnicowanych ze względu na prawdopodobieństwo naruszenia przepisów oraz możliwe skutki takiego naruszenia.</w:t>
            </w:r>
          </w:p>
          <w:p w14:paraId="1769DDBF" w14:textId="77777777" w:rsidR="007702C5" w:rsidRPr="0005306A" w:rsidRDefault="007702C5" w:rsidP="00FD5CD5">
            <w:pPr>
              <w:pStyle w:val="NormalnyWeb"/>
              <w:spacing w:before="0" w:beforeAutospacing="0" w:after="0" w:afterAutospacing="0"/>
              <w:ind w:left="634" w:firstLine="510"/>
              <w:rPr>
                <w:rFonts w:eastAsiaTheme="minorEastAsia"/>
              </w:rPr>
            </w:pPr>
            <w:r w:rsidRPr="0005306A">
              <w:rPr>
                <w:rFonts w:eastAsiaTheme="minorEastAsia"/>
              </w:rPr>
              <w:lastRenderedPageBreak/>
              <w:t>4. Kategoryzacja ryzyka stanowi podstawę planowania, o którym mowa w art. 47 ust. 1 ustawy z dnia 6 marca 2018 r. – Prawo przedsiębiorców, i prowadzenia działań kontrolnych.</w:t>
            </w:r>
          </w:p>
          <w:p w14:paraId="536C9BDD" w14:textId="77777777" w:rsidR="007702C5" w:rsidRPr="0005306A" w:rsidRDefault="007702C5" w:rsidP="00FD5CD5">
            <w:pPr>
              <w:pStyle w:val="NormalnyWeb"/>
              <w:spacing w:before="0" w:beforeAutospacing="0" w:after="0" w:afterAutospacing="0"/>
              <w:ind w:left="634" w:firstLine="510"/>
              <w:rPr>
                <w:rFonts w:eastAsiaTheme="minorEastAsia"/>
              </w:rPr>
            </w:pPr>
            <w:r w:rsidRPr="0005306A">
              <w:rPr>
                <w:rFonts w:eastAsiaTheme="minorEastAsia"/>
              </w:rPr>
              <w:t>Art. 68v. 1. Dyrektor TDT jako organ nadzoru rynku w celu realizacji zadań może korzystać z danych osobowych o osobie obejmujących: imię i nazwisko, numer identyfikacyjny PESEL, w przypadku braku numeru PESEL datę urodzenia, obywatelstwo, numer dokumentu tożsamości, numer NIP, adres zamieszkania wraz z adresem prowadzenia działalności gospodarczej, numer telefonu, adres poczty elektronicznej, w tym również w formie zapisu elektronicznego, uzyskanych przez inne organy, służby i instytucje państwowe.</w:t>
            </w:r>
          </w:p>
          <w:p w14:paraId="08A43EF6" w14:textId="77777777" w:rsidR="007702C5" w:rsidRPr="0005306A" w:rsidRDefault="007702C5" w:rsidP="00FD5CD5">
            <w:pPr>
              <w:pStyle w:val="NormalnyWeb"/>
              <w:spacing w:before="0" w:beforeAutospacing="0" w:after="0" w:afterAutospacing="0"/>
              <w:ind w:left="634" w:firstLine="510"/>
              <w:rPr>
                <w:rFonts w:eastAsiaTheme="minorEastAsia"/>
              </w:rPr>
            </w:pPr>
            <w:r w:rsidRPr="0005306A">
              <w:rPr>
                <w:rFonts w:eastAsiaTheme="minorEastAsia"/>
              </w:rPr>
              <w:t>2. Administrator danych osobowych, o których mowa w ust. 1, jest obowiązany udostępnić te dane inspektorowi Transportowego Dozoru Technicznemu wskazanemu w imiennym upoważnieniu Dyrektora TDT, po okazaniu tego upoważnienia oraz legitymacji służbowej.</w:t>
            </w:r>
          </w:p>
          <w:p w14:paraId="20101665" w14:textId="77777777" w:rsidR="00703BF5" w:rsidRPr="0005306A" w:rsidRDefault="00703BF5" w:rsidP="00FD5CD5">
            <w:pPr>
              <w:pStyle w:val="NormalnyWeb"/>
              <w:spacing w:before="0" w:beforeAutospacing="0" w:after="0" w:afterAutospacing="0"/>
              <w:ind w:left="510" w:firstLine="510"/>
              <w:rPr>
                <w:rFonts w:eastAsiaTheme="minorEastAsia"/>
              </w:rPr>
            </w:pPr>
            <w:r w:rsidRPr="0005306A">
              <w:rPr>
                <w:rFonts w:eastAsiaTheme="minorEastAsia"/>
              </w:rPr>
              <w:t>3. Administratorem danych osobowych, o których mowa w ust. 1, jest:</w:t>
            </w:r>
          </w:p>
          <w:p w14:paraId="2437EEEB" w14:textId="77777777" w:rsidR="00703BF5" w:rsidRPr="0005306A" w:rsidRDefault="00703BF5" w:rsidP="005E0F9D">
            <w:pPr>
              <w:pStyle w:val="NormalnyWeb"/>
              <w:numPr>
                <w:ilvl w:val="1"/>
                <w:numId w:val="30"/>
              </w:numPr>
              <w:spacing w:before="0" w:beforeAutospacing="0" w:after="0" w:afterAutospacing="0"/>
              <w:rPr>
                <w:rFonts w:eastAsiaTheme="minorEastAsia"/>
              </w:rPr>
            </w:pPr>
            <w:r w:rsidRPr="0005306A">
              <w:rPr>
                <w:rFonts w:eastAsiaTheme="minorEastAsia"/>
              </w:rPr>
              <w:t>minister właściwy do spraw administracji publicznej;</w:t>
            </w:r>
          </w:p>
          <w:p w14:paraId="10D57920" w14:textId="77777777" w:rsidR="00703BF5" w:rsidRPr="0005306A" w:rsidRDefault="00703BF5" w:rsidP="005E0F9D">
            <w:pPr>
              <w:pStyle w:val="NormalnyWeb"/>
              <w:numPr>
                <w:ilvl w:val="1"/>
                <w:numId w:val="30"/>
              </w:numPr>
              <w:spacing w:before="0" w:beforeAutospacing="0" w:after="0" w:afterAutospacing="0"/>
              <w:rPr>
                <w:rFonts w:eastAsiaTheme="minorEastAsia"/>
              </w:rPr>
            </w:pPr>
            <w:r w:rsidRPr="0005306A">
              <w:rPr>
                <w:rFonts w:eastAsiaTheme="minorEastAsia"/>
              </w:rPr>
              <w:t>minister właściwy do spraw finansów publicznych;</w:t>
            </w:r>
          </w:p>
          <w:p w14:paraId="68948C9A" w14:textId="77777777" w:rsidR="00703BF5" w:rsidRPr="0005306A" w:rsidRDefault="00703BF5" w:rsidP="005E0F9D">
            <w:pPr>
              <w:pStyle w:val="NormalnyWeb"/>
              <w:numPr>
                <w:ilvl w:val="1"/>
                <w:numId w:val="30"/>
              </w:numPr>
              <w:spacing w:before="0" w:beforeAutospacing="0" w:after="0" w:afterAutospacing="0"/>
              <w:rPr>
                <w:rFonts w:eastAsiaTheme="minorEastAsia"/>
              </w:rPr>
            </w:pPr>
            <w:r w:rsidRPr="0005306A">
              <w:rPr>
                <w:rFonts w:eastAsiaTheme="minorEastAsia"/>
              </w:rPr>
              <w:lastRenderedPageBreak/>
              <w:t>minister właściwy do spraw gospodarki;</w:t>
            </w:r>
          </w:p>
          <w:p w14:paraId="25E2D0D4" w14:textId="77777777" w:rsidR="00703BF5" w:rsidRPr="0005306A" w:rsidRDefault="00703BF5" w:rsidP="005E0F9D">
            <w:pPr>
              <w:pStyle w:val="NormalnyWeb"/>
              <w:numPr>
                <w:ilvl w:val="1"/>
                <w:numId w:val="30"/>
              </w:numPr>
              <w:spacing w:before="0" w:beforeAutospacing="0" w:after="0" w:afterAutospacing="0"/>
              <w:rPr>
                <w:rFonts w:eastAsiaTheme="minorEastAsia"/>
              </w:rPr>
            </w:pPr>
            <w:r w:rsidRPr="0005306A">
              <w:rPr>
                <w:rFonts w:eastAsiaTheme="minorEastAsia"/>
              </w:rPr>
              <w:t>minister właściwy do spraw informatyzacji;</w:t>
            </w:r>
          </w:p>
          <w:p w14:paraId="0972298A" w14:textId="77777777" w:rsidR="00703BF5" w:rsidRPr="0005306A" w:rsidRDefault="00703BF5" w:rsidP="005E0F9D">
            <w:pPr>
              <w:pStyle w:val="NormalnyWeb"/>
              <w:numPr>
                <w:ilvl w:val="1"/>
                <w:numId w:val="30"/>
              </w:numPr>
              <w:spacing w:before="0" w:beforeAutospacing="0" w:after="0" w:afterAutospacing="0"/>
              <w:rPr>
                <w:rFonts w:eastAsiaTheme="minorEastAsia"/>
              </w:rPr>
            </w:pPr>
            <w:r w:rsidRPr="0005306A">
              <w:rPr>
                <w:rFonts w:eastAsiaTheme="minorEastAsia"/>
              </w:rPr>
              <w:t>minister właściwy do spraw pracy;</w:t>
            </w:r>
          </w:p>
          <w:p w14:paraId="7BB04269" w14:textId="77777777" w:rsidR="00703BF5" w:rsidRPr="0005306A" w:rsidRDefault="00703BF5" w:rsidP="005E0F9D">
            <w:pPr>
              <w:pStyle w:val="NormalnyWeb"/>
              <w:numPr>
                <w:ilvl w:val="1"/>
                <w:numId w:val="30"/>
              </w:numPr>
              <w:spacing w:before="0" w:beforeAutospacing="0" w:after="0" w:afterAutospacing="0"/>
              <w:rPr>
                <w:rFonts w:eastAsiaTheme="minorEastAsia"/>
              </w:rPr>
            </w:pPr>
            <w:r w:rsidRPr="0005306A">
              <w:rPr>
                <w:rFonts w:eastAsiaTheme="minorEastAsia"/>
              </w:rPr>
              <w:t>minister właściwy do spraw transportu;</w:t>
            </w:r>
          </w:p>
          <w:p w14:paraId="33F0A796" w14:textId="77777777" w:rsidR="00703BF5" w:rsidRPr="0005306A" w:rsidRDefault="00703BF5" w:rsidP="005E0F9D">
            <w:pPr>
              <w:pStyle w:val="NormalnyWeb"/>
              <w:numPr>
                <w:ilvl w:val="1"/>
                <w:numId w:val="30"/>
              </w:numPr>
              <w:spacing w:before="0" w:beforeAutospacing="0" w:after="0" w:afterAutospacing="0"/>
              <w:rPr>
                <w:rFonts w:eastAsiaTheme="minorEastAsia"/>
              </w:rPr>
            </w:pPr>
            <w:r w:rsidRPr="0005306A">
              <w:rPr>
                <w:rFonts w:eastAsiaTheme="minorEastAsia"/>
              </w:rPr>
              <w:t xml:space="preserve">minister właściwy do spraw środowiska; </w:t>
            </w:r>
          </w:p>
          <w:p w14:paraId="3259FFA2" w14:textId="77777777" w:rsidR="00703BF5" w:rsidRPr="0005306A" w:rsidRDefault="00703BF5" w:rsidP="005E0F9D">
            <w:pPr>
              <w:pStyle w:val="NormalnyWeb"/>
              <w:numPr>
                <w:ilvl w:val="1"/>
                <w:numId w:val="30"/>
              </w:numPr>
              <w:spacing w:before="0" w:beforeAutospacing="0" w:after="0" w:afterAutospacing="0"/>
              <w:rPr>
                <w:rFonts w:eastAsiaTheme="minorEastAsia"/>
              </w:rPr>
            </w:pPr>
            <w:r w:rsidRPr="0005306A">
              <w:rPr>
                <w:rFonts w:eastAsiaTheme="minorEastAsia"/>
              </w:rPr>
              <w:t>organy właściwe w sprawach rejestracji pojazdów;</w:t>
            </w:r>
            <w:r w:rsidRPr="0005306A">
              <w:rPr>
                <w:rFonts w:eastAsiaTheme="minorEastAsia"/>
              </w:rPr>
              <w:tab/>
            </w:r>
          </w:p>
          <w:p w14:paraId="41B0B109" w14:textId="77777777" w:rsidR="00703BF5" w:rsidRPr="0005306A" w:rsidRDefault="00703BF5" w:rsidP="005E0F9D">
            <w:pPr>
              <w:pStyle w:val="NormalnyWeb"/>
              <w:numPr>
                <w:ilvl w:val="1"/>
                <w:numId w:val="30"/>
              </w:numPr>
              <w:spacing w:before="0" w:beforeAutospacing="0" w:after="0" w:afterAutospacing="0"/>
              <w:rPr>
                <w:rFonts w:eastAsiaTheme="minorEastAsia"/>
              </w:rPr>
            </w:pPr>
            <w:r w:rsidRPr="0005306A">
              <w:rPr>
                <w:rFonts w:eastAsiaTheme="minorEastAsia"/>
              </w:rPr>
              <w:t>organy kontroli ruchu drogowego;</w:t>
            </w:r>
          </w:p>
          <w:p w14:paraId="32846F2D" w14:textId="77777777" w:rsidR="00703BF5" w:rsidRPr="0005306A" w:rsidRDefault="00703BF5" w:rsidP="005E0F9D">
            <w:pPr>
              <w:pStyle w:val="NormalnyWeb"/>
              <w:numPr>
                <w:ilvl w:val="1"/>
                <w:numId w:val="30"/>
              </w:numPr>
              <w:spacing w:before="0" w:beforeAutospacing="0" w:after="0" w:afterAutospacing="0"/>
              <w:rPr>
                <w:rFonts w:eastAsiaTheme="minorEastAsia"/>
              </w:rPr>
            </w:pPr>
            <w:r w:rsidRPr="0005306A">
              <w:rPr>
                <w:rFonts w:eastAsiaTheme="minorEastAsia"/>
              </w:rPr>
              <w:t>Szef Krajowej Administracji Skarbowej;</w:t>
            </w:r>
          </w:p>
          <w:p w14:paraId="1DA9E113" w14:textId="77777777" w:rsidR="00703BF5" w:rsidRPr="0005306A" w:rsidRDefault="00703BF5" w:rsidP="005E0F9D">
            <w:pPr>
              <w:pStyle w:val="NormalnyWeb"/>
              <w:numPr>
                <w:ilvl w:val="1"/>
                <w:numId w:val="30"/>
              </w:numPr>
              <w:spacing w:before="0" w:beforeAutospacing="0" w:after="0" w:afterAutospacing="0"/>
              <w:rPr>
                <w:rFonts w:eastAsiaTheme="minorEastAsia"/>
              </w:rPr>
            </w:pPr>
            <w:r w:rsidRPr="0005306A">
              <w:rPr>
                <w:rFonts w:eastAsiaTheme="minorEastAsia"/>
              </w:rPr>
              <w:t>Prezes Urzędu Ochrony Konkurencji i Konsumentów;</w:t>
            </w:r>
          </w:p>
          <w:p w14:paraId="192C5392" w14:textId="77777777" w:rsidR="00703BF5" w:rsidRPr="0005306A" w:rsidRDefault="00703BF5" w:rsidP="005E0F9D">
            <w:pPr>
              <w:pStyle w:val="NormalnyWeb"/>
              <w:numPr>
                <w:ilvl w:val="1"/>
                <w:numId w:val="30"/>
              </w:numPr>
              <w:spacing w:before="0" w:beforeAutospacing="0" w:after="0" w:afterAutospacing="0"/>
              <w:rPr>
                <w:rFonts w:eastAsiaTheme="minorEastAsia"/>
              </w:rPr>
            </w:pPr>
            <w:r w:rsidRPr="0005306A">
              <w:rPr>
                <w:rFonts w:eastAsiaTheme="minorEastAsia"/>
              </w:rPr>
              <w:t>Komendant Główny Straży Granicznej;</w:t>
            </w:r>
          </w:p>
          <w:p w14:paraId="548ECE52" w14:textId="77777777" w:rsidR="00703BF5" w:rsidRPr="0005306A" w:rsidRDefault="00703BF5" w:rsidP="005E0F9D">
            <w:pPr>
              <w:pStyle w:val="NormalnyWeb"/>
              <w:numPr>
                <w:ilvl w:val="1"/>
                <w:numId w:val="30"/>
              </w:numPr>
              <w:spacing w:before="0" w:beforeAutospacing="0" w:after="0" w:afterAutospacing="0"/>
              <w:rPr>
                <w:rFonts w:eastAsiaTheme="minorEastAsia"/>
              </w:rPr>
            </w:pPr>
            <w:r w:rsidRPr="0005306A">
              <w:rPr>
                <w:rFonts w:eastAsiaTheme="minorEastAsia"/>
              </w:rPr>
              <w:t>Główny Inspektor Pracy;</w:t>
            </w:r>
          </w:p>
          <w:p w14:paraId="058E082B" w14:textId="77777777" w:rsidR="00703BF5" w:rsidRPr="0005306A" w:rsidRDefault="00703BF5" w:rsidP="005E0F9D">
            <w:pPr>
              <w:pStyle w:val="NormalnyWeb"/>
              <w:numPr>
                <w:ilvl w:val="1"/>
                <w:numId w:val="30"/>
              </w:numPr>
              <w:spacing w:before="0" w:beforeAutospacing="0" w:after="0" w:afterAutospacing="0"/>
              <w:rPr>
                <w:rFonts w:eastAsiaTheme="minorEastAsia"/>
              </w:rPr>
            </w:pPr>
            <w:r w:rsidRPr="0005306A">
              <w:t>Główny Inspektor Ochrony Środowiska;</w:t>
            </w:r>
          </w:p>
          <w:p w14:paraId="34DC0E12" w14:textId="77777777" w:rsidR="00703BF5" w:rsidRPr="0005306A" w:rsidRDefault="00703BF5" w:rsidP="005E0F9D">
            <w:pPr>
              <w:pStyle w:val="NormalnyWeb"/>
              <w:numPr>
                <w:ilvl w:val="1"/>
                <w:numId w:val="30"/>
              </w:numPr>
              <w:spacing w:before="0" w:beforeAutospacing="0" w:after="0" w:afterAutospacing="0"/>
              <w:rPr>
                <w:rFonts w:eastAsiaTheme="minorEastAsia"/>
              </w:rPr>
            </w:pPr>
            <w:r w:rsidRPr="0005306A">
              <w:t>Prezes Wyższego Urzędu Górniczego;</w:t>
            </w:r>
          </w:p>
          <w:p w14:paraId="7914A812" w14:textId="77777777" w:rsidR="007702C5" w:rsidRPr="0005306A" w:rsidRDefault="00703BF5" w:rsidP="005E0F9D">
            <w:pPr>
              <w:pStyle w:val="NormalnyWeb"/>
              <w:numPr>
                <w:ilvl w:val="1"/>
                <w:numId w:val="30"/>
              </w:numPr>
              <w:spacing w:before="0" w:beforeAutospacing="0" w:after="0" w:afterAutospacing="0"/>
              <w:rPr>
                <w:rFonts w:eastAsiaTheme="minorEastAsia"/>
              </w:rPr>
            </w:pPr>
            <w:r w:rsidRPr="0005306A">
              <w:t>Prezes Urzędu Rejestracji Produktów Leczniczych, Wyrobów Medycznych i Produktów Biobójczych.</w:t>
            </w:r>
          </w:p>
          <w:p w14:paraId="2880AB15" w14:textId="77777777" w:rsidR="007702C5" w:rsidRPr="0005306A" w:rsidRDefault="007702C5" w:rsidP="00FD5CD5">
            <w:pPr>
              <w:pStyle w:val="ZUSTzmustartykuempunktem"/>
              <w:spacing w:line="240" w:lineRule="auto"/>
              <w:ind w:left="634"/>
              <w:jc w:val="left"/>
              <w:rPr>
                <w:rFonts w:ascii="Times New Roman" w:hAnsi="Times New Roman" w:cs="Times New Roman"/>
                <w:szCs w:val="24"/>
              </w:rPr>
            </w:pPr>
            <w:r w:rsidRPr="0005306A">
              <w:rPr>
                <w:rFonts w:ascii="Times New Roman" w:hAnsi="Times New Roman" w:cs="Times New Roman"/>
                <w:szCs w:val="24"/>
              </w:rPr>
              <w:t xml:space="preserve">Art. 68w. 1. Operator platformy oraz dostawca usług społeczeństwa informacyjnego jest obowiązany do współpracy z Dyrektorem TDT jako organem nadzoru rynku w toku prowadzenia </w:t>
            </w:r>
            <w:r w:rsidRPr="0005306A">
              <w:rPr>
                <w:rFonts w:ascii="Times New Roman" w:hAnsi="Times New Roman" w:cs="Times New Roman"/>
                <w:szCs w:val="24"/>
              </w:rPr>
              <w:lastRenderedPageBreak/>
              <w:t xml:space="preserve">przez niego czynności wyjaśniających, kontroli, badań lub postępowań administracyjnych w zakresie przedstawienia informacji niezbędnych do ustalenia własności interfejsu online, w tym własności stron internetowych, za pomocą których podmiot gospodarczy lub posiadacz pojazdu, przedmiotu wyposażenia lub części niebędący użytkownikiem końcowym, oferuje pojazd, przedmiot wyposażenia lub część do sprzedaży na odległość oraz informacji na temat tych podmiotów oraz ich działalności w zakresie sprzedaży na odległość. </w:t>
            </w:r>
          </w:p>
          <w:p w14:paraId="6B3017DF" w14:textId="77777777" w:rsidR="007702C5" w:rsidRPr="0005306A" w:rsidRDefault="007702C5" w:rsidP="00FD5CD5">
            <w:pPr>
              <w:pStyle w:val="ZUSTzmustartykuempunktem"/>
              <w:spacing w:line="240" w:lineRule="auto"/>
              <w:ind w:left="634"/>
              <w:jc w:val="left"/>
              <w:rPr>
                <w:rFonts w:ascii="Times New Roman" w:hAnsi="Times New Roman" w:cs="Times New Roman"/>
                <w:szCs w:val="24"/>
              </w:rPr>
            </w:pPr>
            <w:r w:rsidRPr="0005306A">
              <w:rPr>
                <w:rFonts w:ascii="Times New Roman" w:hAnsi="Times New Roman" w:cs="Times New Roman"/>
                <w:szCs w:val="24"/>
              </w:rPr>
              <w:t xml:space="preserve">2. Operator platformy oraz dostawca usług społeczeństwa informacyjnego jest obowiązany do współpracy z Dyrektorem TDT jako organem nadzoru rynku w zakresie działań w ramach interfejsu online, w tym usuwania z interfejsu online treści odnoszących się do pojazdu, przedmiotu wyposażenia i części wobec których stwierdzono niezgodność z wymaganiami technicznymi lub poważne ryzyko, wyświetlania wyraźnego ostrzeżenia dla użytkowników końcowych uzyskujących dostęp do oferty tego pojazdu, przedmiotu wyposażenia lub części lub zawieszania konta podmiotu gospodarczego na platformie posiadającego oferty pojazdu, przedmiotu wyposażenia i części.  </w:t>
            </w:r>
          </w:p>
          <w:p w14:paraId="2F10BEA6" w14:textId="77777777" w:rsidR="007702C5" w:rsidRPr="0005306A" w:rsidRDefault="007702C5" w:rsidP="00FD5CD5">
            <w:pPr>
              <w:pStyle w:val="ZARTzmartartykuempunktem"/>
              <w:spacing w:line="240" w:lineRule="auto"/>
              <w:ind w:left="634"/>
              <w:jc w:val="left"/>
              <w:rPr>
                <w:rFonts w:ascii="Times New Roman" w:hAnsi="Times New Roman" w:cs="Times New Roman"/>
                <w:szCs w:val="24"/>
              </w:rPr>
            </w:pPr>
            <w:r w:rsidRPr="0005306A">
              <w:rPr>
                <w:rFonts w:ascii="Times New Roman" w:hAnsi="Times New Roman" w:cs="Times New Roman"/>
                <w:szCs w:val="24"/>
              </w:rPr>
              <w:lastRenderedPageBreak/>
              <w:t>Art. 68x. 1. Informacje objęte tajemnicą przedsiębiorstwa rozumiane jako nieujawnione do wiadomości publicznej informacje techniczne, technologiczne oraz organizacyjne przedsiębiorstwa lub inne informacje, co do których przedsiębiorca podjął niezbędne działania w celu zachowania ich poufności, mogą być wykorzystane wyłącznie do celów, do których zostały zgromadzone, z uwzględnieniem ust. 2 i 3.</w:t>
            </w:r>
          </w:p>
          <w:p w14:paraId="306EAADE" w14:textId="77777777" w:rsidR="007702C5" w:rsidRPr="0005306A" w:rsidRDefault="007702C5" w:rsidP="00FD5CD5">
            <w:pPr>
              <w:pStyle w:val="ZUSTzmustartykuempunktem"/>
              <w:spacing w:line="240" w:lineRule="auto"/>
              <w:ind w:left="634"/>
              <w:jc w:val="left"/>
              <w:rPr>
                <w:rFonts w:ascii="Times New Roman" w:hAnsi="Times New Roman" w:cs="Times New Roman"/>
                <w:szCs w:val="24"/>
              </w:rPr>
            </w:pPr>
            <w:r w:rsidRPr="0005306A">
              <w:rPr>
                <w:rFonts w:ascii="Times New Roman" w:hAnsi="Times New Roman" w:cs="Times New Roman"/>
                <w:szCs w:val="24"/>
              </w:rPr>
              <w:t>2. Uzyskane w toku prowadzonych kontroli lub postępowań informacje, o których mowa w ust. 1, w tym objęte tajemnicą przedsiębiorstwa, oraz dowody, podlegają ujawnieniu, jeżeli jest to niezbędne ze względu na konieczność usunięcia niezgodności pojazdu, przedmiotu wyposażenie lub części z wymaganiami technicznymi lub stwarzania przez nich poważnego ryzyka w przypadku odmowy ich usunięcia przez podmiot gospodarczy.</w:t>
            </w:r>
          </w:p>
          <w:p w14:paraId="209DC1D8" w14:textId="77777777" w:rsidR="007702C5" w:rsidRPr="0005306A" w:rsidRDefault="007702C5" w:rsidP="00FD5CD5">
            <w:pPr>
              <w:pStyle w:val="ZARTzmartartykuempunktem"/>
              <w:spacing w:line="240" w:lineRule="auto"/>
              <w:jc w:val="left"/>
              <w:rPr>
                <w:rFonts w:ascii="Times New Roman" w:hAnsi="Times New Roman" w:cs="Times New Roman"/>
                <w:szCs w:val="24"/>
              </w:rPr>
            </w:pPr>
            <w:r w:rsidRPr="0005306A">
              <w:rPr>
                <w:rFonts w:ascii="Times New Roman" w:hAnsi="Times New Roman" w:cs="Times New Roman"/>
                <w:szCs w:val="24"/>
              </w:rPr>
              <w:t>3. Dyrektor TDT jako organ nadzoru rynku może ujawnić informacje, o których mowa w ust. 1, w tym objęte tajemnicą przedsiębiorstwa, oraz dowody uzyskane w toku kontroli lub prowadzonych postępowań, w zakresie niezbędnym do uzasadnienia podjętych w postępowaniu rozstrzygnięć.</w:t>
            </w:r>
          </w:p>
          <w:p w14:paraId="5F2241FA" w14:textId="77777777" w:rsidR="007702C5" w:rsidRPr="0005306A" w:rsidRDefault="007702C5" w:rsidP="00FD5CD5">
            <w:pPr>
              <w:pStyle w:val="ZARTzmar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 xml:space="preserve">Art. 68y. 1. Dyrektor TDT jako organ nadzoru rynku z urzędu przeprowadza niezapowiedziane kontrole albo jeżeli uzna to </w:t>
            </w:r>
            <w:r w:rsidRPr="0005306A">
              <w:rPr>
                <w:rFonts w:ascii="Times New Roman" w:hAnsi="Times New Roman" w:cs="Times New Roman"/>
                <w:szCs w:val="24"/>
              </w:rPr>
              <w:lastRenderedPageBreak/>
              <w:t>za stosowne – kontrole zapowiedziane, w zakresie weryfikacji spełniania wymagań technicznych przez pojazdy, przedmioty wyposażenia lub części lub stwarzania przez nich ryzyka, w szczególności, gdy uzna zasadność ich wszczęcia, z zachowaniem zasady proporcjonalności, konieczności oraz minimalnej uciążliwości dla podmiotu gospodarczego:</w:t>
            </w:r>
          </w:p>
          <w:p w14:paraId="4049EABD" w14:textId="77777777" w:rsidR="007702C5" w:rsidRPr="0005306A" w:rsidRDefault="007702C5" w:rsidP="00FD5CD5">
            <w:pPr>
              <w:pStyle w:val="ZLITwPKTzmlitwpktartykuempunktem"/>
              <w:spacing w:line="240" w:lineRule="auto"/>
              <w:ind w:left="1020" w:hanging="510"/>
              <w:jc w:val="left"/>
              <w:rPr>
                <w:rFonts w:ascii="Times New Roman" w:hAnsi="Times New Roman" w:cs="Times New Roman"/>
                <w:szCs w:val="24"/>
              </w:rPr>
            </w:pPr>
            <w:r w:rsidRPr="0005306A">
              <w:rPr>
                <w:rFonts w:ascii="Times New Roman" w:hAnsi="Times New Roman" w:cs="Times New Roman"/>
                <w:szCs w:val="24"/>
              </w:rPr>
              <w:t>1)</w:t>
            </w:r>
            <w:r w:rsidRPr="0005306A">
              <w:rPr>
                <w:rFonts w:ascii="Times New Roman" w:hAnsi="Times New Roman" w:cs="Times New Roman"/>
                <w:szCs w:val="24"/>
              </w:rPr>
              <w:tab/>
              <w:t>na podstawie działań własnych Dyrektora TDT jako organu nadzoru rynku;</w:t>
            </w:r>
          </w:p>
          <w:p w14:paraId="6EBF231C" w14:textId="77777777" w:rsidR="007702C5" w:rsidRPr="0005306A" w:rsidRDefault="007702C5" w:rsidP="00FD5CD5">
            <w:pPr>
              <w:pStyle w:val="ZLITwPKTzmlitwpktartykuempunktem"/>
              <w:spacing w:line="240" w:lineRule="auto"/>
              <w:ind w:left="1020" w:hanging="510"/>
              <w:jc w:val="left"/>
              <w:rPr>
                <w:rFonts w:ascii="Times New Roman" w:hAnsi="Times New Roman" w:cs="Times New Roman"/>
                <w:szCs w:val="24"/>
              </w:rPr>
            </w:pPr>
            <w:r w:rsidRPr="0005306A">
              <w:rPr>
                <w:rFonts w:ascii="Times New Roman" w:hAnsi="Times New Roman" w:cs="Times New Roman"/>
                <w:szCs w:val="24"/>
              </w:rPr>
              <w:t>2)</w:t>
            </w:r>
            <w:r w:rsidRPr="0005306A">
              <w:rPr>
                <w:rFonts w:ascii="Times New Roman" w:hAnsi="Times New Roman" w:cs="Times New Roman"/>
                <w:szCs w:val="24"/>
              </w:rPr>
              <w:tab/>
              <w:t>w związku z informacjami przekazanymi przez Komisję Europejską, inny organ nadzoru rynku, jednolity urząd łącznikowy, o którym mowa w art. 10 ust. 3 rozporządzenia 2019/1020, lub organy celne państw członkowskich Unii Europejskiej;</w:t>
            </w:r>
          </w:p>
          <w:p w14:paraId="35B2C9D5"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3)</w:t>
            </w:r>
            <w:r w:rsidRPr="0005306A">
              <w:rPr>
                <w:rFonts w:ascii="Times New Roman" w:hAnsi="Times New Roman" w:cs="Times New Roman"/>
                <w:szCs w:val="24"/>
              </w:rPr>
              <w:tab/>
              <w:t>na podstawie innych informacji, w tym skarg użytkowników końcowych, informacji pochodzących od organów Krajowej Administracji Skarbowej, innych organów administracji publicznej, organizacji zrzeszających konsumentów, organizacji zrzeszających podmioty gospodarcze lub mediów</w:t>
            </w:r>
          </w:p>
          <w:p w14:paraId="26F5B025"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jeżeli wskazują one na uzasadnione podejrzenie:</w:t>
            </w:r>
          </w:p>
          <w:p w14:paraId="3A734506" w14:textId="77777777" w:rsidR="007702C5" w:rsidRPr="0005306A" w:rsidRDefault="007702C5" w:rsidP="00FD5CD5">
            <w:pPr>
              <w:pStyle w:val="ZPKTzmpktartykuempunktem"/>
              <w:spacing w:line="240" w:lineRule="auto"/>
              <w:ind w:left="917" w:hanging="425"/>
              <w:jc w:val="left"/>
              <w:rPr>
                <w:rFonts w:ascii="Times New Roman" w:hAnsi="Times New Roman" w:cs="Times New Roman"/>
                <w:szCs w:val="24"/>
              </w:rPr>
            </w:pPr>
            <w:r w:rsidRPr="0005306A">
              <w:rPr>
                <w:rFonts w:ascii="Times New Roman" w:hAnsi="Times New Roman" w:cs="Times New Roman"/>
                <w:szCs w:val="24"/>
              </w:rPr>
              <w:t>a)</w:t>
            </w:r>
            <w:r w:rsidRPr="0005306A">
              <w:rPr>
                <w:rFonts w:ascii="Times New Roman" w:hAnsi="Times New Roman" w:cs="Times New Roman"/>
                <w:szCs w:val="24"/>
              </w:rPr>
              <w:tab/>
              <w:t>poważnego ryzyka dla życia, zdrowia, bezpieczeństwa, środowiska lub jakiegokolwiek innego interesu publicznego, o których mowa w art. 1 ust. 1 rozporządzenia 2019/1020,</w:t>
            </w:r>
          </w:p>
          <w:p w14:paraId="732BB8E4" w14:textId="77777777" w:rsidR="007702C5" w:rsidRPr="0005306A" w:rsidRDefault="007702C5" w:rsidP="00FD5CD5">
            <w:pPr>
              <w:pStyle w:val="ZPKTzmpktartykuempunktem"/>
              <w:spacing w:line="240" w:lineRule="auto"/>
              <w:ind w:left="917" w:hanging="425"/>
              <w:jc w:val="left"/>
              <w:rPr>
                <w:rFonts w:ascii="Times New Roman" w:hAnsi="Times New Roman" w:cs="Times New Roman"/>
                <w:szCs w:val="24"/>
              </w:rPr>
            </w:pPr>
            <w:r w:rsidRPr="0005306A">
              <w:rPr>
                <w:rFonts w:ascii="Times New Roman" w:hAnsi="Times New Roman" w:cs="Times New Roman"/>
                <w:szCs w:val="24"/>
              </w:rPr>
              <w:t>b)</w:t>
            </w:r>
            <w:r w:rsidRPr="0005306A">
              <w:rPr>
                <w:rFonts w:ascii="Times New Roman" w:hAnsi="Times New Roman" w:cs="Times New Roman"/>
                <w:szCs w:val="24"/>
              </w:rPr>
              <w:tab/>
              <w:t>popełnienia przestępstwa lub wykroczenia,</w:t>
            </w:r>
          </w:p>
          <w:p w14:paraId="6F60E821" w14:textId="77777777" w:rsidR="007702C5" w:rsidRPr="0005306A" w:rsidRDefault="007702C5" w:rsidP="00FD5CD5">
            <w:pPr>
              <w:pStyle w:val="ZPKTzmpktartykuempunktem"/>
              <w:spacing w:line="240" w:lineRule="auto"/>
              <w:ind w:left="917" w:hanging="425"/>
              <w:jc w:val="left"/>
              <w:rPr>
                <w:rFonts w:ascii="Times New Roman" w:hAnsi="Times New Roman" w:cs="Times New Roman"/>
                <w:szCs w:val="24"/>
              </w:rPr>
            </w:pPr>
            <w:r w:rsidRPr="0005306A">
              <w:rPr>
                <w:rFonts w:ascii="Times New Roman" w:hAnsi="Times New Roman" w:cs="Times New Roman"/>
                <w:szCs w:val="24"/>
              </w:rPr>
              <w:t>c)</w:t>
            </w:r>
            <w:r w:rsidRPr="0005306A">
              <w:rPr>
                <w:rFonts w:ascii="Times New Roman" w:hAnsi="Times New Roman" w:cs="Times New Roman"/>
                <w:szCs w:val="24"/>
              </w:rPr>
              <w:tab/>
              <w:t>popełnienia przestępstwa skarbowego lub wykroczenia skarbowego,</w:t>
            </w:r>
          </w:p>
          <w:p w14:paraId="73B62A01" w14:textId="77777777" w:rsidR="007702C5" w:rsidRPr="0005306A" w:rsidRDefault="007702C5" w:rsidP="00FD5CD5">
            <w:pPr>
              <w:pStyle w:val="ZPKTzmpktartykuempunktem"/>
              <w:spacing w:line="240" w:lineRule="auto"/>
              <w:ind w:left="917" w:hanging="425"/>
              <w:jc w:val="left"/>
              <w:rPr>
                <w:rFonts w:ascii="Times New Roman" w:hAnsi="Times New Roman" w:cs="Times New Roman"/>
                <w:szCs w:val="24"/>
              </w:rPr>
            </w:pPr>
            <w:r w:rsidRPr="0005306A">
              <w:rPr>
                <w:rFonts w:ascii="Times New Roman" w:hAnsi="Times New Roman" w:cs="Times New Roman"/>
                <w:szCs w:val="24"/>
              </w:rPr>
              <w:t>d)</w:t>
            </w:r>
            <w:r w:rsidRPr="0005306A">
              <w:rPr>
                <w:rFonts w:ascii="Times New Roman" w:hAnsi="Times New Roman" w:cs="Times New Roman"/>
                <w:szCs w:val="24"/>
              </w:rPr>
              <w:tab/>
              <w:t>niezgodności pojazdu, przedmiotu wyposażenia lub części z wymaganiami technicznymi, które mają do niego zastosowanie,</w:t>
            </w:r>
          </w:p>
          <w:p w14:paraId="2E76577C" w14:textId="77777777" w:rsidR="007702C5" w:rsidRPr="0005306A" w:rsidRDefault="007702C5" w:rsidP="00FD5CD5">
            <w:pPr>
              <w:pStyle w:val="ZPKTzmpktartykuempunktem"/>
              <w:spacing w:line="240" w:lineRule="auto"/>
              <w:ind w:left="917" w:hanging="425"/>
              <w:jc w:val="left"/>
              <w:rPr>
                <w:rFonts w:ascii="Times New Roman" w:hAnsi="Times New Roman" w:cs="Times New Roman"/>
                <w:szCs w:val="24"/>
              </w:rPr>
            </w:pPr>
            <w:r w:rsidRPr="0005306A">
              <w:rPr>
                <w:rFonts w:ascii="Times New Roman" w:hAnsi="Times New Roman" w:cs="Times New Roman"/>
                <w:szCs w:val="24"/>
              </w:rPr>
              <w:t>e)</w:t>
            </w:r>
            <w:r w:rsidRPr="0005306A">
              <w:rPr>
                <w:rFonts w:ascii="Times New Roman" w:hAnsi="Times New Roman" w:cs="Times New Roman"/>
                <w:szCs w:val="24"/>
              </w:rPr>
              <w:tab/>
              <w:t>innego naruszenia prawnego zakazu lub niedopełnienia prawnego obowiązku</w:t>
            </w:r>
          </w:p>
          <w:p w14:paraId="0D06F1EA" w14:textId="77777777" w:rsidR="007702C5" w:rsidRPr="0005306A" w:rsidRDefault="007702C5" w:rsidP="00FD5CD5">
            <w:pPr>
              <w:pStyle w:val="ZLITwPKTzmlitwpktartykuempunktem"/>
              <w:spacing w:line="240" w:lineRule="auto"/>
              <w:ind w:left="1020" w:hanging="510"/>
              <w:jc w:val="left"/>
              <w:rPr>
                <w:rFonts w:ascii="Times New Roman" w:hAnsi="Times New Roman" w:cs="Times New Roman"/>
                <w:szCs w:val="24"/>
              </w:rPr>
            </w:pPr>
            <w:r w:rsidRPr="0005306A">
              <w:rPr>
                <w:rFonts w:ascii="Times New Roman" w:hAnsi="Times New Roman" w:cs="Times New Roman"/>
                <w:szCs w:val="24"/>
              </w:rPr>
              <w:t>– w wyniku wykonywania działalności gospodarczej objętej kontrolą;</w:t>
            </w:r>
          </w:p>
          <w:p w14:paraId="5E7B4485" w14:textId="77777777" w:rsidR="007702C5" w:rsidRPr="0005306A" w:rsidRDefault="007702C5" w:rsidP="00FD5CD5">
            <w:pPr>
              <w:pStyle w:val="ZARTzmar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2. Kontrole, o których mowa w ust. 1, są przeprowadzane na podstawie  analizy ryzyka uwzględniającej:</w:t>
            </w:r>
          </w:p>
          <w:p w14:paraId="3A008A18" w14:textId="77777777" w:rsidR="007702C5" w:rsidRPr="0005306A" w:rsidRDefault="007702C5" w:rsidP="00FD5CD5">
            <w:pPr>
              <w:pStyle w:val="ZLITwPKTzmlitwpktartykuempunktem"/>
              <w:spacing w:line="240" w:lineRule="auto"/>
              <w:jc w:val="left"/>
              <w:rPr>
                <w:rFonts w:ascii="Times New Roman" w:hAnsi="Times New Roman" w:cs="Times New Roman"/>
                <w:szCs w:val="24"/>
              </w:rPr>
            </w:pPr>
            <w:r w:rsidRPr="0005306A">
              <w:rPr>
                <w:rFonts w:ascii="Times New Roman" w:hAnsi="Times New Roman" w:cs="Times New Roman"/>
                <w:szCs w:val="24"/>
              </w:rPr>
              <w:t>1)</w:t>
            </w:r>
            <w:r w:rsidRPr="0005306A">
              <w:rPr>
                <w:rFonts w:ascii="Times New Roman" w:hAnsi="Times New Roman" w:cs="Times New Roman"/>
                <w:szCs w:val="24"/>
              </w:rPr>
              <w:tab/>
              <w:t>możliwe niebezpieczeństwa i niezgodności związane z pojazdami, przedmiotami wyposażenia lub części oraz, o ile informacje w tym zakresie są dostępne, częstotliwość ich występowania na rynku;</w:t>
            </w:r>
          </w:p>
          <w:p w14:paraId="41BE8426" w14:textId="77777777" w:rsidR="007702C5" w:rsidRPr="0005306A" w:rsidRDefault="007702C5" w:rsidP="00FD5CD5">
            <w:pPr>
              <w:pStyle w:val="ZLITwPKTzmlitwpktartykuempunktem"/>
              <w:spacing w:line="240" w:lineRule="auto"/>
              <w:jc w:val="left"/>
              <w:rPr>
                <w:rFonts w:ascii="Times New Roman" w:hAnsi="Times New Roman" w:cs="Times New Roman"/>
                <w:szCs w:val="24"/>
              </w:rPr>
            </w:pPr>
            <w:r w:rsidRPr="0005306A">
              <w:rPr>
                <w:rFonts w:ascii="Times New Roman" w:hAnsi="Times New Roman" w:cs="Times New Roman"/>
                <w:szCs w:val="24"/>
              </w:rPr>
              <w:t>2)</w:t>
            </w:r>
            <w:r w:rsidRPr="0005306A">
              <w:rPr>
                <w:rFonts w:ascii="Times New Roman" w:hAnsi="Times New Roman" w:cs="Times New Roman"/>
                <w:szCs w:val="24"/>
              </w:rPr>
              <w:tab/>
              <w:t>działania i operacje kontrolowane przez podmiot gospodarczy;</w:t>
            </w:r>
          </w:p>
          <w:p w14:paraId="44E07FF2" w14:textId="77777777" w:rsidR="007702C5" w:rsidRPr="0005306A" w:rsidRDefault="007702C5" w:rsidP="00FD5CD5">
            <w:pPr>
              <w:pStyle w:val="ZARTzmar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3)</w:t>
            </w:r>
            <w:r w:rsidRPr="0005306A">
              <w:rPr>
                <w:rFonts w:ascii="Times New Roman" w:hAnsi="Times New Roman" w:cs="Times New Roman"/>
                <w:szCs w:val="24"/>
              </w:rPr>
              <w:tab/>
              <w:t>zarejestrowaną u danego podmiotu gospodarczego historię występowania niezgodności pojazdów, przedmiotów wyposażenia lub części z wymaganiami technicznymi.</w:t>
            </w:r>
          </w:p>
          <w:p w14:paraId="73992E18" w14:textId="77777777" w:rsidR="001038FF" w:rsidRPr="0005306A" w:rsidRDefault="001038FF" w:rsidP="00FD5CD5">
            <w:pPr>
              <w:pStyle w:val="ZARTzmartartykuempunktem"/>
              <w:spacing w:line="240" w:lineRule="auto"/>
              <w:jc w:val="left"/>
            </w:pPr>
            <w:r w:rsidRPr="0005306A">
              <w:t>3. Do kontroli pojazdów, przedmiotów wyposażenia lub części, o której mowa w ust. 1, w zakresie nieuregulowanym w niniejszej ustawie stosuje się przepisy rozdziału 5 ustawy z dnia 6 marca 2018 r. – Prawo przedsiębiorców, z tym że do kontroli niezapowiedzianej nie stosuje się art. 48 tej ustawy.</w:t>
            </w:r>
          </w:p>
          <w:p w14:paraId="568A3DFC" w14:textId="77777777" w:rsidR="007702C5" w:rsidRPr="0005306A" w:rsidRDefault="007702C5" w:rsidP="00FD5CD5">
            <w:pPr>
              <w:pStyle w:val="ZARTzmartartykuempunktem"/>
              <w:spacing w:line="240" w:lineRule="auto"/>
              <w:jc w:val="left"/>
              <w:rPr>
                <w:rFonts w:ascii="Times New Roman" w:hAnsi="Times New Roman" w:cs="Times New Roman"/>
                <w:szCs w:val="24"/>
              </w:rPr>
            </w:pPr>
            <w:r w:rsidRPr="0005306A">
              <w:rPr>
                <w:rFonts w:ascii="Times New Roman" w:hAnsi="Times New Roman" w:cs="Times New Roman"/>
                <w:szCs w:val="24"/>
              </w:rPr>
              <w:t>4. Do treści zawiadomienia o zamiarze wszczęcia kontroli stosuje się przepisy art. 48 ust. 3 ustawy – Prawo przedsiębiorców.</w:t>
            </w:r>
          </w:p>
          <w:p w14:paraId="1078E2B6" w14:textId="77777777" w:rsidR="007702C5" w:rsidRPr="0005306A" w:rsidRDefault="007702C5" w:rsidP="00FD5CD5">
            <w:pPr>
              <w:spacing w:after="0" w:line="240" w:lineRule="auto"/>
              <w:ind w:left="510" w:firstLine="510"/>
              <w:rPr>
                <w:rFonts w:ascii="Times New Roman" w:eastAsiaTheme="minorEastAsia" w:hAnsi="Times New Roman" w:cs="Times New Roman"/>
                <w:sz w:val="24"/>
                <w:szCs w:val="24"/>
                <w:lang w:eastAsia="pl-PL"/>
              </w:rPr>
            </w:pPr>
            <w:r w:rsidRPr="0005306A">
              <w:rPr>
                <w:rFonts w:ascii="Times New Roman" w:eastAsiaTheme="minorEastAsia" w:hAnsi="Times New Roman" w:cs="Times New Roman"/>
                <w:sz w:val="24"/>
                <w:szCs w:val="24"/>
                <w:lang w:eastAsia="pl-PL"/>
              </w:rPr>
              <w:t>5. W przypadku podjęcia i prowadzenia kontroli u podmiotu gospodarczego przez inny organ, Dyrektor TDT w trakcie trwania tej kontroli może pobrać próbkę pojazdu, przedmiotu wyposażenia lub części wraz z wymaganymi dokumentami technicznymi.</w:t>
            </w:r>
          </w:p>
          <w:p w14:paraId="089E24C1" w14:textId="77777777" w:rsidR="007702C5" w:rsidRPr="0005306A" w:rsidRDefault="007702C5" w:rsidP="00FD5CD5">
            <w:pPr>
              <w:pStyle w:val="ZARTzmartartykuempunktem"/>
              <w:spacing w:line="240" w:lineRule="auto"/>
              <w:jc w:val="left"/>
              <w:rPr>
                <w:rFonts w:ascii="Times New Roman" w:hAnsi="Times New Roman" w:cs="Times New Roman"/>
                <w:szCs w:val="24"/>
              </w:rPr>
            </w:pPr>
            <w:r w:rsidRPr="0005306A">
              <w:rPr>
                <w:rFonts w:ascii="Times New Roman" w:hAnsi="Times New Roman" w:cs="Times New Roman"/>
                <w:szCs w:val="24"/>
              </w:rPr>
              <w:t>Art. 68z. 1. Dyrektor TDT jako organ nadzoru rynku z urzędu podejmuje czynności wyjaśniające w sprawie niezgodności pojazdów, przedmiotów wyposażenia lub części z wymaganiami technicznymi lub mogących stwarzać poważne ryzyko.</w:t>
            </w:r>
          </w:p>
          <w:p w14:paraId="35F4C247" w14:textId="77777777" w:rsidR="007702C5" w:rsidRPr="0005306A" w:rsidRDefault="007702C5" w:rsidP="00FD5CD5">
            <w:pPr>
              <w:spacing w:after="0" w:line="240" w:lineRule="auto"/>
              <w:ind w:left="510" w:firstLine="510"/>
              <w:rPr>
                <w:rFonts w:ascii="Times New Roman" w:eastAsiaTheme="minorEastAsia" w:hAnsi="Times New Roman" w:cs="Times New Roman"/>
                <w:sz w:val="24"/>
                <w:szCs w:val="24"/>
                <w:lang w:eastAsia="pl-PL"/>
              </w:rPr>
            </w:pPr>
            <w:r w:rsidRPr="0005306A">
              <w:rPr>
                <w:rFonts w:ascii="Times New Roman" w:eastAsiaTheme="minorEastAsia" w:hAnsi="Times New Roman" w:cs="Times New Roman"/>
                <w:sz w:val="24"/>
                <w:szCs w:val="24"/>
                <w:lang w:eastAsia="pl-PL"/>
              </w:rPr>
              <w:t>2. Czynności wyjaśniające, o których mowa w ust. 1, obejmują uprawnienia Dyrektora TDT jako organu nadzoru rynku określone w art. 14 ust. 4 lit. a</w:t>
            </w:r>
            <w:r w:rsidRPr="0005306A">
              <w:rPr>
                <w:rFonts w:ascii="Times New Roman" w:eastAsiaTheme="minorEastAsia" w:hAnsi="Times New Roman" w:cs="Times New Roman"/>
                <w:sz w:val="24"/>
                <w:szCs w:val="24"/>
              </w:rPr>
              <w:t>–</w:t>
            </w:r>
            <w:r w:rsidRPr="0005306A">
              <w:rPr>
                <w:rFonts w:ascii="Times New Roman" w:eastAsiaTheme="minorEastAsia" w:hAnsi="Times New Roman" w:cs="Times New Roman"/>
                <w:sz w:val="24"/>
                <w:szCs w:val="24"/>
                <w:lang w:eastAsia="pl-PL"/>
              </w:rPr>
              <w:t>c rozporządzenia 2019/1020.</w:t>
            </w:r>
          </w:p>
          <w:p w14:paraId="09CDE02F" w14:textId="77777777" w:rsidR="007702C5" w:rsidRPr="0005306A" w:rsidRDefault="007702C5" w:rsidP="00FD5CD5">
            <w:pPr>
              <w:pStyle w:val="ZARTzmar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3. Czynności wyjaśniające, o których mowa w ust. 1, są  realizowane w drodze wystąpienia, które powinno zawierać wskazanie:</w:t>
            </w:r>
          </w:p>
          <w:p w14:paraId="3A1E1C01"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1) </w:t>
            </w:r>
            <w:r w:rsidRPr="0005306A">
              <w:rPr>
                <w:rFonts w:ascii="Times New Roman" w:hAnsi="Times New Roman" w:cs="Times New Roman"/>
                <w:szCs w:val="24"/>
              </w:rPr>
              <w:tab/>
              <w:t>zakresu informacji;</w:t>
            </w:r>
          </w:p>
          <w:p w14:paraId="30251D4B"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2) </w:t>
            </w:r>
            <w:r w:rsidRPr="0005306A">
              <w:rPr>
                <w:rFonts w:ascii="Times New Roman" w:hAnsi="Times New Roman" w:cs="Times New Roman"/>
                <w:szCs w:val="24"/>
              </w:rPr>
              <w:tab/>
              <w:t>celu wystąpienia;</w:t>
            </w:r>
          </w:p>
          <w:p w14:paraId="1AE1924D"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3) </w:t>
            </w:r>
            <w:r w:rsidRPr="0005306A">
              <w:rPr>
                <w:rFonts w:ascii="Times New Roman" w:hAnsi="Times New Roman" w:cs="Times New Roman"/>
                <w:szCs w:val="24"/>
              </w:rPr>
              <w:tab/>
              <w:t>terminu udzielenia informacji.</w:t>
            </w:r>
          </w:p>
          <w:p w14:paraId="5AB65575" w14:textId="77777777" w:rsidR="007702C5" w:rsidRPr="0005306A" w:rsidRDefault="007702C5" w:rsidP="00FD5CD5">
            <w:pPr>
              <w:spacing w:after="0" w:line="240" w:lineRule="auto"/>
              <w:ind w:left="510" w:firstLine="510"/>
              <w:rPr>
                <w:rFonts w:ascii="Times New Roman" w:eastAsiaTheme="minorEastAsia" w:hAnsi="Times New Roman" w:cs="Times New Roman"/>
                <w:sz w:val="24"/>
                <w:szCs w:val="24"/>
                <w:lang w:eastAsia="pl-PL"/>
              </w:rPr>
            </w:pPr>
            <w:r w:rsidRPr="0005306A">
              <w:rPr>
                <w:rFonts w:ascii="Times New Roman" w:eastAsiaTheme="minorEastAsia" w:hAnsi="Times New Roman" w:cs="Times New Roman"/>
                <w:sz w:val="24"/>
                <w:szCs w:val="24"/>
                <w:lang w:eastAsia="pl-PL"/>
              </w:rPr>
              <w:t>4. Podmiot gospodarczy lub posiadacz pojazdu, przedmiotu wyposażenia lub części niebędący użytkownikiem końcowym, do którego Dyrektor TDT jako organ nadzoru rynku skierował wystąpienie, o którym mowa w ust. 3, jest obowiązany w terminie określonym w wystąpieniu przekazać informacje, których wystąpienie dotyczy.</w:t>
            </w:r>
          </w:p>
          <w:p w14:paraId="1FF96044"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5. Dyrektor TDT jako organ nadzoru rynku może podjąć czynności wyjaśniające na podstawie informacji, o których mowa w art. 68y ust. 1.</w:t>
            </w:r>
          </w:p>
          <w:p w14:paraId="3CEEE6B9"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6. Dyrektor TDT w ramach czynności wyjaśniających na podstawie przekazanych informacji przeprowadza analizę ryzyka, o której mowa w art. 68t ust. 1.</w:t>
            </w:r>
          </w:p>
          <w:p w14:paraId="34160EC4"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7. Wynik czynności wyjaśniających jest udokumentowany w raporcie, który może stanowić podstawę podjęcia kontroli lub wszczęcia postępowania administracyjnego. Raport pozostawia się w aktach sprawy.</w:t>
            </w:r>
          </w:p>
          <w:p w14:paraId="4D413A96"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Art. 68za. 1. W toku kontroli Dyrektor TDT jako organ nadzoru rynku, w zakresie objętym kontrolą, ma prawo</w:t>
            </w:r>
            <w:r w:rsidR="009A3610" w:rsidRPr="0005306A">
              <w:rPr>
                <w:rFonts w:ascii="Times New Roman" w:hAnsi="Times New Roman" w:cs="Times New Roman"/>
                <w:szCs w:val="24"/>
              </w:rPr>
              <w:t xml:space="preserve"> </w:t>
            </w:r>
            <w:r w:rsidRPr="0005306A">
              <w:rPr>
                <w:rFonts w:ascii="Times New Roman" w:hAnsi="Times New Roman" w:cs="Times New Roman"/>
                <w:szCs w:val="24"/>
              </w:rPr>
              <w:t>do:</w:t>
            </w:r>
          </w:p>
          <w:p w14:paraId="5A716DF9"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1)</w:t>
            </w:r>
            <w:r w:rsidRPr="0005306A">
              <w:rPr>
                <w:rFonts w:ascii="Times New Roman" w:hAnsi="Times New Roman" w:cs="Times New Roman"/>
                <w:szCs w:val="24"/>
              </w:rPr>
              <w:tab/>
              <w:t>wstępu na teren nieruchomości, obiektu, lokalu lub ich części oraz środków transportu podmiotu gospodarczego lub posiadacza pojazdu, przedmiotu wyposażenia lub części niebędącego użytkownikiem końcowym;</w:t>
            </w:r>
          </w:p>
          <w:p w14:paraId="4C94CF5C"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2)</w:t>
            </w:r>
            <w:r w:rsidRPr="0005306A">
              <w:rPr>
                <w:rFonts w:ascii="Times New Roman" w:hAnsi="Times New Roman" w:cs="Times New Roman"/>
                <w:szCs w:val="24"/>
              </w:rPr>
              <w:tab/>
              <w:t>dokonywania oględzin terenu nieruchomości, obiektu, lokalu lub ich części, pojazdów, przedmiotów wyposażenia i części, środków transportu i innych rzeczy związanych z przedmiotem kontroli;</w:t>
            </w:r>
          </w:p>
          <w:p w14:paraId="03E3D777"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3)</w:t>
            </w:r>
            <w:r w:rsidRPr="0005306A">
              <w:rPr>
                <w:rFonts w:ascii="Times New Roman" w:hAnsi="Times New Roman" w:cs="Times New Roman"/>
                <w:szCs w:val="24"/>
              </w:rPr>
              <w:tab/>
              <w:t>żądania od podmiotu gospodarczego przedstawienia odpowiednich dokumentów, specyfikacji technicznych, danych lub informacji na potrzeby oceny zgodności pojazdu, przedmiotu wyposażenia lub części z wymaganiami technicznymi lub stwarzania przez nich ryzyka oraz innych aspektów technicznych pojazdu, przedmiotu wyposażenia lub części, w tym dostępu do wbudowanego oprogramowania w zakresie, w jakim dostęp ten jest niezbędny do oceny zgodności pojazdu, przedmiotu wyposażenia lub części z wymaganiami technicznymi lub stwarzania przez nich poważnego ryzyka, w każdej formie i formacie, niezależne od nośnika danych lub miejsca, w którym takie dokumenty, specyfikacje techniczne, dane lub informacje są przechowywane;</w:t>
            </w:r>
          </w:p>
          <w:p w14:paraId="56CD97F1"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4)</w:t>
            </w:r>
            <w:r w:rsidRPr="0005306A">
              <w:rPr>
                <w:rFonts w:ascii="Times New Roman" w:hAnsi="Times New Roman" w:cs="Times New Roman"/>
                <w:szCs w:val="24"/>
              </w:rPr>
              <w:tab/>
              <w:t>żądania poświadczenia za zgodność z oryginałem przez podmiot gospodarczy lub posiadacza pojazdu, przedmiotu wyposażenia lub części niebędącego użytkownikiem końcowym, lub osobę przez niego upoważnioną, otrzymanych kopii dokumentów, specyfikacji technicznych, danych lub informacji lub urzędowego tłumaczenia na język polski dokumentów sporządzonych w języku obcym;</w:t>
            </w:r>
          </w:p>
          <w:p w14:paraId="284ADCBB"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5)</w:t>
            </w:r>
            <w:r w:rsidRPr="0005306A">
              <w:rPr>
                <w:rFonts w:ascii="Times New Roman" w:hAnsi="Times New Roman" w:cs="Times New Roman"/>
                <w:szCs w:val="24"/>
              </w:rPr>
              <w:tab/>
              <w:t>żądania od podmiotu gospodarczego lub posiadacza pojazdu, przedmiotu wyposażenia lub części niebędącego użytkownikiem końcowym, przedstawienia informacji na temat łańcucha dostaw, szczegółów sieci dystrybucji, liczby pojazdów, przedmiotów wyposażenia lub części udostępnionych na rynku oraz innych modeli o takich samych właściwościach technicznych jak pojazdy, przedmioty wyposażenia lub części</w:t>
            </w:r>
            <w:r w:rsidRPr="0005306A" w:rsidDel="00C32ECF">
              <w:rPr>
                <w:rFonts w:ascii="Times New Roman" w:hAnsi="Times New Roman" w:cs="Times New Roman"/>
                <w:szCs w:val="24"/>
              </w:rPr>
              <w:t xml:space="preserve"> </w:t>
            </w:r>
            <w:r w:rsidRPr="0005306A">
              <w:rPr>
                <w:rFonts w:ascii="Times New Roman" w:hAnsi="Times New Roman" w:cs="Times New Roman"/>
                <w:szCs w:val="24"/>
              </w:rPr>
              <w:t>będące przedmiotem kontroli, o ile ma to znaczenie dla zgodności z wymaganiami technicznymi lub oceny, czy pojazd, przedmiot wyposażenia lub część stwarzają poważne ryzyko;</w:t>
            </w:r>
          </w:p>
          <w:p w14:paraId="5B02C627"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6)</w:t>
            </w:r>
            <w:r w:rsidRPr="0005306A">
              <w:rPr>
                <w:rFonts w:ascii="Times New Roman" w:hAnsi="Times New Roman" w:cs="Times New Roman"/>
                <w:szCs w:val="24"/>
              </w:rPr>
              <w:tab/>
              <w:t>żądania od podmiotu gospodarczego lub posiadacza pojazdu, przedmiotu wyposażenia lub części niebędącego użytkownikiem końcowym, przedstawienia informacji niezbędnych do ustalenia własności stron internetowych, jeżeli te informacje dotyczą pojazdu, przedmiotu wyposażenia lub części będących przedmiotem kontroli;</w:t>
            </w:r>
          </w:p>
          <w:p w14:paraId="1478A64E"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7)</w:t>
            </w:r>
            <w:r w:rsidRPr="0005306A">
              <w:rPr>
                <w:rFonts w:ascii="Times New Roman" w:hAnsi="Times New Roman" w:cs="Times New Roman"/>
                <w:szCs w:val="24"/>
              </w:rPr>
              <w:tab/>
              <w:t>legitymowania osób w celu potwierdzenia ich tożsamości;</w:t>
            </w:r>
          </w:p>
          <w:p w14:paraId="7390B388"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8)</w:t>
            </w:r>
            <w:r w:rsidRPr="0005306A">
              <w:rPr>
                <w:rFonts w:ascii="Times New Roman" w:hAnsi="Times New Roman" w:cs="Times New Roman"/>
                <w:szCs w:val="24"/>
              </w:rPr>
              <w:tab/>
              <w:t>żądania udzielenia, w wyznaczonym terminie, pisemnych lub ustnych wyjaśnień związanych z przedmiotem kontroli;</w:t>
            </w:r>
          </w:p>
          <w:p w14:paraId="11446743"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9)</w:t>
            </w:r>
            <w:r w:rsidRPr="0005306A">
              <w:rPr>
                <w:rFonts w:ascii="Times New Roman" w:hAnsi="Times New Roman" w:cs="Times New Roman"/>
                <w:szCs w:val="24"/>
              </w:rPr>
              <w:tab/>
              <w:t>przesłuchiwania osoby w charakterze świadka na okoliczności związane z przedmiotem kontroli;</w:t>
            </w:r>
          </w:p>
          <w:p w14:paraId="083A3CC0"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10)</w:t>
            </w:r>
            <w:r w:rsidRPr="0005306A">
              <w:rPr>
                <w:rFonts w:ascii="Times New Roman" w:hAnsi="Times New Roman" w:cs="Times New Roman"/>
                <w:szCs w:val="24"/>
              </w:rPr>
              <w:tab/>
              <w:t>zasięgania z urzędu niezbędnych opinii eksperckich w toku kontroli dokumentów, fizycznej lub laboratoryjnej kontroli pojazdów, przedmiotów wyposażenia lub części lub prowadzonych postępowań;</w:t>
            </w:r>
          </w:p>
          <w:p w14:paraId="3D394933"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11)</w:t>
            </w:r>
            <w:r w:rsidRPr="0005306A">
              <w:rPr>
                <w:rFonts w:ascii="Times New Roman" w:hAnsi="Times New Roman" w:cs="Times New Roman"/>
                <w:szCs w:val="24"/>
              </w:rPr>
              <w:tab/>
              <w:t>zabezpieczania dowodów, pojazdów, przedmiotów wyposażenia lub części;</w:t>
            </w:r>
          </w:p>
          <w:p w14:paraId="59B9ECE3"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12)</w:t>
            </w:r>
            <w:r w:rsidRPr="0005306A">
              <w:rPr>
                <w:rFonts w:ascii="Times New Roman" w:hAnsi="Times New Roman" w:cs="Times New Roman"/>
                <w:szCs w:val="24"/>
              </w:rPr>
              <w:tab/>
              <w:t>pobierania nieodpłatnie próbek pojazdów, przedmiotów wyposażenia lub części do kontroli lub badań;</w:t>
            </w:r>
          </w:p>
          <w:p w14:paraId="4CC1A59E"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13)</w:t>
            </w:r>
            <w:r w:rsidRPr="0005306A">
              <w:rPr>
                <w:rFonts w:ascii="Times New Roman" w:hAnsi="Times New Roman" w:cs="Times New Roman"/>
                <w:szCs w:val="24"/>
              </w:rPr>
              <w:tab/>
              <w:t>gromadzenia innych niezbędnych dowodów związanych z przedmiotem kontroli, w tym dowodów w postaci elektronicznej.</w:t>
            </w:r>
          </w:p>
          <w:p w14:paraId="3BFB807B"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2. Osobie upoważnionej do udziału w kontroli, na podstawie art. 68zb ust. 2, przysługują uprawnienia kontrolującego w zakresie wstępu na teren nieruchomości, obiektu, lokalu lub ich części oraz środków transportu podmiotu gospodarczego, posiadacza pojazdu, przedmiotu wyposażenia lub części niebędącego użytkownikiem końcowym, oraz dostępu do dokumentów, specyfikacji technicznych, danych i informacji, o których mowa w ust. 1 pkt 3.</w:t>
            </w:r>
          </w:p>
          <w:p w14:paraId="3A7CBF9B"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3. W celu zapewnienia właściwej dokumentacji przebiegu kontroli, po uprzednim poinformowaniu podmiotu gospodarczego lub posiadacza pojazdu, przedmiotu wyposażenia lub części niebędącego użytkownikiem końcowym, czynności kontrolne, o których mowa w ust. 1, mogą być utrwalane przy pomocy urządzeń rejestrujących obraz lub dźwięk.</w:t>
            </w:r>
          </w:p>
          <w:p w14:paraId="5ECF7DBD"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4. Dane pozyskane w wyniku rejestracji obrazu lub dźwięku, o których mowa w ust. 3, mogą być przetwarzane przez Dyrektora TDT jako organ nadzoru rynku w celu realizacji zadań w zakresie nadzoru rynku.</w:t>
            </w:r>
          </w:p>
          <w:p w14:paraId="5917B318"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5. Informatyczne nośniki danych w rozumieniu przepisów o informatyzacji działalności podmiotów realizujących zadania publiczne, na których zarejestrowano przebieg kontroli lub poszczególne czynności w jej toku, stanowią załącznik do protokołu kontroli.</w:t>
            </w:r>
          </w:p>
          <w:p w14:paraId="7D3E8E16"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6. Dyrektor TDT jako organ nadzoru rynku przechowuje zapis z utrwalonych czynności kontrolnych, o których mowa w ust. 3 oraz informatyczne nośniki danych, o których mowa w ust. 5, przez okres pięciu lat od dnia zakończenia kontroli. </w:t>
            </w:r>
          </w:p>
          <w:p w14:paraId="63DDD12F" w14:textId="77777777" w:rsidR="007702C5" w:rsidRPr="0005306A" w:rsidRDefault="007702C5" w:rsidP="00FD5CD5">
            <w:pPr>
              <w:pStyle w:val="ZARTzmartartykuempunktem"/>
              <w:spacing w:line="240" w:lineRule="auto"/>
              <w:jc w:val="left"/>
              <w:rPr>
                <w:rFonts w:ascii="Times New Roman" w:hAnsi="Times New Roman" w:cs="Times New Roman"/>
                <w:szCs w:val="24"/>
              </w:rPr>
            </w:pPr>
            <w:r w:rsidRPr="0005306A">
              <w:rPr>
                <w:rStyle w:val="Ppogrubienie"/>
                <w:rFonts w:ascii="Times New Roman" w:hAnsi="Times New Roman" w:cs="Times New Roman"/>
                <w:szCs w:val="24"/>
              </w:rPr>
              <w:t xml:space="preserve">7. </w:t>
            </w:r>
            <w:r w:rsidRPr="0005306A">
              <w:rPr>
                <w:rFonts w:ascii="Times New Roman" w:hAnsi="Times New Roman" w:cs="Times New Roman"/>
                <w:szCs w:val="24"/>
              </w:rPr>
              <w:t>Kontrola dokumentów lub kontrola fizyczna pojazdu, przedmiotu wyposażenia lub części, może zostać przeprowadzona w siedzibie lub miejscu prowadzenia działalności podmiotu gospodarczego, posiadacza pojazdu, przedmiotu wyposażenia lub części niebędącego użytkownikiem końcowym, lub w siedzibie Transportowego Dozoru Technicznego.</w:t>
            </w:r>
          </w:p>
          <w:p w14:paraId="4FAEE731" w14:textId="77777777" w:rsidR="007702C5" w:rsidRPr="0005306A" w:rsidRDefault="007702C5" w:rsidP="00FD5CD5">
            <w:pPr>
              <w:pStyle w:val="ZARTzmartartykuempunktem"/>
              <w:spacing w:line="240" w:lineRule="auto"/>
              <w:jc w:val="left"/>
              <w:rPr>
                <w:rFonts w:ascii="Times New Roman" w:hAnsi="Times New Roman" w:cs="Times New Roman"/>
                <w:szCs w:val="24"/>
              </w:rPr>
            </w:pPr>
            <w:r w:rsidRPr="0005306A">
              <w:rPr>
                <w:rFonts w:ascii="Times New Roman" w:hAnsi="Times New Roman" w:cs="Times New Roman"/>
                <w:szCs w:val="24"/>
              </w:rPr>
              <w:t>8. Kontrola laboratoryjna pojazdu, przedmiotu wyposażenia lub części może zostać przeprowadzona w siedzibie lub miejscu prowadzenia działalności podmiotu gospodarczego, posiadacza pojazdu, przedmiotu wyposażenia lub części niebędącego użytkownikiem końcowym, w laboratorium, o którym mowa w art. 68zi, lub w siedzibie Transportowego Dozoru Technicznego.</w:t>
            </w:r>
          </w:p>
          <w:p w14:paraId="03E82AF5" w14:textId="77777777" w:rsidR="007702C5" w:rsidRPr="0005306A" w:rsidRDefault="007702C5" w:rsidP="00FD5CD5">
            <w:pPr>
              <w:pStyle w:val="ZARTzmartartykuempunktem"/>
              <w:spacing w:line="240" w:lineRule="auto"/>
              <w:jc w:val="left"/>
              <w:rPr>
                <w:rFonts w:ascii="Times New Roman" w:hAnsi="Times New Roman" w:cs="Times New Roman"/>
                <w:szCs w:val="24"/>
              </w:rPr>
            </w:pPr>
            <w:r w:rsidRPr="0005306A">
              <w:rPr>
                <w:rFonts w:ascii="Times New Roman" w:hAnsi="Times New Roman" w:cs="Times New Roman"/>
                <w:szCs w:val="24"/>
              </w:rPr>
              <w:t>Art. 68zb. 1. Czynności kontrolne o których mowa w art. 68za ust. 1, w imieniu Dyrektora TDT jako organu nadzoru rynku, wykonują pracownicy Transportowego Dozoru Technicznego lub osoby upoważnione przez Dyrektora TDT do kontroli w jego imieniu, zwani dalej „kontrolującymi”, na podstawie upoważnienia do przeprowadzania kontroli.</w:t>
            </w:r>
          </w:p>
          <w:p w14:paraId="7CC4988C"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2. W kontroli prowadzonej przez Dyrektora TDT jako organ nadzoru rynku może uczestniczyć upoważniony przedstawiciel właściwego organu nadzoru rynku państwa członkowskiego Unii Europejskiej, do czynności którego stosuje się przepisy dotyczące kontrolującego.</w:t>
            </w:r>
          </w:p>
          <w:p w14:paraId="1D1D1EC2"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3. Kontrolujący przed rozpoczęciem czynności kontrolnych, o których mowa w art. 68za ust. 1, doręcza podmiotowi gospodarczemu lub posiadaczowi pojazdu, przedmiotu wyposażenia lub części niebędącemu użytkownikiem końcowym, lub osobie przez nich upoważnionej, upoważnienie do przeprowadzenia kontroli oraz okazuje legitymację służbową, a osoby upoważnione do udziału w kontroli, o których mowa w ust. 2, dowód osobisty, paszport lub inny dokument potwierdzający tożsamość.</w:t>
            </w:r>
          </w:p>
          <w:p w14:paraId="0131C189" w14:textId="77777777" w:rsidR="007702C5" w:rsidRPr="0005306A" w:rsidRDefault="007702C5" w:rsidP="00FD5CD5">
            <w:pPr>
              <w:pStyle w:val="ZUSTzmus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 xml:space="preserve">4. Upoważnienie do przeprowadzenia kontroli lub do udziału w kontroli zawiera: </w:t>
            </w:r>
          </w:p>
          <w:p w14:paraId="6CDA5C10"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1) </w:t>
            </w:r>
            <w:r w:rsidRPr="0005306A">
              <w:rPr>
                <w:rFonts w:ascii="Times New Roman" w:hAnsi="Times New Roman" w:cs="Times New Roman"/>
                <w:szCs w:val="24"/>
              </w:rPr>
              <w:tab/>
              <w:t>oznaczenie organu kontroli;</w:t>
            </w:r>
          </w:p>
          <w:p w14:paraId="100AD3F8"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2) </w:t>
            </w:r>
            <w:r w:rsidRPr="0005306A">
              <w:rPr>
                <w:rFonts w:ascii="Times New Roman" w:hAnsi="Times New Roman" w:cs="Times New Roman"/>
                <w:szCs w:val="24"/>
              </w:rPr>
              <w:tab/>
              <w:t>wskazanie podstawy prawnej;</w:t>
            </w:r>
          </w:p>
          <w:p w14:paraId="0A727D61"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3) </w:t>
            </w:r>
            <w:r w:rsidRPr="0005306A">
              <w:rPr>
                <w:rFonts w:ascii="Times New Roman" w:hAnsi="Times New Roman" w:cs="Times New Roman"/>
                <w:szCs w:val="24"/>
              </w:rPr>
              <w:tab/>
              <w:t xml:space="preserve">datę i miejsce wystawienia; </w:t>
            </w:r>
          </w:p>
          <w:p w14:paraId="6540B320"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4) </w:t>
            </w:r>
            <w:r w:rsidRPr="0005306A">
              <w:rPr>
                <w:rFonts w:ascii="Times New Roman" w:hAnsi="Times New Roman" w:cs="Times New Roman"/>
                <w:szCs w:val="24"/>
              </w:rPr>
              <w:tab/>
              <w:t>imię, nazwisko i stanowisko kontrolującego oraz numer jego legitymacji służbowej, a w przypadku upoważnienia do udziału w kontroli osób, o których mowa w ust. 2 – imiona i nazwiska tych osób oraz numer dowodu osobistego, paszportu lub innego dokumentu potwierdzającego tożsamość;</w:t>
            </w:r>
          </w:p>
          <w:p w14:paraId="7E24B800"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5)</w:t>
            </w:r>
            <w:r w:rsidRPr="0005306A">
              <w:rPr>
                <w:rFonts w:ascii="Times New Roman" w:hAnsi="Times New Roman" w:cs="Times New Roman"/>
                <w:szCs w:val="24"/>
              </w:rPr>
              <w:tab/>
              <w:t>oznaczenie podmiotu gospodarczego lub posiadacza pojazdu, przedmiotu wyposażenia lub części, niebędącego użytkownikiem końcowym, u którego przeprowadzona zostanie kontrola;</w:t>
            </w:r>
          </w:p>
          <w:p w14:paraId="61B3CEFC"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6) </w:t>
            </w:r>
            <w:r w:rsidRPr="0005306A">
              <w:rPr>
                <w:rFonts w:ascii="Times New Roman" w:hAnsi="Times New Roman" w:cs="Times New Roman"/>
                <w:szCs w:val="24"/>
              </w:rPr>
              <w:tab/>
              <w:t>oznaczenie pojazdu, przedmiotu wyposażenia lub części;</w:t>
            </w:r>
          </w:p>
          <w:p w14:paraId="4A188478"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7) </w:t>
            </w:r>
            <w:r w:rsidRPr="0005306A">
              <w:rPr>
                <w:rFonts w:ascii="Times New Roman" w:hAnsi="Times New Roman" w:cs="Times New Roman"/>
                <w:szCs w:val="24"/>
              </w:rPr>
              <w:tab/>
              <w:t>określenie rodzaju, formy oraz zakresu przedmiotowego kontroli, w tym okresu objętego kontrolą;</w:t>
            </w:r>
          </w:p>
          <w:p w14:paraId="299ED127"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8) </w:t>
            </w:r>
            <w:r w:rsidRPr="0005306A">
              <w:rPr>
                <w:rFonts w:ascii="Times New Roman" w:hAnsi="Times New Roman" w:cs="Times New Roman"/>
                <w:szCs w:val="24"/>
              </w:rPr>
              <w:tab/>
              <w:t>określenie daty rozpoczęcia i przewidywanej daty zakończenia kontroli;</w:t>
            </w:r>
          </w:p>
          <w:p w14:paraId="4CCA8BAD"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9) </w:t>
            </w:r>
            <w:r w:rsidRPr="0005306A">
              <w:rPr>
                <w:rFonts w:ascii="Times New Roman" w:hAnsi="Times New Roman" w:cs="Times New Roman"/>
                <w:szCs w:val="24"/>
              </w:rPr>
              <w:tab/>
              <w:t>podpis osoby udzielającej upoważnienia, z podaniem zajmowanego przez nią stanowiska lub pełnionej funkcji;</w:t>
            </w:r>
          </w:p>
          <w:p w14:paraId="115D42C5"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10) </w:t>
            </w:r>
            <w:r w:rsidRPr="0005306A">
              <w:rPr>
                <w:rFonts w:ascii="Times New Roman" w:hAnsi="Times New Roman" w:cs="Times New Roman"/>
                <w:szCs w:val="24"/>
              </w:rPr>
              <w:tab/>
              <w:t>pouczenie o prawach i obowiązkach podmiotu gospodarczego lub posiadacza pojazdu, przedmiotu wyposażenia lub części.</w:t>
            </w:r>
          </w:p>
          <w:p w14:paraId="41D727A7"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5.</w:t>
            </w:r>
            <w:r w:rsidRPr="0005306A">
              <w:rPr>
                <w:rFonts w:ascii="Times New Roman" w:hAnsi="Times New Roman" w:cs="Times New Roman"/>
                <w:szCs w:val="24"/>
              </w:rPr>
              <w:tab/>
              <w:t>Kontrolujący podlega przepisom bezpieczeństwa i higieny pracy obowiązującym w miejscu przeprowadzania kontroli.</w:t>
            </w:r>
          </w:p>
          <w:p w14:paraId="76191253"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6. Kontrolujący nie podlega przeszukaniu przewidzianemu w wewnętrznych regulaminach podmiotu gospodarczego lub posiadacza pojazdu, przedmiotu wyposażenia lub części niebędącego użytkownikiem końcowym, u którego wykonuje czynności kontrolne, o których mowa w art. 68za ust. 1.</w:t>
            </w:r>
          </w:p>
          <w:p w14:paraId="3AE0E021" w14:textId="77777777" w:rsidR="007702C5" w:rsidRPr="0005306A" w:rsidRDefault="007702C5" w:rsidP="00FD5CD5">
            <w:pPr>
              <w:pStyle w:val="USTustnpkodeksu"/>
              <w:spacing w:line="240" w:lineRule="auto"/>
              <w:ind w:left="510"/>
              <w:jc w:val="left"/>
              <w:rPr>
                <w:rFonts w:ascii="Times New Roman" w:hAnsi="Times New Roman" w:cs="Times New Roman"/>
                <w:szCs w:val="24"/>
              </w:rPr>
            </w:pPr>
            <w:r w:rsidRPr="0005306A">
              <w:rPr>
                <w:rFonts w:ascii="Times New Roman" w:hAnsi="Times New Roman" w:cs="Times New Roman"/>
                <w:szCs w:val="24"/>
              </w:rPr>
              <w:t>Art.</w:t>
            </w:r>
            <w:r w:rsidRPr="0005306A">
              <w:rPr>
                <w:rStyle w:val="Ppogrubienie"/>
                <w:rFonts w:ascii="Times New Roman" w:hAnsi="Times New Roman" w:cs="Times New Roman"/>
                <w:szCs w:val="24"/>
              </w:rPr>
              <w:t xml:space="preserve"> </w:t>
            </w:r>
            <w:r w:rsidRPr="0005306A">
              <w:rPr>
                <w:rFonts w:ascii="Times New Roman" w:hAnsi="Times New Roman" w:cs="Times New Roman"/>
                <w:szCs w:val="24"/>
              </w:rPr>
              <w:t>68zc. 1. Ustalenia kontroli zamieszcza się w protokole kontroli.</w:t>
            </w:r>
          </w:p>
          <w:p w14:paraId="60033411" w14:textId="77777777" w:rsidR="007702C5" w:rsidRPr="0005306A" w:rsidRDefault="007702C5" w:rsidP="00FD5CD5">
            <w:pPr>
              <w:pStyle w:val="ZUSTzmus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2. Protokół kontroli zawiera:</w:t>
            </w:r>
          </w:p>
          <w:p w14:paraId="75F16775"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1)</w:t>
            </w:r>
            <w:r w:rsidRPr="0005306A">
              <w:rPr>
                <w:rFonts w:ascii="Times New Roman" w:hAnsi="Times New Roman" w:cs="Times New Roman"/>
                <w:szCs w:val="24"/>
              </w:rPr>
              <w:tab/>
              <w:t xml:space="preserve">oznaczenie podmiotu gospodarczego lub posiadacza pojazdu, przedmiotu wyposażenia lub części niebędącego użytkownikiem końcowym, u którego przeprowadzona została kontrola; </w:t>
            </w:r>
          </w:p>
          <w:p w14:paraId="491AFA4D"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2) </w:t>
            </w:r>
            <w:r w:rsidRPr="0005306A">
              <w:rPr>
                <w:rFonts w:ascii="Times New Roman" w:hAnsi="Times New Roman" w:cs="Times New Roman"/>
                <w:szCs w:val="24"/>
              </w:rPr>
              <w:tab/>
              <w:t>określenie daty rozpoczęcia i zakończenia kontroli;</w:t>
            </w:r>
          </w:p>
          <w:p w14:paraId="2B012D1F"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3)</w:t>
            </w:r>
            <w:r w:rsidRPr="0005306A">
              <w:rPr>
                <w:rFonts w:ascii="Times New Roman" w:hAnsi="Times New Roman" w:cs="Times New Roman"/>
                <w:szCs w:val="24"/>
              </w:rPr>
              <w:tab/>
              <w:t>oznaczenie pojazdu, przedmiotu wyposażenia lub części;</w:t>
            </w:r>
          </w:p>
          <w:p w14:paraId="672CCD3C"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4) </w:t>
            </w:r>
            <w:r w:rsidRPr="0005306A">
              <w:rPr>
                <w:rFonts w:ascii="Times New Roman" w:hAnsi="Times New Roman" w:cs="Times New Roman"/>
                <w:szCs w:val="24"/>
              </w:rPr>
              <w:tab/>
              <w:t xml:space="preserve">określenie rodzaju, formy oraz zakresu przedmiotowego kontroli, w tym przeprowadzonych w toku kontroli czynności kontrolnych oraz ich przebiegu; </w:t>
            </w:r>
          </w:p>
          <w:p w14:paraId="3CCA61DF"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5) </w:t>
            </w:r>
            <w:r w:rsidRPr="0005306A">
              <w:rPr>
                <w:rFonts w:ascii="Times New Roman" w:hAnsi="Times New Roman" w:cs="Times New Roman"/>
                <w:szCs w:val="24"/>
              </w:rPr>
              <w:tab/>
              <w:t>opis stanu faktycznego ustalonego w toku kontroli;</w:t>
            </w:r>
          </w:p>
          <w:p w14:paraId="3B197124"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6)</w:t>
            </w:r>
            <w:r w:rsidRPr="0005306A">
              <w:rPr>
                <w:rFonts w:ascii="Times New Roman" w:hAnsi="Times New Roman" w:cs="Times New Roman"/>
                <w:szCs w:val="24"/>
              </w:rPr>
              <w:tab/>
              <w:t>wykaz załączników;</w:t>
            </w:r>
          </w:p>
          <w:p w14:paraId="5A1656B5"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7)</w:t>
            </w:r>
            <w:r w:rsidRPr="0005306A">
              <w:rPr>
                <w:rFonts w:ascii="Times New Roman" w:hAnsi="Times New Roman" w:cs="Times New Roman"/>
                <w:szCs w:val="24"/>
              </w:rPr>
              <w:tab/>
              <w:t>pouczenie podmiotu gospodarczego lub posiadacza pojazdu, przedmiotu wyposażenia lub części, niebędącego użytkownikiem końcowym, o prawie zgłaszania zastrzeżeń do protokołu;</w:t>
            </w:r>
          </w:p>
          <w:p w14:paraId="2609356C"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9) </w:t>
            </w:r>
            <w:r w:rsidRPr="0005306A">
              <w:rPr>
                <w:rFonts w:ascii="Times New Roman" w:hAnsi="Times New Roman" w:cs="Times New Roman"/>
                <w:szCs w:val="24"/>
              </w:rPr>
              <w:tab/>
              <w:t>podpis osoby udzielającej upoważnienia, z podaniem zajmowanego przez nią stanowiska lub pełnionej funkcji;</w:t>
            </w:r>
          </w:p>
          <w:p w14:paraId="4A5337A4"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10)</w:t>
            </w:r>
            <w:r w:rsidRPr="0005306A">
              <w:rPr>
                <w:rFonts w:ascii="Times New Roman" w:hAnsi="Times New Roman" w:cs="Times New Roman"/>
                <w:szCs w:val="24"/>
              </w:rPr>
              <w:tab/>
              <w:t>imię, nazwisko i stanowisko służbowe kontrolującego.</w:t>
            </w:r>
          </w:p>
          <w:p w14:paraId="758A6C63"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3. Protokół kontroli podpisuje kontrolujący.</w:t>
            </w:r>
          </w:p>
          <w:p w14:paraId="5A6CFBB0" w14:textId="77777777" w:rsidR="007702C5" w:rsidRPr="0005306A" w:rsidRDefault="007702C5" w:rsidP="00FD5CD5">
            <w:pPr>
              <w:pStyle w:val="ZARTzmartartykuempunktem"/>
              <w:spacing w:line="240" w:lineRule="auto"/>
              <w:jc w:val="left"/>
              <w:rPr>
                <w:rFonts w:ascii="Times New Roman" w:hAnsi="Times New Roman" w:cs="Times New Roman"/>
                <w:szCs w:val="24"/>
              </w:rPr>
            </w:pPr>
            <w:r w:rsidRPr="0005306A">
              <w:rPr>
                <w:rFonts w:ascii="Times New Roman" w:hAnsi="Times New Roman" w:cs="Times New Roman"/>
                <w:szCs w:val="24"/>
              </w:rPr>
              <w:t>4. Protokół kontroli:</w:t>
            </w:r>
          </w:p>
          <w:p w14:paraId="2200742B" w14:textId="77777777" w:rsidR="007702C5" w:rsidRPr="0005306A" w:rsidRDefault="007702C5" w:rsidP="00FD5CD5">
            <w:pPr>
              <w:pStyle w:val="ZPKTzmpk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1)</w:t>
            </w:r>
            <w:r w:rsidRPr="0005306A">
              <w:rPr>
                <w:rFonts w:ascii="Times New Roman" w:hAnsi="Times New Roman" w:cs="Times New Roman"/>
                <w:szCs w:val="24"/>
              </w:rPr>
              <w:tab/>
              <w:t>doręcza się:</w:t>
            </w:r>
          </w:p>
          <w:p w14:paraId="06755850" w14:textId="77777777" w:rsidR="007702C5" w:rsidRPr="0005306A" w:rsidRDefault="007702C5" w:rsidP="00FD5CD5">
            <w:pPr>
              <w:pStyle w:val="ZLITzmlitartykuempunktem"/>
              <w:spacing w:line="240" w:lineRule="auto"/>
              <w:ind w:left="1418"/>
              <w:jc w:val="left"/>
              <w:rPr>
                <w:rFonts w:ascii="Times New Roman" w:hAnsi="Times New Roman" w:cs="Times New Roman"/>
                <w:szCs w:val="24"/>
              </w:rPr>
            </w:pPr>
            <w:r w:rsidRPr="0005306A">
              <w:rPr>
                <w:rFonts w:ascii="Times New Roman" w:hAnsi="Times New Roman" w:cs="Times New Roman"/>
                <w:szCs w:val="24"/>
              </w:rPr>
              <w:t>a)</w:t>
            </w:r>
            <w:r w:rsidRPr="0005306A">
              <w:rPr>
                <w:rFonts w:ascii="Times New Roman" w:hAnsi="Times New Roman" w:cs="Times New Roman"/>
                <w:szCs w:val="24"/>
              </w:rPr>
              <w:tab/>
              <w:t>posiadaczowi pojazdu, przedmiotu wyposażenia lub części niebędącego użytkownikiem końcowym, lub osobie przez niego upoważnionej – bez załączników,</w:t>
            </w:r>
          </w:p>
          <w:p w14:paraId="5EC99B80" w14:textId="77777777" w:rsidR="007702C5" w:rsidRPr="0005306A" w:rsidRDefault="007702C5" w:rsidP="00FD5CD5">
            <w:pPr>
              <w:pStyle w:val="ZLITzmlitartykuempunktem"/>
              <w:spacing w:line="240" w:lineRule="auto"/>
              <w:ind w:left="1418"/>
              <w:jc w:val="left"/>
              <w:rPr>
                <w:rFonts w:ascii="Times New Roman" w:hAnsi="Times New Roman" w:cs="Times New Roman"/>
                <w:szCs w:val="24"/>
              </w:rPr>
            </w:pPr>
            <w:r w:rsidRPr="0005306A">
              <w:rPr>
                <w:rFonts w:ascii="Times New Roman" w:hAnsi="Times New Roman" w:cs="Times New Roman"/>
                <w:szCs w:val="24"/>
              </w:rPr>
              <w:t>b)</w:t>
            </w:r>
            <w:r w:rsidRPr="0005306A">
              <w:rPr>
                <w:rFonts w:ascii="Times New Roman" w:hAnsi="Times New Roman" w:cs="Times New Roman"/>
                <w:szCs w:val="24"/>
              </w:rPr>
              <w:tab/>
              <w:t>podmiotowi gospodarczemu – wraz z załącznikami;</w:t>
            </w:r>
          </w:p>
          <w:p w14:paraId="775F5E4E"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2)</w:t>
            </w:r>
            <w:r w:rsidRPr="0005306A">
              <w:rPr>
                <w:rFonts w:ascii="Times New Roman" w:hAnsi="Times New Roman" w:cs="Times New Roman"/>
                <w:szCs w:val="24"/>
              </w:rPr>
              <w:tab/>
              <w:t>pozostawia się w aktach sprawy – wraz z załącznikami.</w:t>
            </w:r>
          </w:p>
          <w:p w14:paraId="20B1CA41"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5. Podmiot gospodarczy oraz posiadacz pojazdu, przedmiotu wyposażenia lub części niebędący użytkownikiem końcowym, może zgłosić zastrzeżenia do protokołu kontroli w terminie 10 dni roboczych od dnia doręczenia protokołu.</w:t>
            </w:r>
          </w:p>
          <w:p w14:paraId="5FA8D316"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6. Dyrektor TDT jako organ nadzoru rynku przedstawia stanowisko do zastrzeżeń zgłoszonych do protokołu kontroli, nie później niż w terminie 10 dni roboczych od dnia ich doręczenia.</w:t>
            </w:r>
          </w:p>
          <w:p w14:paraId="6AB6EB06"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7. Kontrolujący z urzędu lub na wniosek podmiotu gospodarczego lub posiadacza pojazdu, przedmiotu wyposażenia lub części niebędącego użytkownikiem końcowym, może prostować w protokole kontroli, błędy pisarskie i rachunkowe lub inne oczywiste pomyłki.</w:t>
            </w:r>
          </w:p>
          <w:p w14:paraId="066344F0" w14:textId="77777777" w:rsidR="007702C5" w:rsidRPr="0005306A" w:rsidRDefault="007702C5" w:rsidP="00FD5CD5">
            <w:pPr>
              <w:spacing w:after="0" w:line="240" w:lineRule="auto"/>
              <w:ind w:left="510" w:firstLine="510"/>
              <w:rPr>
                <w:rFonts w:ascii="Times New Roman" w:eastAsiaTheme="minorEastAsia" w:hAnsi="Times New Roman" w:cs="Times New Roman"/>
                <w:sz w:val="24"/>
                <w:szCs w:val="24"/>
                <w:lang w:eastAsia="pl-PL"/>
              </w:rPr>
            </w:pPr>
            <w:r w:rsidRPr="0005306A">
              <w:rPr>
                <w:rFonts w:ascii="Times New Roman" w:eastAsiaTheme="minorEastAsia" w:hAnsi="Times New Roman" w:cs="Times New Roman"/>
                <w:sz w:val="24"/>
                <w:szCs w:val="24"/>
                <w:lang w:eastAsia="pl-PL"/>
              </w:rPr>
              <w:t>Art. 68zd. 1 Dyrektor TDT jako organ nadzoru rynku może zwrócić się do właściwego ze względu na miejsce prowadzenia kontroli, komendanta Policji, zwanego dalej „właściwym miejscowo komendantem Policji”, o udzielenie pomocy, jeżeli istnieje uzasadnione przypuszczenie, że w toku kontroli Dyrektor TDT jako organ nadzoru rynku natrafi na opór, który utrudni lub uniemożliwi mu wykonywanie kontroli.</w:t>
            </w:r>
          </w:p>
          <w:p w14:paraId="2958530D"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2. Właściwy miejscowo komendant Policji</w:t>
            </w:r>
            <w:r w:rsidRPr="0005306A" w:rsidDel="00962D3D">
              <w:rPr>
                <w:rFonts w:ascii="Times New Roman" w:hAnsi="Times New Roman" w:cs="Times New Roman"/>
                <w:szCs w:val="24"/>
              </w:rPr>
              <w:t xml:space="preserve"> </w:t>
            </w:r>
            <w:r w:rsidRPr="0005306A">
              <w:rPr>
                <w:rFonts w:ascii="Times New Roman" w:hAnsi="Times New Roman" w:cs="Times New Roman"/>
                <w:szCs w:val="24"/>
              </w:rPr>
              <w:t xml:space="preserve">zapewnia pomoc w przeprowadzeniu kontroli. </w:t>
            </w:r>
          </w:p>
          <w:p w14:paraId="3C76E57A"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3. Pomoc udzielana przez Policję polega na zapewnieniu porządku w miejscu przeprowadzania kontroli i osobistego bezpieczeństwa osób obecnych w tym miejscu, a także na ustaleniu tożsamości tych osób.</w:t>
            </w:r>
          </w:p>
          <w:p w14:paraId="384E454C"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4. Dyrektor TDT jako organ nadzoru rynku występuje z pisemnym wnioskiem o udzielenie pomocy do komendanta Policji właściwego ze względu na miejsce kontroli, co najmniej 7 dni przed planowanym dniem przeprowadzenia kontroli.</w:t>
            </w:r>
          </w:p>
          <w:p w14:paraId="2DC5557E"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5. W przypadkach niecierpiących zwłoki Dyrektor TDT jako organ nadzoru rynku występuje z wnioskiem, o którym mowa w ust 4, co najmniej 3 dni przed planowanym dniem przeprowadzenia kontroli.</w:t>
            </w:r>
          </w:p>
          <w:p w14:paraId="066D974C"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6. Jeżeli istnieje poważne zagrożenie dla życia, zdrowia ludzkiego lub bezpieczeństwa i porządku publicznego w miejscu przeprowadzania kontroli albo uzasadnione podejrzenie wystąpienia takiego zagrożenia, albo w toku wykonywania kontroli kontrolujący natrafił na opór, który utrudnia lub uniemożliwia mu wykonywanie kontroli, wniosek, o którym mowa w ust. 4, może być złożony ustnie przez kontrolującego w imieniu Dyrektora TDT jako organu nadzoru rynku, bez zachowania określonego terminu, po okazaniu upoważnienia do przeprowadzenia kontroli oraz legitymacji służbowej kontrolującego. </w:t>
            </w:r>
          </w:p>
          <w:p w14:paraId="3551EDE4"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7. W przypadku, o którym mowa w ust. 6, Dyrektor TDT jako organ nadzoru rynku, nie później niż w terminie 3 dni od dnia zakończenia kontroli, przekazuje na piśmie potwierdzenie złożonego ustnie wniosku.</w:t>
            </w:r>
          </w:p>
          <w:p w14:paraId="23200EE9"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8. Koszty poniesione przez Policję z tytułu udzielonej pomocy w przeprowadzeniu kontroli ponosi podmiot gospodarczy lub posiadacz pojazdu, przedmiotu wyposażenia lub części, niebędący użytkownikiem końcowym, u którego przeprowadzana jest kontrola.</w:t>
            </w:r>
          </w:p>
          <w:p w14:paraId="1FE8B446"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9. Koszty pomocy udzielonej przez właściwego miejscowo komendanta Policji ustala się w wysokości rzeczywistych wydatków poniesionych na udzielenie pomocy.</w:t>
            </w:r>
          </w:p>
          <w:p w14:paraId="3D589AAD"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10. W przypadku, gdy zwrócenie się o pomoc do właściwego miejscowo komendanta Policji było bezzasadne, koszty udzielonej pomocy ponosi Dyrektor TDT jako organ nadzoru rynku.</w:t>
            </w:r>
          </w:p>
          <w:p w14:paraId="0B32B000"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11. Dyrektor TDT jako organ nadzoru rynku, w drodze decyzji administracyjnej, obciąża podmiot gospodarczy lub posiadacza pojazdu, przedmiotu wyposażenia lub części niebędącego użytkownikiem końcowym, u którego przeprowadzana była kontrola,</w:t>
            </w:r>
            <w:r w:rsidRPr="0005306A" w:rsidDel="00714083">
              <w:rPr>
                <w:rFonts w:ascii="Times New Roman" w:hAnsi="Times New Roman" w:cs="Times New Roman"/>
                <w:szCs w:val="24"/>
              </w:rPr>
              <w:t xml:space="preserve"> </w:t>
            </w:r>
            <w:r w:rsidRPr="0005306A">
              <w:rPr>
                <w:rFonts w:ascii="Times New Roman" w:hAnsi="Times New Roman" w:cs="Times New Roman"/>
                <w:szCs w:val="24"/>
              </w:rPr>
              <w:t>kosztami pomocy udzielonej przez właściwego miejscowo komendanta Policji określając termin ich uiszczenia.</w:t>
            </w:r>
          </w:p>
          <w:p w14:paraId="3296989D" w14:textId="77777777" w:rsidR="007702C5" w:rsidRPr="0005306A" w:rsidRDefault="007702C5" w:rsidP="00FD5CD5">
            <w:pPr>
              <w:pStyle w:val="ZARTzmartartykuempunktem"/>
              <w:spacing w:line="240" w:lineRule="auto"/>
              <w:jc w:val="left"/>
              <w:rPr>
                <w:rFonts w:ascii="Times New Roman" w:hAnsi="Times New Roman" w:cs="Times New Roman"/>
                <w:szCs w:val="24"/>
              </w:rPr>
            </w:pPr>
            <w:r w:rsidRPr="0005306A">
              <w:rPr>
                <w:rFonts w:ascii="Times New Roman" w:hAnsi="Times New Roman" w:cs="Times New Roman"/>
                <w:szCs w:val="24"/>
              </w:rPr>
              <w:t>Art. 68ze. 1. Dyrektor TDT jako organ nadzoru rynku w ramach kontroli laboratoryjnej poddaje badaniom pojazdy, przedmioty wyposażenia lub części lub zleca przeprowadzenie tych badań w laboratoriach, o których mowa w art. 68zi, w celu stwierdzenia czy te pojazdy, przedmioty wyposażenia lub części spełniają wymagania techniczne lub stwarzają poważne ryzyko.</w:t>
            </w:r>
          </w:p>
          <w:p w14:paraId="566983BE"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2. W celu poddania pojazdu, przedmiotu wyposażenia lub części badaniom w ramach kontroli laboratoryjnej, o której mowa w ust. 1, Dyrektor TDT jako organ nadzoru rynku pobiera nieodpłatnie pojazdy, przedmioty wyposażenia lub części </w:t>
            </w:r>
            <w:r w:rsidRPr="0005306A">
              <w:rPr>
                <w:rFonts w:ascii="Times New Roman" w:hAnsi="Times New Roman" w:cs="Times New Roman"/>
                <w:szCs w:val="24"/>
              </w:rPr>
              <w:tab/>
              <w:t>nej do przeprowadzenia tych badań.</w:t>
            </w:r>
          </w:p>
          <w:p w14:paraId="28EFFF85"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3. W celu poddania pojazdu, przedmiotu wyposażenia lub części oferowanych do sprzedaży na odległość, badaniom w ramach kontroli laboratoryjnej, o której mowa w ust. 1, Dyrektor TDT jako organ nadzoru rynku pobiera nieodpłatnie pojazdy przedmioty wyposażenia lub części lub dokonuje ich zakupu, w liczbie niezbędnej do przeprowadzenia tych badań, z uwzględnieniem przepisów art. 68zg.</w:t>
            </w:r>
          </w:p>
          <w:p w14:paraId="1A2A4F96"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4. Z badań pojazdu, przedmiotu wyposażenia lub części w ramach kontroli laboratoryjnej, o której mowa w ust. 1, sporządza się sprawozdanie. </w:t>
            </w:r>
          </w:p>
          <w:p w14:paraId="643BDECB"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5. Koszty badań w ramach kontroli laboratoryjnej, o której mowa w ust. 1, ponosi Dyrektor TDT jako organ nadzoru rynku i pokrywa je z opłaty, o której mowa w art. 68zu ust.1.</w:t>
            </w:r>
          </w:p>
          <w:p w14:paraId="67DEFF84"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6. Do kosztów badań w ramach kontroli laboratoryjnej, o której mowa w ust. 1, zalicza się koszty przeprowadzenia tych badań, koszty transportu do laboratorium oraz koszty przechowywania pojazdu, przedmiotu wyposażenia lub części objętego badaniami.</w:t>
            </w:r>
          </w:p>
          <w:p w14:paraId="70FD48C3"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7. Dyrektor TDT jako organ nadzoru rynku wraz z pobraniem pojazdu, przedmiotu wyposażenia lub części pobiera i zabezpiecza, o ile jest to możliwe, dodatkowy pojazd, przedmiot wyposażenia lub część w liczbie odpowiadającej liczbie pobranej do badań w ramach kontroli laboratoryjnej, o której mowa w ust. 1, zwany dalej „próbką kontrolną”.</w:t>
            </w:r>
          </w:p>
          <w:p w14:paraId="3FDD4A90"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8. Podmiot gospodarczy lub posiadacz pojazdu, przedmiotu wyposażenia lub części niebędący użytkownikiem końcowym, jest obowiązany przechowywać próbkę kontrolną w warunkach uniemożliwiających zmianę jakości lub cech charakterystycznych tego pojazdu, przedmiotu wyposażenia lub części, do czasu zwolnienia z tego obowiązku przez Dyrektora TDT jako organu nadzoru rynku.</w:t>
            </w:r>
          </w:p>
          <w:p w14:paraId="27825B8B"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9. Badanie próbki kontrolnej w ramach kontroli laboratoryjnej, o której mowa w ust. 1, przeprowadza Dyrektor TDT jako organ nadzoru rynku z urzędu albo na wniosek podmiotu gospodarczego, o którym mowa w art. 68zc ust. 4 pkt 1 lit. b. </w:t>
            </w:r>
          </w:p>
          <w:p w14:paraId="4EFEA62F"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10. W przypadku, gdy podmiot gospodarczy złożył wniosek, o którym mowa w ust. 9, koszty badania próbki kontrolnej w ramach kontroli laboratoryjnej, o której mowa w ust. 1, ponosi ten podmiot gospodarczy, w wysokości i terminie określonym w drodze decyzji administracyjnej wydanej przez Dyrektora TDT jako organu nadzoru rynku.</w:t>
            </w:r>
          </w:p>
          <w:p w14:paraId="1A3A25E1"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11. W przypadku, gdy badanie próbki kontrolnej w ramach kontroli laboratoryjnej, o której mowa w ust. 1, zostało przeprowadzone przez Dyrektora TDT jako organ nadzoru rynku z urzędu, koszty tego badania ponosi Dyrektor TDT jako organ nadzoru rynku i pokrywa je z opłaty, o której mowa w art. 68zu ust. 1.</w:t>
            </w:r>
          </w:p>
          <w:p w14:paraId="43CBE32F"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12. Z badań próbki kontrolnej w ramach kontroli laboratoryjnej, o której mowa w ust. 1, sporządza się sprawozdanie.</w:t>
            </w:r>
          </w:p>
          <w:p w14:paraId="7FD74F9F" w14:textId="77777777" w:rsidR="007702C5" w:rsidRPr="0005306A" w:rsidRDefault="007702C5" w:rsidP="00FD5CD5">
            <w:pPr>
              <w:pStyle w:val="ZARTzmar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Art. 68zf. 1. W przypadku gdy przedmiotem kontroli, o której mowa w art. 68y ust. 1, są pojazdy, przedmioty wyposażenia oraz części oferowane do sprzedaży na odległość, kontrola lub poszczególne czynności kontrolne mogą być przeprowadzone w sposób zdalny za pośrednictwem operatora pocztowego w rozumieniu ustawy z dnia 23 listopada 2012 r. – Prawo pocztowe (Dz. U. z </w:t>
            </w:r>
            <w:r w:rsidR="00FA7954" w:rsidRPr="0005306A">
              <w:rPr>
                <w:rFonts w:ascii="Times New Roman" w:hAnsi="Times New Roman" w:cs="Times New Roman"/>
                <w:szCs w:val="24"/>
              </w:rPr>
              <w:t>2026 r. poz. 558</w:t>
            </w:r>
            <w:r w:rsidRPr="0005306A">
              <w:rPr>
                <w:rFonts w:ascii="Times New Roman" w:hAnsi="Times New Roman" w:cs="Times New Roman"/>
                <w:szCs w:val="24"/>
              </w:rPr>
              <w:t>) lub za pomocą środków komunikacji elektronicznej w rozumieniu art. 2 pkt 5 ustawy z dnia 18 lipca 2002 r. o świadczeniu usług drogą elektroniczną (Dz. U. z 2024 r. poz. 1513).</w:t>
            </w:r>
          </w:p>
          <w:p w14:paraId="021686E5"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2. Zgoda podmiotu gospodarczego lub posiadacza pojazdu, przedmiotu wyposażenia lub części, niebędącego użytkownikiem końcowym, o której mowa w art. 51 ust. 3a ustawy z dnia 6 marca 2018 r. – Prawo przedsiębiorców, nie jest wymagana w przypadku, gdy kontrola jest prowadzona zgodnie z przepisami niniejszego artykułu.</w:t>
            </w:r>
          </w:p>
          <w:p w14:paraId="3541A3AF"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3. Upoważnienie do przeprowadzenia kontroli w sposób zdalny oraz legitymacja służbowa są okazywane podmiotowi gospodarczemu lub posiadaczowi pojazdu, przedmiotu wyposażenia lub części niebędącemu użytkownikiem końcowym przed podjęciem czynności kontrolnych.</w:t>
            </w:r>
          </w:p>
          <w:p w14:paraId="323135A9"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4. W przypadku gdy co najmniej dwie próby nawiązania kontaktu z podmiotem gospodarczym lub posiadaczem pojazdu, przedmiotu wyposażenia lub części, niebędącym użytkownikiem końcowym za pomocą środków komunikacji elektronicznej okażą się nieskuteczne albo z innych powodów nie ma możliwości wypełnienia obowiązku, o którym mowa w art. 68zb ust. 3, upoważnienie do przeprowadzenia kontroli w sposób zdalny doręcza się za pośrednictwem operatora pocztowego, wraz z informacją, że legitymacja zostanie okazana podmiotowi gospodarczemu lub posiadaczowi pojazdu, przedmiotu wyposażenia lub części, niebędącego użytkownikiem końcowym na jego żądanie, w siedzibie Dyrektora TDT jako organu nadzoru rynku.</w:t>
            </w:r>
          </w:p>
          <w:p w14:paraId="24E47102"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5. Dyrektor TDT jako organ nadzoru rynku może żądać od podmiotu gospodarczego lub posiadacza pojazdu, przedmiotu wyposażenia lub części niebędącego użytkownikiem końcowym, który oferuje pojazdy, przedmioty wyposażenia oraz części do sprzedaży na odległość, nieodpłatnego udostępnienia tego pojazdu, przedmiotu wyposażenia lub części, w liczbie niezbędnej do przeprowadzenia kontroli fizycznej lub kontroli laboratoryjnej, w celu ustalenia czy pojazd, przedmiot wyposażenia oraz część są zgodne z wymaganiami technicznymi i nie stwarzają poważnego ryzyka, przy czym koszty transportu pokrywa Dyrektor TDT jako organ nadzoru rynku z opłaty, o której mowa w art. 68zu ust. 1.</w:t>
            </w:r>
          </w:p>
          <w:p w14:paraId="6AD020AE"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6. Podmiot gospodarczy lub posiadacz pojazdu, przedmiotu wyposażenia lub części niebędący użytkownikiem końcowym, ma obowiązek dołożenia należytych starań, aby zabezpieczyć pojazd, przedmiot wyposażenia oraz część na czas transportu w sposób uniemożliwiający zmianę jakości lub cech charakterystycznych pojazdu, przedmiotu wyposażenia lub części.</w:t>
            </w:r>
          </w:p>
          <w:p w14:paraId="4D82B3F0"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7. Przebieg kontroli prowadzonej w sposób zdalny jest utrwalany za pośrednictwem urządzenia rejestrującego obraz lub dźwięk, w zależności od formy przeprowadzenia czynności kontrolnych na odległość.</w:t>
            </w:r>
          </w:p>
          <w:p w14:paraId="2A3DDA6D"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8. Obraz lub dźwięk są rejestrowane w sposób umożliwiający identyfikację danych podmiotu gospodarczego lub posiadacza pojazdu, przedmiotu wyposażenia lub części, niebędącego użytkownikiem końcowym, oraz nieodpłatnie dostarczonego pojazdu, przedmiotu wyposażenia lub części.</w:t>
            </w:r>
          </w:p>
          <w:p w14:paraId="21F15214" w14:textId="77777777" w:rsidR="007702C5" w:rsidRPr="0005306A" w:rsidRDefault="007702C5" w:rsidP="00FD5CD5">
            <w:pPr>
              <w:pStyle w:val="ZUSTzmus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9. W celu identyfikacji podmiotu gospodarczego lub posiadacza pojazdu, przedmiotu wyposażenia lub części niebędącego użytkownikiem końcowym, gromadzone są dane:</w:t>
            </w:r>
          </w:p>
          <w:p w14:paraId="41E691DF"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1)</w:t>
            </w:r>
            <w:r w:rsidRPr="0005306A">
              <w:rPr>
                <w:rFonts w:ascii="Times New Roman" w:hAnsi="Times New Roman" w:cs="Times New Roman"/>
                <w:szCs w:val="24"/>
              </w:rPr>
              <w:tab/>
              <w:t>nazwa lub firma albo imię i nazwisko;</w:t>
            </w:r>
          </w:p>
          <w:p w14:paraId="4576F23A"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2)</w:t>
            </w:r>
            <w:r w:rsidRPr="0005306A">
              <w:rPr>
                <w:rFonts w:ascii="Times New Roman" w:hAnsi="Times New Roman" w:cs="Times New Roman"/>
                <w:szCs w:val="24"/>
              </w:rPr>
              <w:tab/>
              <w:t>adres prowadzenia działalności i adres siedziby;</w:t>
            </w:r>
          </w:p>
          <w:p w14:paraId="7F376938"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3)</w:t>
            </w:r>
            <w:r w:rsidRPr="0005306A">
              <w:rPr>
                <w:rFonts w:ascii="Times New Roman" w:hAnsi="Times New Roman" w:cs="Times New Roman"/>
                <w:szCs w:val="24"/>
              </w:rPr>
              <w:tab/>
              <w:t>adres strony internetowej i adres poczty elektronicznej – w przypadku gdy kontrola zdalna jest dokonywana za pośrednictwem tej strony;</w:t>
            </w:r>
          </w:p>
          <w:p w14:paraId="0BCC747F"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4)</w:t>
            </w:r>
            <w:r w:rsidRPr="0005306A">
              <w:rPr>
                <w:rFonts w:ascii="Times New Roman" w:hAnsi="Times New Roman" w:cs="Times New Roman"/>
                <w:szCs w:val="24"/>
              </w:rPr>
              <w:tab/>
              <w:t>numer telefonu – w przypadku gdy kontrola zdalna jest dokonywana za pośrednictwem tego urządzenia;</w:t>
            </w:r>
          </w:p>
          <w:p w14:paraId="3D9DD606"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5)</w:t>
            </w:r>
            <w:r w:rsidRPr="0005306A">
              <w:rPr>
                <w:rFonts w:ascii="Times New Roman" w:hAnsi="Times New Roman" w:cs="Times New Roman"/>
                <w:szCs w:val="24"/>
              </w:rPr>
              <w:tab/>
              <w:t>identyfikator podmiotu gospodarczego lub posiadacza pojazdu, przedmiotu wyposażenia lub części niebędącego użytkownikiem końcowym, w innych środkach komunikacji na odległość, za pośrednictwem których dokonywana jest kontrola zdalna.</w:t>
            </w:r>
          </w:p>
          <w:p w14:paraId="6B286C42"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10. Utrwalony obraz lub dźwięk stanowią załącznik do protokołu kontroli, o którym mowa w art. 68zc ust. 1.</w:t>
            </w:r>
          </w:p>
          <w:p w14:paraId="08CE1624"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11. Pojazd, przedmiot wyposażenia lub część pozyskane podczas kontroli prowadzonej w sposób zdalny są poddawane kontroli fizycznej lub kontroli laboratoryjnej.</w:t>
            </w:r>
          </w:p>
          <w:p w14:paraId="653427C9" w14:textId="77777777" w:rsidR="007702C5" w:rsidRPr="0005306A" w:rsidRDefault="007702C5" w:rsidP="00FD5CD5">
            <w:pPr>
              <w:pStyle w:val="ZUSTzmus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12. Jeżeli kontrolujący stwierdzi, że:</w:t>
            </w:r>
          </w:p>
          <w:p w14:paraId="1CE73984"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1)</w:t>
            </w:r>
            <w:r w:rsidRPr="0005306A">
              <w:rPr>
                <w:rFonts w:ascii="Times New Roman" w:hAnsi="Times New Roman" w:cs="Times New Roman"/>
                <w:szCs w:val="24"/>
              </w:rPr>
              <w:tab/>
              <w:t>otrzymał pojazd, przedmiot wyposażenia lub część zgodnie z żądaniem, o którym mowa w ust. 5 oraz</w:t>
            </w:r>
          </w:p>
          <w:p w14:paraId="6D963B37" w14:textId="77777777" w:rsidR="007702C5" w:rsidRPr="0005306A" w:rsidRDefault="007702C5" w:rsidP="00FD5CD5">
            <w:pPr>
              <w:pStyle w:val="ZPKTzmpk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2)</w:t>
            </w:r>
            <w:r w:rsidRPr="0005306A">
              <w:rPr>
                <w:rFonts w:ascii="Times New Roman" w:hAnsi="Times New Roman" w:cs="Times New Roman"/>
                <w:szCs w:val="24"/>
              </w:rPr>
              <w:tab/>
              <w:t>stan pojazdu, przedmiotu wyposażenia lub części umożliwiają poddanie go kontroli fizycznej lub kontroli laboratoryjnej</w:t>
            </w:r>
          </w:p>
          <w:p w14:paraId="376AAB03" w14:textId="77777777" w:rsidR="007702C5" w:rsidRPr="0005306A" w:rsidRDefault="007702C5" w:rsidP="00FD5CD5">
            <w:pPr>
              <w:pStyle w:val="ZCZWSPPKTzmczciwsp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kwalifikuje ten pojazd, przedmiot wyposażenia lub część jako próbkę.</w:t>
            </w:r>
          </w:p>
          <w:p w14:paraId="122F59A6" w14:textId="77777777" w:rsidR="007702C5" w:rsidRPr="0005306A" w:rsidRDefault="007702C5" w:rsidP="00FD5CD5">
            <w:pPr>
              <w:pStyle w:val="ZUSTzmus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13. Jeżeli kontrolujący stwierdzi, że pojazd, przedmiot wyposażenia lub część nie spełniają warunków określonych w ust. 12 pkt 2, nie kwalifikuje tego pojazdu, przedmiotu wyposażenia lub części  jako próbki i ponownie zwraca się do podmiotu gospodarczego lub posiadacza pojazdu, przedmiotu wyposażenia lub części, niebędącego użytkownikiem końcowym, z żądaniem, o którym mowa w ust. 5.</w:t>
            </w:r>
          </w:p>
          <w:p w14:paraId="3D8EFAB0"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14. Dyrektor TDT jako organ nadzoru rynku poddaje próbkę pojazdu, przedmiotu wyposażenia lub część kontroli fizycznej, kontroli laboratoryjnej lub zleca przeprowadzenie badań tej próbki w ramach kontroli laboratoryjnej w laboratorium, o którym mowa w art. 68zi.</w:t>
            </w:r>
          </w:p>
          <w:p w14:paraId="3134136C"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15. Z badań w ramach kontroli laboratoryjnej, o których mowa w ust. 14, jest sporządzane sprawozdanie z badań.</w:t>
            </w:r>
          </w:p>
          <w:p w14:paraId="35D9D5C6"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16. Do kontroli prowadzonej w sposób zdalny w zakresie nieuregulowanym w niniejszym artykule stosuje się odpowiednio przepisy art. 68y, art. 68za, art. 68zb oraz art. 68zc.</w:t>
            </w:r>
          </w:p>
          <w:p w14:paraId="00EAE7F9"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Art. 68zg. 1. Dyrektor TDT jako organ nadzoru rynku może dokonać zakupu kontrolnego poprzez złożenie zamówienia za pośrednictwem operatora pocztowego lub za pomocą środków komunikacji elektronicznej z adresu uniemożliwiającego ustalenie kontrolującego jako organu nadzoru rynku dokonującego zakupu, zwanego dalej „zakupem kontrolnym”, w celu ustalenia czy pojazd, przedmiot wyposażenia lub część są zgodne z wymaganiami technicznymi lub nie stwarzają poważnego ryzyka.</w:t>
            </w:r>
          </w:p>
          <w:p w14:paraId="4ED1E32B"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2. Zgoda podmiotu gospodarczego lub posiadacza pojazdu, przedmiotu wyposażenia lub części, niebędącego użytkownikiem końcowym, o której mowa w art. 51 ust. 3a ustawy z dnia 6 marca 2018 r. – Prawo przedsiębiorców, nie jest wymagana w przypadku, gdy kontrola jest prowadzona zgodnie z przepisami niniejszego artykułu.</w:t>
            </w:r>
          </w:p>
          <w:p w14:paraId="6504CCCD"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3. Dyrektor TDT jako organ nadzoru rynku dokonuje zakupu kontrolnego pojazdu, przedmiotu wyposażenia oraz części oferowanych do sprzedaży na odległość w liczbie niezbędnej do przeprowadzenia kontroli fizycznej lub kontroli laboratoryjnej.</w:t>
            </w:r>
          </w:p>
          <w:p w14:paraId="0431B429"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4. W przypadku, gdy Dyrektor TDT jako organ nadzoru rynku dokonuje zakupu kontrolnego, czynność ta rozpoczyna kontrolę.</w:t>
            </w:r>
          </w:p>
          <w:p w14:paraId="01D93AA7" w14:textId="77777777" w:rsidR="007702C5" w:rsidRPr="0005306A" w:rsidRDefault="007702C5" w:rsidP="00FD5CD5">
            <w:pPr>
              <w:pStyle w:val="ZUSTzmus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5. Jeżeli kontrolujący stwierdzi, że:</w:t>
            </w:r>
          </w:p>
          <w:p w14:paraId="05ABBD29"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1)</w:t>
            </w:r>
            <w:r w:rsidRPr="0005306A">
              <w:rPr>
                <w:rFonts w:ascii="Times New Roman" w:hAnsi="Times New Roman" w:cs="Times New Roman"/>
                <w:szCs w:val="24"/>
              </w:rPr>
              <w:tab/>
              <w:t>otrzymał pojazd, przedmiot wyposażenia lub część pozyskany w ramach zakupu kontrolnego, oraz</w:t>
            </w:r>
          </w:p>
          <w:p w14:paraId="288492FC" w14:textId="77777777" w:rsidR="007702C5" w:rsidRPr="0005306A" w:rsidRDefault="007702C5" w:rsidP="00FD5CD5">
            <w:pPr>
              <w:pStyle w:val="ZPKTzmpk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2)</w:t>
            </w:r>
            <w:r w:rsidRPr="0005306A">
              <w:rPr>
                <w:rFonts w:ascii="Times New Roman" w:hAnsi="Times New Roman" w:cs="Times New Roman"/>
                <w:szCs w:val="24"/>
              </w:rPr>
              <w:tab/>
              <w:t>stan pojazdu, przedmiotu wyposażenia lub części umożliwiają poddanie go kontroli fizycznej lub kontroli laboratoryjnej</w:t>
            </w:r>
          </w:p>
          <w:p w14:paraId="010783CA" w14:textId="77777777" w:rsidR="007702C5" w:rsidRPr="0005306A" w:rsidRDefault="007702C5" w:rsidP="00FD5CD5">
            <w:pPr>
              <w:pStyle w:val="ZCZWSPPKTzmczciwsp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kwalifikuje ten pojazd, przedmiot wyposażenia lub część jako próbkę.</w:t>
            </w:r>
          </w:p>
          <w:p w14:paraId="18579418" w14:textId="77777777" w:rsidR="007702C5" w:rsidRPr="0005306A" w:rsidRDefault="007702C5" w:rsidP="00FD5CD5">
            <w:pPr>
              <w:pStyle w:val="ZUSTzmus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6. Jeżeli kontrolujący stwierdzi, że pojazd, przedmiot wyposażenia lub część nie spełniają warunku określonego w ust. 5 pkt 2, nie kwalifikuje ich jako próbki pojazdu, przedmiotu wyposażenia lub części i kończy kontrolę.</w:t>
            </w:r>
          </w:p>
          <w:p w14:paraId="72D92549" w14:textId="77777777" w:rsidR="007702C5" w:rsidRPr="0005306A" w:rsidRDefault="007702C5" w:rsidP="00FD5CD5">
            <w:pPr>
              <w:pStyle w:val="ZUSTzmus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7. W przypadku, gdy pojazd, przedmiot wyposażenia lub część pozyskane w ramach zakupu kontrolnego nie zostaną zakwalifikowane jako próbka pojazdu, przedmiotu wyposażenia lub części, upoważnienie do przeprowadzenia kontroli oraz legitymacja służbowa są okazywane podmiotowi gospodarczemu lub posiadaczowi pojazdu, przedmiotu wyposażenia lub części, niebędącego użytkownikiem końcowym, w terminie 7 dni od dnia sporządzenia protokołu z kontroli.</w:t>
            </w:r>
          </w:p>
          <w:p w14:paraId="0F7856EF"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8. W przypadku gdy pojazd, przedmiot wyposażenia lub część pozyskane w ramach zakupu kontrolnego zostaną zakwalifikowane jako próbka, upoważnienie do przeprowadzenia kontroli oraz legitymacja służbowa są okazywane podmiotowi gospodarczemu lub posiadaczowi pojazdu, przedmiotu wyposażenia lub części, niebędącego użytkownikiem końcowym,  w terminie 7 dni od dnia sporządzenia protokołu z kontroli lub otrzymania przez Dyrektora TDT jako organ nadzoru rynku sprawozdania z badań  w ramach kontroli laboratoryjnej, o której mowa w art. 68z ust. 1.</w:t>
            </w:r>
          </w:p>
          <w:p w14:paraId="16ABDA94"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9. Upoważnienie do przeprowadzenia kontroli rozpoczętej po dokonaniu zakupu kontrolnego, poza danymi wskazanymi w art. 68zb ust. 4 pkt 1-3, 5-8 i 10, zawiera także dane dotyczące kontrolującego, o których mowa w ust. 12.</w:t>
            </w:r>
          </w:p>
          <w:p w14:paraId="59ED2BBE"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10. Do czasu trwania kontroli nie wlicza się okresu po dokonaniu zakupu kontrolnego, a przed okazaniem podmiotowi gospodarczemu lub posiadaczowi pojazdu, przedmiotu wyposażenia lub części upoważnienia do przeprowadzenia kontroli oraz legitymacji służbowej.</w:t>
            </w:r>
          </w:p>
          <w:p w14:paraId="7AB3F8E7"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11. W celu zapewnienia anonimowości kontrolujący jest uprawniony do posługiwania się innym niż rzeczywiste imieniem i nazwiskiem oraz adresem zamieszkania, a także innym niż służbowy adresem mailowym, którego login nie ujawnia tożsamości kontrolującego.</w:t>
            </w:r>
          </w:p>
          <w:p w14:paraId="6560B0CC"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12. Dyrektor TDT jako organ nadzoru rynku prowadzi bazę fikcyjnych imion i nazwisk, adresów zamieszkania oraz adresów mailowych, spośród których losowo jest wybierane imię i nazwisko, adres zamieszkania oraz adres mailowy, o których mowa w ust. 11.</w:t>
            </w:r>
          </w:p>
          <w:p w14:paraId="496B7E1E"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13. Pojazd, przedmiot wyposażenia lub część pozyskane podczas kontroli prowadzonej poprzez zakup kontrolny, są poddawane kontroli fizycznej.</w:t>
            </w:r>
          </w:p>
          <w:p w14:paraId="3BD20FFA"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14. Do zakupu kontrolnego, w zakresie nieuregulowanym w niniejszym artykule, stosuje się odpowiednio przepisy art. 68y, art. 68za, art. 68zb, art. 68zc oraz art. 68zf ust. 7–10, 14 i 15.  </w:t>
            </w:r>
            <w:r w:rsidRPr="0005306A">
              <w:rPr>
                <w:rFonts w:ascii="Times New Roman" w:hAnsi="Times New Roman" w:cs="Times New Roman"/>
                <w:szCs w:val="24"/>
              </w:rPr>
              <w:tab/>
            </w:r>
          </w:p>
          <w:p w14:paraId="04BBC3D0" w14:textId="77777777" w:rsidR="007702C5" w:rsidRPr="0005306A" w:rsidRDefault="007702C5" w:rsidP="00FD5CD5">
            <w:pPr>
              <w:pStyle w:val="ZARTzmartartykuempunktem"/>
              <w:spacing w:line="240" w:lineRule="auto"/>
              <w:jc w:val="left"/>
              <w:rPr>
                <w:rFonts w:ascii="Times New Roman" w:hAnsi="Times New Roman" w:cs="Times New Roman"/>
                <w:szCs w:val="24"/>
              </w:rPr>
            </w:pPr>
            <w:r w:rsidRPr="0005306A">
              <w:rPr>
                <w:rFonts w:ascii="Times New Roman" w:hAnsi="Times New Roman" w:cs="Times New Roman"/>
                <w:szCs w:val="24"/>
              </w:rPr>
              <w:t>Art. 68zh. 1. Dyrektor TDT jako organ nadzoru rynku planuje działania w zakresie nadzoru rynku zgodnie z kryteriami określonymi w art. 1 rozporządzenia wykonawczego Komisji (UE) 2022/163 z dnia 7 lutego 2022 r. ustanawiającego przepisy dotyczące stosowania rozporządzenia Parlamentu Europejskiego i Rady (UE) 2018/858 w odniesieniu do wymogów funkcjonalnych dotyczących nadzoru rynku w zakresie pojazdów, układów, komponentów i oddzielnych zespołów technicznych (Dz. Urz. UE L 27 z 08.02.2022, str. 1) oraz przeprowadza regularne badania laboratoryjne pojazdów, przedmiotów wyposażenia lub części, o których mowa w art. 7 ust. 2 rozporządzenia 167/2013, art. 8 ust. 2 rozporządzenia 168/2013 oraz art. 8 rozporządzenia 2018/858.</w:t>
            </w:r>
          </w:p>
          <w:p w14:paraId="3253BBCF"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2. Pojazdy, przedmioty wyposażenia lub części są pobierane nieodpłatnie przez Dyrektora TDT jako organ nadzoru rynku do badań, o których mowa w ust. 1, od podmiotu gospodarczego lub posiadacza pojazdu, przedmiotu wyposażenia lub części, niebędącego użytkownikiem końcowym.</w:t>
            </w:r>
          </w:p>
          <w:p w14:paraId="5158C559"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3. Do pobrania pojazdu, przedmiotu wyposażenia lub części do badań laboratoryjnych, o którym mowa w ust. 1, stosuje się odpowiednio przepisy art. 68zb.</w:t>
            </w:r>
          </w:p>
          <w:p w14:paraId="5597B64E"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4. Dyrektor TDT jako organ nadzoru rynku przeprowadza kontrolę fizyczną pojazdu, przedmiotu wyposażenia lub części, a następnie poddaje pobrany pojazd, przedmiot wyposażenia lub część, badaniom laboratoryjnym, zlecając ich przeprowadzenie laboratorium badawczemu, o którym mowa w art. 68zi.</w:t>
            </w:r>
          </w:p>
          <w:p w14:paraId="3839B969"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5. Z badań laboratoryjnych, o których mowa w ust. 4, sporządza się sprawozdanie z badań.</w:t>
            </w:r>
          </w:p>
          <w:p w14:paraId="198ABA47"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6. Po przeprowadzeniu badań laboratoryjnych, o których mowa w ust. 4, Dyrektor TDT jako organ nadzoru rynku zwraca podmiotowi gospodarczemu lub posiadaczowi pojazdu, przedmiotu wyposażenia lub części, niebędącego użytkownikiem końcowym, pojazd, przedmiot wyposażenia lub część wraz z protokołem z kontroli oraz ze sprawozdaniem z badań.</w:t>
            </w:r>
          </w:p>
          <w:p w14:paraId="7A18F40E" w14:textId="77777777" w:rsidR="007702C5" w:rsidRPr="0005306A" w:rsidRDefault="007702C5" w:rsidP="00FD5CD5">
            <w:pPr>
              <w:pStyle w:val="ZARTzmartartykuempunktem"/>
              <w:spacing w:line="240" w:lineRule="auto"/>
              <w:jc w:val="left"/>
              <w:rPr>
                <w:rFonts w:ascii="Times New Roman" w:hAnsi="Times New Roman" w:cs="Times New Roman"/>
                <w:szCs w:val="24"/>
              </w:rPr>
            </w:pPr>
            <w:r w:rsidRPr="0005306A">
              <w:rPr>
                <w:rFonts w:ascii="Times New Roman" w:hAnsi="Times New Roman" w:cs="Times New Roman"/>
                <w:szCs w:val="24"/>
              </w:rPr>
              <w:t>Art. 68zi.</w:t>
            </w:r>
            <w:r w:rsidRPr="0005306A">
              <w:rPr>
                <w:rStyle w:val="Ppogrubienie"/>
                <w:rFonts w:ascii="Times New Roman" w:hAnsi="Times New Roman" w:cs="Times New Roman"/>
                <w:szCs w:val="24"/>
              </w:rPr>
              <w:t xml:space="preserve"> </w:t>
            </w:r>
            <w:r w:rsidRPr="0005306A">
              <w:rPr>
                <w:rFonts w:ascii="Times New Roman" w:hAnsi="Times New Roman" w:cs="Times New Roman"/>
                <w:szCs w:val="24"/>
              </w:rPr>
              <w:t>Laboratorium badawcze</w:t>
            </w:r>
            <w:r w:rsidR="001038FF" w:rsidRPr="0005306A">
              <w:rPr>
                <w:rFonts w:ascii="Times New Roman" w:hAnsi="Times New Roman" w:cs="Times New Roman"/>
                <w:strike/>
                <w:szCs w:val="24"/>
                <w:highlight w:val="yellow"/>
              </w:rPr>
              <w:t xml:space="preserve"> </w:t>
            </w:r>
            <w:r w:rsidRPr="0005306A">
              <w:rPr>
                <w:rFonts w:ascii="Times New Roman" w:hAnsi="Times New Roman" w:cs="Times New Roman"/>
                <w:szCs w:val="24"/>
              </w:rPr>
              <w:t>powinno:</w:t>
            </w:r>
          </w:p>
          <w:p w14:paraId="2A57BB1E"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1) </w:t>
            </w:r>
            <w:r w:rsidRPr="0005306A">
              <w:rPr>
                <w:rFonts w:ascii="Times New Roman" w:hAnsi="Times New Roman" w:cs="Times New Roman"/>
                <w:szCs w:val="24"/>
              </w:rPr>
              <w:tab/>
              <w:t>być krajowym laboratorium badawczym lub laboratorium sieci Unii Europejskiej;</w:t>
            </w:r>
          </w:p>
          <w:p w14:paraId="02B23576"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2) </w:t>
            </w:r>
            <w:r w:rsidRPr="0005306A">
              <w:rPr>
                <w:rFonts w:ascii="Times New Roman" w:hAnsi="Times New Roman" w:cs="Times New Roman"/>
                <w:szCs w:val="24"/>
              </w:rPr>
              <w:tab/>
              <w:t>być osobą prawną ustanowioną na mocy prawa państwa członkowskiego Unii Europejskiej;</w:t>
            </w:r>
          </w:p>
          <w:p w14:paraId="09B98EE4"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3) </w:t>
            </w:r>
            <w:r w:rsidRPr="0005306A">
              <w:rPr>
                <w:rFonts w:ascii="Times New Roman" w:hAnsi="Times New Roman" w:cs="Times New Roman"/>
                <w:szCs w:val="24"/>
              </w:rPr>
              <w:tab/>
              <w:t>posiadać akredytację zgodnie z wymogami określonymi w normie PN-EN ISO/IEC 17025 lub EN ISO/IEC 17025 w sprawie ogólnych wymagań dotyczących kompetencji laboratoriów badawczych i wzorcujących, w zakresie badań przeprowadzanych na wniosek Dyrektora TDT jako organu nadzoru rynku;</w:t>
            </w:r>
          </w:p>
          <w:p w14:paraId="2EAB7BF3"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4) </w:t>
            </w:r>
            <w:r w:rsidRPr="0005306A">
              <w:rPr>
                <w:rFonts w:ascii="Times New Roman" w:hAnsi="Times New Roman" w:cs="Times New Roman"/>
                <w:szCs w:val="24"/>
              </w:rPr>
              <w:tab/>
              <w:t>nie być zaangażowane w proces projektowania, produkcji, dostaw lub konserwacji pojazdów, przedmiotów wyposażenia lub części, które ocenia lub bada;</w:t>
            </w:r>
          </w:p>
          <w:p w14:paraId="03BEEFD0"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5) </w:t>
            </w:r>
            <w:r w:rsidRPr="0005306A">
              <w:rPr>
                <w:rFonts w:ascii="Times New Roman" w:hAnsi="Times New Roman" w:cs="Times New Roman"/>
                <w:szCs w:val="24"/>
              </w:rPr>
              <w:tab/>
              <w:t>być w pełni bezstronne i niezależne w zakresie organizacji i sposobu działania wynikającego z prawa własności, podległości, zarządzania, personelu, współdzielonych zasobów, finansów, umów, działalności marketingowej, łącznie z promowaniem marki, prowizji od sprzedaży lub innych środków motywacyjnych w celu pozyskania nowych klientów;</w:t>
            </w:r>
          </w:p>
          <w:p w14:paraId="4F02C149"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6) </w:t>
            </w:r>
            <w:r w:rsidRPr="0005306A">
              <w:rPr>
                <w:rFonts w:ascii="Times New Roman" w:hAnsi="Times New Roman" w:cs="Times New Roman"/>
                <w:szCs w:val="24"/>
              </w:rPr>
              <w:tab/>
              <w:t>identyfikować oraz nadzorować ryzyka związane z działalnością, bezstronnością, niezależnością oraz poufnością;</w:t>
            </w:r>
          </w:p>
          <w:p w14:paraId="37BDF0FD"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7) </w:t>
            </w:r>
            <w:r w:rsidRPr="0005306A">
              <w:rPr>
                <w:rFonts w:ascii="Times New Roman" w:hAnsi="Times New Roman" w:cs="Times New Roman"/>
                <w:szCs w:val="24"/>
              </w:rPr>
              <w:tab/>
              <w:t>przedstawić oświadczenie stwierdzające, że przestrzega poufności w kontekście ochrony tajemnicy handlowej i ochrony danych osobowych oraz że jego pracownicy przestrzegają tajemnicy zawodowej w odniesieniu do wszystkich informacji przekazywanych przez producentów, w tym świadectw homologacji typu i załączników do nich oraz danych udostępnianych przez Dyrektora TDT jako organu nadzoru rynku.</w:t>
            </w:r>
          </w:p>
          <w:p w14:paraId="0CD2E571" w14:textId="77777777" w:rsidR="007702C5" w:rsidRPr="0005306A" w:rsidRDefault="007702C5" w:rsidP="00FD5CD5">
            <w:pPr>
              <w:pStyle w:val="ZARTzmar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Art. 68zj. 1. Na podstawie negatywnych wyników przeprowadzonych czynności wyjaśniających lub kontroli pojazdu, przedmiotu wyposażenia lub części w zakresie spełnienia wymagań technicznych lub stwarzania poważnego ryzyka, przeprowadzonej u podmiotu gospodarczego lub posiadacza pojazdu, przedmiotu wyposażenia lub części  niebędącego użytkownikiem końcowym, lub negatywnych wyników badań laboratoryjnych, o których mowa w art. 68zh ust. 1, Dyrektor TDT jako organ nadzoru rynku wszczyna z urzędu postępowanie administracyjne, zakończone wydaniem decyzji administracyjnej w sprawie stwierdzenia niezgodności pojazdu, przedmiotu wyposażenia lub części z wymaganiami technicznymi lub stwarzania przez nie poważnego ryzyka.</w:t>
            </w:r>
          </w:p>
          <w:p w14:paraId="11B8D720" w14:textId="77777777" w:rsidR="007702C5" w:rsidRPr="0005306A" w:rsidRDefault="007702C5" w:rsidP="00FD5CD5">
            <w:pPr>
              <w:pStyle w:val="ZARTzmar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2. Użytkownik końcowy, o którym mowa w art. 68y ust. 1 pkt 3, nie jest stroną postępowania, o którym mowa w ust. 1.</w:t>
            </w:r>
          </w:p>
          <w:p w14:paraId="7B21AD81" w14:textId="77777777" w:rsidR="007702C5" w:rsidRPr="0005306A" w:rsidRDefault="007702C5" w:rsidP="00FD5CD5">
            <w:pPr>
              <w:suppressAutoHyphens/>
              <w:autoSpaceDE w:val="0"/>
              <w:autoSpaceDN w:val="0"/>
              <w:adjustRightInd w:val="0"/>
              <w:spacing w:after="0" w:line="240" w:lineRule="auto"/>
              <w:ind w:left="510" w:firstLine="510"/>
              <w:rPr>
                <w:rFonts w:ascii="Times New Roman" w:eastAsiaTheme="minorEastAsia" w:hAnsi="Times New Roman" w:cs="Times New Roman"/>
                <w:sz w:val="24"/>
                <w:szCs w:val="24"/>
                <w:lang w:eastAsia="pl-PL"/>
              </w:rPr>
            </w:pPr>
            <w:r w:rsidRPr="0005306A">
              <w:rPr>
                <w:rFonts w:ascii="Times New Roman" w:eastAsiaTheme="minorEastAsia" w:hAnsi="Times New Roman" w:cs="Times New Roman"/>
                <w:sz w:val="24"/>
                <w:szCs w:val="24"/>
                <w:lang w:eastAsia="pl-PL"/>
              </w:rPr>
              <w:t xml:space="preserve">3. Raport z czynności wyjaśniających, o którym mowa w art. 68z ust. 7, protokół z kontroli, o którym mowa w art. 68zc ust. 1 wraz z aktami kontroli, lub sprawozdanie z badań, o którym mowa w art. 68zh ust. 5, stanowią dowody w sprawie. </w:t>
            </w:r>
          </w:p>
          <w:p w14:paraId="560A279F" w14:textId="77777777" w:rsidR="007702C5" w:rsidRPr="0005306A" w:rsidRDefault="007702C5" w:rsidP="00FD5CD5">
            <w:pPr>
              <w:pStyle w:val="ZARTzmar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4. Do zawiadomienie o wszczęciu postępowania, o którym mowa w ust. 1, dołącza się dokumenty, o których mowa w ust. 3.</w:t>
            </w:r>
          </w:p>
          <w:p w14:paraId="5E9EDF0B" w14:textId="77777777" w:rsidR="007702C5" w:rsidRPr="0005306A" w:rsidRDefault="007702C5" w:rsidP="00FD5CD5">
            <w:pPr>
              <w:pStyle w:val="ZARTzmar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Art. 68zk. 1. Dyrektor TDT jako organ nadzoru rynku w decyzji, o której mowa w art. 68zj ust. 1, nakazuje podmiotowi gospodarczemu w określonym terminie:</w:t>
            </w:r>
          </w:p>
          <w:p w14:paraId="0FDF9280"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1)</w:t>
            </w:r>
            <w:r w:rsidRPr="0005306A">
              <w:rPr>
                <w:rFonts w:ascii="Times New Roman" w:hAnsi="Times New Roman" w:cs="Times New Roman"/>
                <w:szCs w:val="24"/>
              </w:rPr>
              <w:tab/>
              <w:t>podać do publicznej wiadomości w sposób wskazany w decyzji informację o pojeździe, przedmiocie wyposażenia lub części objętych obowiązkiem wycofania z obrotu lub użytkowania oraz</w:t>
            </w:r>
          </w:p>
          <w:p w14:paraId="0F03E263"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2)</w:t>
            </w:r>
            <w:r w:rsidRPr="0005306A">
              <w:rPr>
                <w:rFonts w:ascii="Times New Roman" w:hAnsi="Times New Roman" w:cs="Times New Roman"/>
                <w:szCs w:val="24"/>
              </w:rPr>
              <w:tab/>
              <w:t xml:space="preserve">usunięcie niezgodności z wymaganiami technicznymi lub usunięcie ryzyka, a w przypadku gdy ich usunięcie nie jest możliwe, zakazuje udostępniania na rynku pojazdu, przedmiotu wyposażenia lub części; w przypadku gdy pojazd, przedmiot wyposażenia lub część zostały już udostępnione, nakazuje ich wycofanie z obrotu lub użytkowania oraz nakazuje odkupienie pojazdu, przedmiotu wyposażenia lub części od użytkowników końcowych albo wymianę na nowy pojazd, przedmiot wyposażenia lub część zgodne z wymaganiami technicznymi. </w:t>
            </w:r>
          </w:p>
          <w:p w14:paraId="2310B80C"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2. W decyzji, o której mowa w art. 68zj ust. 1, Dyrektor TDT jako organ nadzoru rynku może:</w:t>
            </w:r>
          </w:p>
          <w:p w14:paraId="53717428"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1) </w:t>
            </w:r>
            <w:r w:rsidRPr="0005306A">
              <w:rPr>
                <w:rFonts w:ascii="Times New Roman" w:hAnsi="Times New Roman" w:cs="Times New Roman"/>
                <w:szCs w:val="24"/>
              </w:rPr>
              <w:tab/>
              <w:t>określić warunki na jakich pojazd, przedmiot wyposażenia lub część mogą być udostępniane na rynku;</w:t>
            </w:r>
          </w:p>
          <w:p w14:paraId="42820D87"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2) </w:t>
            </w:r>
            <w:r w:rsidRPr="0005306A">
              <w:rPr>
                <w:rFonts w:ascii="Times New Roman" w:hAnsi="Times New Roman" w:cs="Times New Roman"/>
                <w:szCs w:val="24"/>
              </w:rPr>
              <w:tab/>
              <w:t>nakazać umieszczenie na pojeździe, przedmiocie wyposażenia lub części ostrzeżeń o ryzyku jakie pojazd, przedmiot wyposażenia lub część mogą stwarzać;</w:t>
            </w:r>
          </w:p>
          <w:p w14:paraId="124DDC92"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3) </w:t>
            </w:r>
            <w:r w:rsidRPr="0005306A">
              <w:rPr>
                <w:rFonts w:ascii="Times New Roman" w:hAnsi="Times New Roman" w:cs="Times New Roman"/>
                <w:szCs w:val="24"/>
              </w:rPr>
              <w:tab/>
            </w:r>
            <w:r w:rsidR="00CF3C6A" w:rsidRPr="0005306A">
              <w:t>nakazać zniszczenie pojazdu, przedmiotu wyposażenia lub części, w przypadku, gdy pojazd, przedmiot wyposażenia lub część stwarzają poważne ryzyko i nie da się tego ryzyka usunąć – w określonym terminie po odkupieniu pojazdu, przedmiotu wyposażenia lub części od użytkownika końcowego albo wymianie na nowy pojazd, przedmiot wyposażenia lub część zgodną z wymaganiami technicznymi,</w:t>
            </w:r>
          </w:p>
          <w:p w14:paraId="50138F6D"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4)</w:t>
            </w:r>
            <w:r w:rsidRPr="0005306A">
              <w:rPr>
                <w:rFonts w:ascii="Times New Roman" w:hAnsi="Times New Roman" w:cs="Times New Roman"/>
                <w:szCs w:val="24"/>
              </w:rPr>
              <w:tab/>
              <w:t>nakazać usunięcie lub zablokowanie dostępu do ofert dotyczących pojazdu, przedmiotu wyposażenia i części</w:t>
            </w:r>
          </w:p>
          <w:p w14:paraId="19721FE4"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 w zależności od rodzaju stwierdzonych niezgodności z wymaganiami technicznymi lub stopnia ryzyka stwarzanego przez pojazd, przedmiot wyposażenia lub część. </w:t>
            </w:r>
          </w:p>
          <w:p w14:paraId="4A3E38C2"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3. Podmiot lub osoba posiadająca tytuł prawny do pojazdu, przedmiotu wyposażenia lub części objętego decyzją, o której mowa w art. 68zj ust. 1, ma prawo żądać od podmiotu gospodarczego, który wprowadził do obrotu ten pojazd, przedmiot wyposażenia lub część, odkupienia po cenie sprzedaży albo wymiany na nowy pojazd, przedmiot wyposażenia lub część spełniające wymagania techniczne lub niestwarzające poważnego ryzyka.</w:t>
            </w:r>
          </w:p>
          <w:p w14:paraId="50143687"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4. W przypadku braku realizacji żądania, o którym mowa w ust. 3, podmiot lub osoba posiadająca tytuł prawny, o której mowa w ust. 3, powiadamia o tym Dyrektora TDT jako organ nadzoru rynku. </w:t>
            </w:r>
          </w:p>
          <w:p w14:paraId="327CC0E5"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5. Podmiot gospodarczy powiadamia Dyrektora TDT jako organ nadzoru rynku o wykonaniu decyzji, o której mowa w art. 68zj ust. 1, w terminie 14 dni od dnia upływu terminu wskazanego w tej decyzji. </w:t>
            </w:r>
          </w:p>
          <w:p w14:paraId="7700E196" w14:textId="77777777" w:rsidR="007702C5" w:rsidRPr="0005306A" w:rsidRDefault="007702C5" w:rsidP="00FD5CD5">
            <w:pPr>
              <w:pStyle w:val="USTustnpkodeksu"/>
              <w:spacing w:line="240" w:lineRule="auto"/>
              <w:ind w:left="510"/>
              <w:jc w:val="left"/>
              <w:rPr>
                <w:rFonts w:ascii="Times New Roman" w:hAnsi="Times New Roman" w:cs="Times New Roman"/>
                <w:szCs w:val="24"/>
              </w:rPr>
            </w:pPr>
            <w:r w:rsidRPr="0005306A">
              <w:rPr>
                <w:rFonts w:ascii="Times New Roman" w:hAnsi="Times New Roman" w:cs="Times New Roman"/>
                <w:szCs w:val="24"/>
              </w:rPr>
              <w:t>6. Jeżeli podmiot gospodarczy nie wykonał decyzji, o której mowa w art. 68zj ust. 1, w zakresie określonym w art. 68zk ust. 2 pkt 4, Dyrektor TDT jako organ nadzoru rynku, w drodze decyzji administracyjnej nakazuje operatorowi platformy usunięcie z interfejsu online treści odnoszących się do oferty pojazdów, przedmiotów wyposażenia lub części, zawieszenie konta podmiotu gospodarczego na platformie lub wyświetlanie wyraźnego ostrzeżenia dla użytkowników końcowych uzyskujących dostęp do oferty tego pojazdu, przedmiotu wyposażenia lub części.</w:t>
            </w:r>
          </w:p>
          <w:p w14:paraId="77DB33DF" w14:textId="77777777" w:rsidR="007702C5" w:rsidRPr="0005306A" w:rsidRDefault="007702C5" w:rsidP="00FD5CD5">
            <w:pPr>
              <w:pStyle w:val="USTustnpkodeksu"/>
              <w:spacing w:line="240" w:lineRule="auto"/>
              <w:ind w:left="510"/>
              <w:jc w:val="left"/>
              <w:rPr>
                <w:rFonts w:ascii="Times New Roman" w:hAnsi="Times New Roman" w:cs="Times New Roman"/>
                <w:szCs w:val="24"/>
              </w:rPr>
            </w:pPr>
            <w:r w:rsidRPr="0005306A">
              <w:rPr>
                <w:rFonts w:ascii="Times New Roman" w:hAnsi="Times New Roman" w:cs="Times New Roman"/>
                <w:szCs w:val="24"/>
              </w:rPr>
              <w:t>7. W decyzji, o której mowa w ust. 6, określa się:</w:t>
            </w:r>
          </w:p>
          <w:p w14:paraId="2F61DFEF" w14:textId="77777777" w:rsidR="007702C5" w:rsidRPr="0005306A" w:rsidRDefault="007702C5" w:rsidP="00FD5CD5">
            <w:pPr>
              <w:pStyle w:val="PKTpunkt"/>
              <w:spacing w:line="240" w:lineRule="auto"/>
              <w:ind w:left="1020"/>
              <w:jc w:val="left"/>
              <w:rPr>
                <w:rFonts w:ascii="Times New Roman" w:hAnsi="Times New Roman" w:cs="Times New Roman"/>
                <w:szCs w:val="24"/>
              </w:rPr>
            </w:pPr>
            <w:r w:rsidRPr="0005306A">
              <w:rPr>
                <w:rFonts w:ascii="Times New Roman" w:hAnsi="Times New Roman" w:cs="Times New Roman"/>
                <w:szCs w:val="24"/>
              </w:rPr>
              <w:t>1)</w:t>
            </w:r>
            <w:r w:rsidRPr="0005306A">
              <w:rPr>
                <w:rFonts w:ascii="Times New Roman" w:hAnsi="Times New Roman" w:cs="Times New Roman"/>
                <w:szCs w:val="24"/>
              </w:rPr>
              <w:tab/>
              <w:t>nazwę podmiotu gospodarczego, wobec którego wydano decyzję, o której mowa w art. 68zj ust. 1;</w:t>
            </w:r>
          </w:p>
          <w:p w14:paraId="58D89948" w14:textId="77777777" w:rsidR="007702C5" w:rsidRPr="0005306A" w:rsidRDefault="007702C5" w:rsidP="00FD5CD5">
            <w:pPr>
              <w:pStyle w:val="PKTpunkt"/>
              <w:spacing w:line="240" w:lineRule="auto"/>
              <w:ind w:left="1020"/>
              <w:jc w:val="left"/>
              <w:rPr>
                <w:rFonts w:ascii="Times New Roman" w:hAnsi="Times New Roman" w:cs="Times New Roman"/>
                <w:szCs w:val="24"/>
              </w:rPr>
            </w:pPr>
            <w:r w:rsidRPr="0005306A">
              <w:rPr>
                <w:rFonts w:ascii="Times New Roman" w:hAnsi="Times New Roman" w:cs="Times New Roman"/>
                <w:szCs w:val="24"/>
              </w:rPr>
              <w:t>2)</w:t>
            </w:r>
            <w:r w:rsidRPr="0005306A">
              <w:rPr>
                <w:rFonts w:ascii="Times New Roman" w:hAnsi="Times New Roman" w:cs="Times New Roman"/>
                <w:szCs w:val="24"/>
              </w:rPr>
              <w:tab/>
              <w:t>określenie treści odnoszących się do oferty dotyczących pojazdu, przedmiotu wyposażenia lub części objętego decyzją, o której mowa w art. 68zj ust. 1;</w:t>
            </w:r>
          </w:p>
          <w:p w14:paraId="087D479C" w14:textId="77777777" w:rsidR="007702C5" w:rsidRPr="0005306A" w:rsidRDefault="007702C5" w:rsidP="00FD5CD5">
            <w:pPr>
              <w:pStyle w:val="PKTpunkt"/>
              <w:spacing w:line="240" w:lineRule="auto"/>
              <w:ind w:left="1020"/>
              <w:jc w:val="left"/>
              <w:rPr>
                <w:rFonts w:ascii="Times New Roman" w:hAnsi="Times New Roman" w:cs="Times New Roman"/>
                <w:szCs w:val="24"/>
              </w:rPr>
            </w:pPr>
            <w:r w:rsidRPr="0005306A">
              <w:rPr>
                <w:rFonts w:ascii="Times New Roman" w:hAnsi="Times New Roman" w:cs="Times New Roman"/>
                <w:szCs w:val="24"/>
              </w:rPr>
              <w:t xml:space="preserve">3) </w:t>
            </w:r>
            <w:r w:rsidRPr="0005306A">
              <w:rPr>
                <w:rFonts w:ascii="Times New Roman" w:hAnsi="Times New Roman" w:cs="Times New Roman"/>
                <w:szCs w:val="24"/>
              </w:rPr>
              <w:tab/>
              <w:t>określenie treści nakazu, w tym treść ostrzeżenia dla użytkowników końcowych;</w:t>
            </w:r>
          </w:p>
          <w:p w14:paraId="4930E717" w14:textId="77777777" w:rsidR="007702C5" w:rsidRPr="0005306A" w:rsidRDefault="007702C5" w:rsidP="00FD5CD5">
            <w:pPr>
              <w:pStyle w:val="ZUSTzmustartykuempunktem"/>
              <w:keepNext/>
              <w:spacing w:line="240" w:lineRule="auto"/>
              <w:ind w:left="1020" w:hanging="510"/>
              <w:jc w:val="left"/>
              <w:rPr>
                <w:rFonts w:ascii="Times New Roman" w:hAnsi="Times New Roman" w:cs="Times New Roman"/>
                <w:szCs w:val="24"/>
              </w:rPr>
            </w:pPr>
            <w:r w:rsidRPr="0005306A">
              <w:rPr>
                <w:rFonts w:ascii="Times New Roman" w:hAnsi="Times New Roman" w:cs="Times New Roman"/>
                <w:szCs w:val="24"/>
              </w:rPr>
              <w:t>4)</w:t>
            </w:r>
            <w:r w:rsidRPr="0005306A">
              <w:rPr>
                <w:rFonts w:ascii="Times New Roman" w:hAnsi="Times New Roman" w:cs="Times New Roman"/>
                <w:szCs w:val="24"/>
              </w:rPr>
              <w:tab/>
              <w:t>termin wykonania decyzji.</w:t>
            </w:r>
          </w:p>
          <w:p w14:paraId="741E38C4" w14:textId="77777777" w:rsidR="007702C5" w:rsidRPr="0005306A" w:rsidRDefault="007702C5" w:rsidP="00FD5CD5">
            <w:pPr>
              <w:pStyle w:val="ZUSTzmus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8. Jeżeli podmiot gospodarczy nie wykonał decyzji, o której mowa w art. 68zj ust. 1 w zakresie określonym w art. 68zk ust. 2 pkt 4, oraz jeżeli jest konieczne podjęcie natychmiastowego działania mającego na celu usunięcie poważnego ryzyka stwarzanego przez pojazd, przedmiot wyposażenia lub część objętego decyzją lub doprowadzenie ich do stanu zgodności z wymaganiami technicznymi, Dyrektor TDT jako organ nadzoru rynku w drodze decyzji administracyjnej, nakazuje dostawcy usług społeczeństwa informacyjnego nieodpłatne ograniczenie temu podmiotowi, dostępu do interfejsu online lub wyłączenie dostępu do interfejsu online.</w:t>
            </w:r>
          </w:p>
          <w:p w14:paraId="4674A81F" w14:textId="77777777" w:rsidR="007702C5" w:rsidRPr="0005306A" w:rsidRDefault="007702C5" w:rsidP="00FD5CD5">
            <w:pPr>
              <w:pStyle w:val="USTustnpkodeksu"/>
              <w:spacing w:line="240" w:lineRule="auto"/>
              <w:ind w:left="510"/>
              <w:jc w:val="left"/>
              <w:rPr>
                <w:rFonts w:ascii="Times New Roman" w:hAnsi="Times New Roman" w:cs="Times New Roman"/>
                <w:szCs w:val="24"/>
              </w:rPr>
            </w:pPr>
            <w:r w:rsidRPr="0005306A">
              <w:rPr>
                <w:rFonts w:ascii="Times New Roman" w:hAnsi="Times New Roman" w:cs="Times New Roman"/>
                <w:szCs w:val="24"/>
              </w:rPr>
              <w:t>9. W decyzji, o której mowa w ust. 8, określa się:</w:t>
            </w:r>
          </w:p>
          <w:p w14:paraId="04627CEA" w14:textId="77777777" w:rsidR="007702C5" w:rsidRPr="0005306A" w:rsidRDefault="007702C5" w:rsidP="00FD5CD5">
            <w:pPr>
              <w:pStyle w:val="PKTpunkt"/>
              <w:spacing w:line="240" w:lineRule="auto"/>
              <w:ind w:left="1020"/>
              <w:jc w:val="left"/>
              <w:rPr>
                <w:rFonts w:ascii="Times New Roman" w:hAnsi="Times New Roman" w:cs="Times New Roman"/>
                <w:szCs w:val="24"/>
              </w:rPr>
            </w:pPr>
            <w:r w:rsidRPr="0005306A">
              <w:rPr>
                <w:rFonts w:ascii="Times New Roman" w:hAnsi="Times New Roman" w:cs="Times New Roman"/>
                <w:szCs w:val="24"/>
              </w:rPr>
              <w:t>1)</w:t>
            </w:r>
            <w:r w:rsidRPr="0005306A">
              <w:rPr>
                <w:rFonts w:ascii="Times New Roman" w:hAnsi="Times New Roman" w:cs="Times New Roman"/>
                <w:szCs w:val="24"/>
              </w:rPr>
              <w:tab/>
              <w:t>nazwę podmiotu gospodarczego, wobec którego wydano decyzję, o której mowa w art. 68zj ust. 1;</w:t>
            </w:r>
          </w:p>
          <w:p w14:paraId="515ED3B4" w14:textId="77777777" w:rsidR="007702C5" w:rsidRPr="0005306A" w:rsidRDefault="007702C5" w:rsidP="00FD5CD5">
            <w:pPr>
              <w:pStyle w:val="PKTpunkt"/>
              <w:spacing w:line="240" w:lineRule="auto"/>
              <w:ind w:left="1020"/>
              <w:jc w:val="left"/>
              <w:rPr>
                <w:rFonts w:ascii="Times New Roman" w:hAnsi="Times New Roman" w:cs="Times New Roman"/>
                <w:szCs w:val="24"/>
              </w:rPr>
            </w:pPr>
            <w:r w:rsidRPr="0005306A">
              <w:rPr>
                <w:rFonts w:ascii="Times New Roman" w:hAnsi="Times New Roman" w:cs="Times New Roman"/>
                <w:szCs w:val="24"/>
              </w:rPr>
              <w:t>2)</w:t>
            </w:r>
            <w:r w:rsidRPr="0005306A">
              <w:rPr>
                <w:rFonts w:ascii="Times New Roman" w:hAnsi="Times New Roman" w:cs="Times New Roman"/>
                <w:szCs w:val="24"/>
              </w:rPr>
              <w:tab/>
              <w:t>szczegółowe dane dotyczące interfejsu online, do którego dostęp podlega ograniczeniu lub wyłączeniu;</w:t>
            </w:r>
          </w:p>
          <w:p w14:paraId="3DEC9128" w14:textId="77777777" w:rsidR="007702C5" w:rsidRPr="0005306A" w:rsidRDefault="007702C5" w:rsidP="00FD5CD5">
            <w:pPr>
              <w:pStyle w:val="ZUSTzmustartykuempunktem"/>
              <w:keepNext/>
              <w:spacing w:line="240" w:lineRule="auto"/>
              <w:ind w:left="1020" w:hanging="510"/>
              <w:jc w:val="left"/>
              <w:rPr>
                <w:rFonts w:ascii="Times New Roman" w:hAnsi="Times New Roman" w:cs="Times New Roman"/>
                <w:szCs w:val="24"/>
              </w:rPr>
            </w:pPr>
            <w:r w:rsidRPr="0005306A">
              <w:rPr>
                <w:rFonts w:ascii="Times New Roman" w:hAnsi="Times New Roman" w:cs="Times New Roman"/>
                <w:szCs w:val="24"/>
              </w:rPr>
              <w:t>3)</w:t>
            </w:r>
            <w:r w:rsidRPr="0005306A">
              <w:rPr>
                <w:rFonts w:ascii="Times New Roman" w:hAnsi="Times New Roman" w:cs="Times New Roman"/>
                <w:szCs w:val="24"/>
              </w:rPr>
              <w:tab/>
              <w:t>termin wykonania decyzji.</w:t>
            </w:r>
          </w:p>
          <w:p w14:paraId="37899388" w14:textId="77777777" w:rsidR="007702C5" w:rsidRPr="0005306A" w:rsidRDefault="007702C5" w:rsidP="00FD5CD5">
            <w:pPr>
              <w:pStyle w:val="ZUSTzmustartykuempunktem"/>
              <w:tabs>
                <w:tab w:val="left" w:pos="3969"/>
              </w:tabs>
              <w:spacing w:line="240" w:lineRule="auto"/>
              <w:jc w:val="left"/>
              <w:rPr>
                <w:rFonts w:ascii="Times New Roman" w:hAnsi="Times New Roman" w:cs="Times New Roman"/>
                <w:szCs w:val="24"/>
              </w:rPr>
            </w:pPr>
            <w:r w:rsidRPr="0005306A">
              <w:rPr>
                <w:rFonts w:ascii="Times New Roman" w:hAnsi="Times New Roman" w:cs="Times New Roman"/>
                <w:szCs w:val="24"/>
              </w:rPr>
              <w:t xml:space="preserve">10. Decyzje, o których mowa w ust. 6 i 8, podlegają natychmiastowemu  wykonaniu. </w:t>
            </w:r>
          </w:p>
          <w:p w14:paraId="33EDA6BE"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11. Operator platformy oraz dostawca usług społeczeństwa informacyjnego powiadamia Dyrektora TDT jako organ nadzoru rynku o wykonaniu decyzji, o której mowa w ust. 6 i 8, w terminie 14 dni od upływu tego termin wskazanego w tej decyzji.</w:t>
            </w:r>
          </w:p>
          <w:p w14:paraId="3F2294CD" w14:textId="77777777" w:rsidR="007702C5" w:rsidRPr="0005306A" w:rsidRDefault="007702C5" w:rsidP="00FD5CD5">
            <w:pPr>
              <w:pStyle w:val="ZUSTzmustartykuempunktem"/>
              <w:tabs>
                <w:tab w:val="left" w:pos="3969"/>
              </w:tabs>
              <w:spacing w:line="240" w:lineRule="auto"/>
              <w:jc w:val="left"/>
              <w:rPr>
                <w:rFonts w:ascii="Times New Roman" w:hAnsi="Times New Roman" w:cs="Times New Roman"/>
                <w:szCs w:val="24"/>
              </w:rPr>
            </w:pPr>
            <w:r w:rsidRPr="0005306A">
              <w:rPr>
                <w:rFonts w:ascii="Times New Roman" w:hAnsi="Times New Roman" w:cs="Times New Roman"/>
                <w:szCs w:val="24"/>
              </w:rPr>
              <w:t>12. W przypadku, gdy organ nadzoru rynku innego państwa członkowskiego Unii Europejskiej lub Komisja Europejska wyda decyzję o wycofaniu z obrotu lub użytkowania pojazdu, przedmiotu wyposażenia lub części, Dyrektor TDT jako organ nadzoru rynku z urzędu wszczyna postępowanie administracyjne w tej sprawie i wydaje decyzję administracyjną o wycofaniu z obrotu lub użytkowania takiego pojazdu, przedmiotu wyposażenia lub części na terytorium Rzeczypospolitej Polskiej.</w:t>
            </w:r>
          </w:p>
          <w:p w14:paraId="2CB344C8" w14:textId="77777777" w:rsidR="007702C5" w:rsidRPr="0005306A" w:rsidRDefault="007702C5" w:rsidP="00FD5CD5">
            <w:pPr>
              <w:pStyle w:val="ZUSTzmustartykuempunktem"/>
              <w:tabs>
                <w:tab w:val="left" w:pos="3969"/>
              </w:tabs>
              <w:spacing w:line="240" w:lineRule="auto"/>
              <w:jc w:val="left"/>
              <w:rPr>
                <w:rFonts w:ascii="Times New Roman" w:hAnsi="Times New Roman" w:cs="Times New Roman"/>
                <w:szCs w:val="24"/>
              </w:rPr>
            </w:pPr>
            <w:r w:rsidRPr="0005306A">
              <w:rPr>
                <w:rFonts w:ascii="Times New Roman" w:hAnsi="Times New Roman" w:cs="Times New Roman"/>
                <w:szCs w:val="24"/>
              </w:rPr>
              <w:t xml:space="preserve">13. W przypadku, gdy decyzja, o której mowa w art. 68zj ust. 1, dotyczy dystrybutora, środki naprawcze przewidziane w decyzji mają zastosowanie wyłącznie wobec pojazdów, przedmiotów wyposażenia lub części, które zostały przez niego udostępnione na rynku. </w:t>
            </w:r>
          </w:p>
          <w:p w14:paraId="74626AFE" w14:textId="77777777" w:rsidR="007702C5" w:rsidRPr="0005306A" w:rsidRDefault="007702C5" w:rsidP="00FD5CD5">
            <w:pPr>
              <w:suppressAutoHyphens/>
              <w:autoSpaceDE w:val="0"/>
              <w:autoSpaceDN w:val="0"/>
              <w:adjustRightInd w:val="0"/>
              <w:spacing w:after="0" w:line="240" w:lineRule="auto"/>
              <w:ind w:left="510" w:firstLine="510"/>
              <w:rPr>
                <w:rFonts w:ascii="Times New Roman" w:eastAsiaTheme="minorEastAsia" w:hAnsi="Times New Roman" w:cs="Times New Roman"/>
                <w:sz w:val="24"/>
                <w:szCs w:val="24"/>
                <w:lang w:eastAsia="pl-PL"/>
              </w:rPr>
            </w:pPr>
            <w:r w:rsidRPr="0005306A">
              <w:rPr>
                <w:rFonts w:ascii="Times New Roman" w:eastAsiaTheme="minorEastAsia" w:hAnsi="Times New Roman" w:cs="Times New Roman"/>
                <w:sz w:val="24"/>
                <w:szCs w:val="24"/>
                <w:lang w:eastAsia="pl-PL"/>
              </w:rPr>
              <w:t>Art. 68zl. 1. Dyrektor TDT jako organ nadzoru rynku po wydaniu decyzji, o której mowa w art. 68zj ust. 1 lub art. 68zk ust. 12, informuje organ właściwy w sprawach homologacji, który przeprowadził ocenę zgodności pojazdu, przedmiotu wyposażenia lub części, o stwierdzeniu niezgodności z wymaganiami technicznymi lub stwarzaniu przez pojazd, przedmiot wyposażenia lub część poważnego ryzyka, wskazując stwierdzone niezgodności lub ryzyka.</w:t>
            </w:r>
          </w:p>
          <w:p w14:paraId="7EAF9745"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2. Dyrektor TDT jako organ nadzoru rynku powiadamia o wydaniu decyzji, o której mowa w art. 68zj ust. 1 lub art. 68zk ust. 12, w tym podjętych środków naprawczych, opinię publiczną w trybie określonym w art. 68zt oraz przekazuje informację o wydaniu decyzji Komisji Europejskiej oraz organom nadzoru rynku w państwach członkowskich Unii Europejskiej za pomocą systemu Safety Gate oraz systemu ICSMS.</w:t>
            </w:r>
          </w:p>
          <w:p w14:paraId="314B1BCB" w14:textId="77777777" w:rsidR="007702C5" w:rsidRPr="0005306A" w:rsidRDefault="007702C5" w:rsidP="00FD5CD5">
            <w:pPr>
              <w:pStyle w:val="ZARTzmar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3. Dyrektor TDT jako organ nadzoru rynku przekazuje do ewidencji informacje, o wydaniu decyzji, o której mowa w art. 68zj ust. 1 lub art. 68zk ust. 12, w zakresie wycofania pojazdu z obrotu lub użytkowania.</w:t>
            </w:r>
          </w:p>
          <w:p w14:paraId="2975F99D" w14:textId="77777777" w:rsidR="007702C5" w:rsidRPr="0005306A" w:rsidRDefault="007702C5" w:rsidP="00FD5CD5">
            <w:pPr>
              <w:pStyle w:val="ZARTzmar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Art. 68zm. Dyrektor TDT jako organ nadzoru rynku wydaje decyzję o umorzeniu postępowania, o którym mowa w art. 68zj  ust. 1, w przypadku gdy:</w:t>
            </w:r>
          </w:p>
          <w:p w14:paraId="2DF5BEB9"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1)</w:t>
            </w:r>
            <w:r w:rsidRPr="0005306A">
              <w:rPr>
                <w:rFonts w:ascii="Times New Roman" w:hAnsi="Times New Roman" w:cs="Times New Roman"/>
                <w:szCs w:val="24"/>
              </w:rPr>
              <w:tab/>
              <w:t>stwierdzi, że pojazd, przedmiot wyposażenia lub część są zgodne z wymaganiami technicznymi lub nie stwarzają poważnego ryzyka;</w:t>
            </w:r>
          </w:p>
          <w:p w14:paraId="47A28C02"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2)</w:t>
            </w:r>
            <w:r w:rsidRPr="0005306A">
              <w:rPr>
                <w:rFonts w:ascii="Times New Roman" w:hAnsi="Times New Roman" w:cs="Times New Roman"/>
                <w:szCs w:val="24"/>
              </w:rPr>
              <w:tab/>
              <w:t>postępowanie z innych przyczyn stało się bezprzedmiotowe.</w:t>
            </w:r>
          </w:p>
          <w:p w14:paraId="41E20989"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Art. 68zn. W przypadku wydania decyzji, o której mowa w art. 68zj ust. 1, w której stwierdzono, iż pojazd, przedmiot wyposażenia lub część stwarzają poważne ryzyko oraz znajdują się w posiadaniu użytkowników końcowych, Dyrektor TDT jako organ nadzoru rynku publikuje na stronie podmiotowej Transportowego Dozoru Technicznego informację o możliwości zwrotu pojazdu, przedmiotu wyposażenia lub części do podmiotu gospodarczego, który wprowadził do obrotu ten pojazd, przedmiot wyposażenia lub część oraz informację o poważnych ryzykach dotyczących tego pojazdu, przedmiotu wyposażenia lub części.</w:t>
            </w:r>
          </w:p>
          <w:p w14:paraId="17949A53" w14:textId="77777777" w:rsidR="007702C5" w:rsidRPr="0005306A" w:rsidRDefault="007702C5" w:rsidP="00FD5CD5">
            <w:pPr>
              <w:spacing w:after="0" w:line="240" w:lineRule="auto"/>
              <w:ind w:left="510" w:firstLine="510"/>
              <w:rPr>
                <w:rFonts w:ascii="Times New Roman" w:hAnsi="Times New Roman" w:cs="Times New Roman"/>
                <w:sz w:val="24"/>
                <w:szCs w:val="24"/>
              </w:rPr>
            </w:pPr>
            <w:r w:rsidRPr="0005306A">
              <w:rPr>
                <w:rFonts w:ascii="Times New Roman" w:hAnsi="Times New Roman" w:cs="Times New Roman"/>
                <w:sz w:val="24"/>
                <w:szCs w:val="24"/>
              </w:rPr>
              <w:t>Art. 68zo.</w:t>
            </w:r>
            <w:r w:rsidRPr="0005306A">
              <w:rPr>
                <w:rFonts w:ascii="Times New Roman" w:hAnsi="Times New Roman" w:cs="Times New Roman"/>
                <w:b/>
                <w:sz w:val="24"/>
                <w:szCs w:val="24"/>
              </w:rPr>
              <w:t xml:space="preserve"> </w:t>
            </w:r>
            <w:r w:rsidRPr="0005306A">
              <w:rPr>
                <w:rFonts w:ascii="Times New Roman" w:hAnsi="Times New Roman" w:cs="Times New Roman"/>
                <w:sz w:val="24"/>
                <w:szCs w:val="24"/>
              </w:rPr>
              <w:t>Opinie eksperckie, o których mowa art. 68s ust. 1 pkt 5, mogą być sporządzane przez:</w:t>
            </w:r>
          </w:p>
          <w:p w14:paraId="3AF1158E" w14:textId="77777777" w:rsidR="007702C5" w:rsidRPr="0005306A" w:rsidRDefault="007702C5" w:rsidP="00FD5CD5">
            <w:pPr>
              <w:pStyle w:val="ZUSTzmustartykuempunktem"/>
              <w:keepNext/>
              <w:spacing w:line="240" w:lineRule="auto"/>
              <w:ind w:left="1020" w:hanging="510"/>
              <w:jc w:val="left"/>
              <w:rPr>
                <w:rFonts w:ascii="Times New Roman" w:hAnsi="Times New Roman" w:cs="Times New Roman"/>
                <w:szCs w:val="24"/>
              </w:rPr>
            </w:pPr>
            <w:r w:rsidRPr="0005306A">
              <w:rPr>
                <w:rFonts w:ascii="Times New Roman" w:hAnsi="Times New Roman" w:cs="Times New Roman"/>
                <w:szCs w:val="24"/>
              </w:rPr>
              <w:t xml:space="preserve">1) </w:t>
            </w:r>
            <w:r w:rsidRPr="0005306A">
              <w:rPr>
                <w:rFonts w:ascii="Times New Roman" w:hAnsi="Times New Roman" w:cs="Times New Roman"/>
                <w:szCs w:val="24"/>
              </w:rPr>
              <w:tab/>
              <w:t>osoby będące:</w:t>
            </w:r>
          </w:p>
          <w:p w14:paraId="4DD4B34A" w14:textId="77777777" w:rsidR="007702C5" w:rsidRPr="0005306A" w:rsidRDefault="007702C5" w:rsidP="00FD5CD5">
            <w:pPr>
              <w:pStyle w:val="ZLITzmlitartykuempunktem"/>
              <w:spacing w:line="240" w:lineRule="auto"/>
              <w:ind w:left="1418"/>
              <w:jc w:val="left"/>
              <w:rPr>
                <w:rFonts w:ascii="Times New Roman" w:hAnsi="Times New Roman" w:cs="Times New Roman"/>
                <w:szCs w:val="24"/>
              </w:rPr>
            </w:pPr>
            <w:r w:rsidRPr="0005306A">
              <w:rPr>
                <w:rFonts w:ascii="Times New Roman" w:hAnsi="Times New Roman" w:cs="Times New Roman"/>
                <w:szCs w:val="24"/>
              </w:rPr>
              <w:t xml:space="preserve">a) </w:t>
            </w:r>
            <w:r w:rsidRPr="0005306A">
              <w:rPr>
                <w:rFonts w:ascii="Times New Roman" w:hAnsi="Times New Roman" w:cs="Times New Roman"/>
                <w:szCs w:val="24"/>
              </w:rPr>
              <w:tab/>
              <w:t>rzeczoznawcami samochodowymi, o których mowa w art. 79a ustawy z dnia 20 czerwca 1997 r. – Prawo o ruchu drogowym lub biegłymi sądowymi z dziedziny mechanika, maszyny, urządzenia, o którym mowa w art. 157 ustawy z dnia 27 lipca 2001 r. – Prawo o ustroju sądów powszechnych (Dz. U. z 2024 r. poz. 334, z późn. zm.</w:t>
            </w:r>
            <w:r w:rsidRPr="0005306A">
              <w:rPr>
                <w:rStyle w:val="Odwoanieprzypisudolnego"/>
                <w:rFonts w:ascii="Times New Roman" w:hAnsi="Times New Roman"/>
                <w:szCs w:val="24"/>
              </w:rPr>
              <w:footnoteReference w:id="4"/>
            </w:r>
            <w:r w:rsidRPr="0005306A">
              <w:rPr>
                <w:rFonts w:ascii="Times New Roman" w:hAnsi="Times New Roman" w:cs="Times New Roman"/>
                <w:szCs w:val="24"/>
                <w:vertAlign w:val="superscript"/>
              </w:rPr>
              <w:t>)</w:t>
            </w:r>
            <w:r w:rsidRPr="0005306A">
              <w:rPr>
                <w:rFonts w:ascii="Times New Roman" w:hAnsi="Times New Roman" w:cs="Times New Roman"/>
                <w:szCs w:val="24"/>
              </w:rPr>
              <w:t>), oraz</w:t>
            </w:r>
          </w:p>
          <w:p w14:paraId="73EEFB64" w14:textId="77777777" w:rsidR="007702C5" w:rsidRPr="0005306A" w:rsidRDefault="007702C5" w:rsidP="00FD5CD5">
            <w:pPr>
              <w:pStyle w:val="ZLITzmlitartykuempunktem"/>
              <w:spacing w:line="240" w:lineRule="auto"/>
              <w:ind w:left="1418"/>
              <w:jc w:val="left"/>
              <w:rPr>
                <w:rFonts w:ascii="Times New Roman" w:hAnsi="Times New Roman" w:cs="Times New Roman"/>
                <w:szCs w:val="24"/>
              </w:rPr>
            </w:pPr>
            <w:r w:rsidRPr="0005306A">
              <w:rPr>
                <w:rFonts w:ascii="Times New Roman" w:hAnsi="Times New Roman" w:cs="Times New Roman"/>
                <w:szCs w:val="24"/>
              </w:rPr>
              <w:t xml:space="preserve">b)  </w:t>
            </w:r>
            <w:r w:rsidRPr="0005306A">
              <w:rPr>
                <w:rFonts w:ascii="Times New Roman" w:hAnsi="Times New Roman" w:cs="Times New Roman"/>
                <w:szCs w:val="24"/>
              </w:rPr>
              <w:tab/>
              <w:t>posiadające co najmniej 6-letnią praktykę zawodową w dziedzinie związanej z motoryzacją;</w:t>
            </w:r>
          </w:p>
          <w:p w14:paraId="322F1F8B" w14:textId="77777777" w:rsidR="007702C5" w:rsidRPr="0005306A" w:rsidRDefault="007702C5" w:rsidP="00FD5CD5">
            <w:pPr>
              <w:pStyle w:val="PKTpunkt"/>
              <w:spacing w:line="240" w:lineRule="auto"/>
              <w:ind w:left="1020"/>
              <w:jc w:val="left"/>
              <w:rPr>
                <w:rFonts w:ascii="Times New Roman" w:hAnsi="Times New Roman" w:cs="Times New Roman"/>
                <w:szCs w:val="24"/>
              </w:rPr>
            </w:pPr>
            <w:r w:rsidRPr="0005306A">
              <w:rPr>
                <w:rFonts w:ascii="Times New Roman" w:hAnsi="Times New Roman" w:cs="Times New Roman"/>
                <w:szCs w:val="24"/>
              </w:rPr>
              <w:t xml:space="preserve">2) </w:t>
            </w:r>
            <w:r w:rsidRPr="0005306A">
              <w:rPr>
                <w:rFonts w:ascii="Times New Roman" w:hAnsi="Times New Roman" w:cs="Times New Roman"/>
                <w:szCs w:val="24"/>
              </w:rPr>
              <w:tab/>
              <w:t xml:space="preserve">instytuty naukowe lub naukowo-badawcze oraz inne podmioty posiadające specjalistyczną wiedzę w dziedzinie związanej z motoryzacją. </w:t>
            </w:r>
          </w:p>
          <w:p w14:paraId="54D9E6D8"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Art. 68zp. 1. Pojazd, przedmiot wyposażenia lub część pobrana w ramach kontroli lub badań, o których mowa w art. 68za ust. 1 pkt 12 albo art. 68zh ust. 1, lub nabyta w ramach zakupu kontrolnego, o którym mowa w art. 68zg ust. 1, podlega zwrotowi po zakończeniu kontroli lub badań, a jeżeli w związku z ustaleniami z kontroli lub badań zostało wszczęte postępowanie administracyjne, po zakończeniu tego postępowania, jeżeli pojazd, przedmiot wyposażenia lub część nadal mogą być użytkowane zgodnie z przeznaczeniem.</w:t>
            </w:r>
          </w:p>
          <w:p w14:paraId="4679D405"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2. Podmiot gospodarczy lub posiadacz pojazdu, przedmiotu wyposażenia lub części niebędący użytkownikiem końcowym, od którego pobrano lub nabyto pojazd, przedmiot wyposażenia lub część w ramach kontroli, badań lub zakupu kontrolnego, jest obowiązany do przyjęcia zwracanego pojazdu, przedmiotu wyposażenia lub części, a w przypadku zakupu kontrolnego również do zwrotu </w:t>
            </w:r>
            <w:r w:rsidR="008031F8" w:rsidRPr="0005306A">
              <w:rPr>
                <w:rFonts w:ascii="Times New Roman" w:hAnsi="Times New Roman" w:cs="Times New Roman"/>
                <w:szCs w:val="24"/>
              </w:rPr>
              <w:t>za</w:t>
            </w:r>
            <w:r w:rsidRPr="0005306A">
              <w:rPr>
                <w:rFonts w:ascii="Times New Roman" w:hAnsi="Times New Roman" w:cs="Times New Roman"/>
                <w:szCs w:val="24"/>
              </w:rPr>
              <w:t>płaty za zwracany pojazd, przedmiot wyposażenia lub część.</w:t>
            </w:r>
          </w:p>
          <w:p w14:paraId="4AC79EB4"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3. W przypadku zakwalifikowania pojazdu, przedmiotu wyposażenia lub części jako próbki, po zakończeniu kontroli lub badań, o których mowa w art. 68za ust. 1 pkt 12 albo art. 68zh ust. 1, Dyrektor TDT jako organ nadzoru rynku, w drodze postanowienia, rozstrzyga o obowiązku przyjęcia zwracanego pojazdu, przedmiotu wyposażenia lub części, a w przypadku zakupu kontrolnego również o obowiązku zwrotu </w:t>
            </w:r>
            <w:r w:rsidR="008031F8" w:rsidRPr="0005306A">
              <w:rPr>
                <w:rFonts w:ascii="Times New Roman" w:hAnsi="Times New Roman" w:cs="Times New Roman"/>
                <w:szCs w:val="24"/>
              </w:rPr>
              <w:t xml:space="preserve">zapłaty </w:t>
            </w:r>
            <w:r w:rsidRPr="0005306A">
              <w:rPr>
                <w:rFonts w:ascii="Times New Roman" w:hAnsi="Times New Roman" w:cs="Times New Roman"/>
                <w:szCs w:val="24"/>
              </w:rPr>
              <w:t>w określonym terminie opłaty za zwracany pojazd, przedmiot wyposażenia lub część. Na postanowienie, o którym mowa w zdaniu pierwszym służy zażalenie.</w:t>
            </w:r>
          </w:p>
          <w:p w14:paraId="672045E4"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4. W przypadku niezakwalifikowania pojazdu, przedmiotu wyposażenia lub części jako próbki, podlega ona niezwłocznemu zwrotowi.</w:t>
            </w:r>
          </w:p>
          <w:p w14:paraId="5C26283F"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5. W przypadku, o którym mowa w ust. 4, Dyrektor TDT jako organ nadzoru rynku, w drodze postanowienia, rozstrzyga o obowiązku przyjęcia zwracanego pojazdu, przedmiotu wyposażenia lub części, a w przypadku zakupu kontrolnego również o obowiązku zwrotu </w:t>
            </w:r>
            <w:r w:rsidR="008031F8" w:rsidRPr="0005306A">
              <w:rPr>
                <w:rFonts w:ascii="Times New Roman" w:hAnsi="Times New Roman" w:cs="Times New Roman"/>
                <w:szCs w:val="24"/>
              </w:rPr>
              <w:t xml:space="preserve">zapłaty </w:t>
            </w:r>
            <w:r w:rsidRPr="0005306A">
              <w:rPr>
                <w:rFonts w:ascii="Times New Roman" w:hAnsi="Times New Roman" w:cs="Times New Roman"/>
                <w:szCs w:val="24"/>
              </w:rPr>
              <w:t>w określonym terminie opłaty za zwracany pojazd, przedmiot wyposażenia lub część. Na postanowienie, o którym mowa w zdaniu pierwszym, służy zażalenie.</w:t>
            </w:r>
          </w:p>
          <w:p w14:paraId="3EE2F2B8" w14:textId="77777777" w:rsidR="007702C5" w:rsidRPr="0005306A" w:rsidRDefault="007702C5" w:rsidP="00FD5CD5">
            <w:pPr>
              <w:pStyle w:val="ZUSTzmus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Art. 68zr. 1. W przypadku odmowy przyjęcia zwracanego pojazdu, przedmiotu wyposażenia lub części podlega on zniszczeniu, o którym mowa w art. 68zs ust. 1, albo może być przedmiotem:</w:t>
            </w:r>
          </w:p>
          <w:p w14:paraId="23866406"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1)</w:t>
            </w:r>
            <w:r w:rsidRPr="0005306A">
              <w:rPr>
                <w:rFonts w:ascii="Times New Roman" w:hAnsi="Times New Roman" w:cs="Times New Roman"/>
                <w:szCs w:val="24"/>
              </w:rPr>
              <w:tab/>
              <w:t>nieodpłatnego przekazania lub darowizny na rzecz jednostek sektora finansów publicznych lub państwowych osób prawnych, które nie są jednostkami sektora finansów publicznych;</w:t>
            </w:r>
          </w:p>
          <w:p w14:paraId="75B7F239"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2)</w:t>
            </w:r>
            <w:r w:rsidRPr="0005306A">
              <w:rPr>
                <w:rFonts w:ascii="Times New Roman" w:hAnsi="Times New Roman" w:cs="Times New Roman"/>
                <w:szCs w:val="24"/>
              </w:rPr>
              <w:tab/>
              <w:t xml:space="preserve">darowizny na rzecz jednostek organizacyjnych, o których mowa w art. 2 ustawy z dnia 14 grudnia 2016 r. – Prawo oświatowe (Dz. U. </w:t>
            </w:r>
            <w:r w:rsidR="00074CD7" w:rsidRPr="0005306A">
              <w:rPr>
                <w:rFonts w:ascii="Times New Roman" w:hAnsi="Times New Roman" w:cs="Times New Roman"/>
                <w:szCs w:val="24"/>
              </w:rPr>
              <w:t>z 2026 r. poz. 820</w:t>
            </w:r>
            <w:r w:rsidRPr="0005306A">
              <w:rPr>
                <w:rFonts w:ascii="Times New Roman" w:hAnsi="Times New Roman" w:cs="Times New Roman"/>
                <w:szCs w:val="24"/>
              </w:rPr>
              <w:t>), niebędących jednostkami sektora finansów publicznych, oraz fundacji lub organizacji pożytku publicznego, które prowadzą działalność charytatywną, opiekuńczą, kulturalną, leczniczą, oświatową, naukową, badawczo</w:t>
            </w:r>
            <w:r w:rsidRPr="0005306A">
              <w:rPr>
                <w:rFonts w:ascii="Times New Roman" w:hAnsi="Times New Roman" w:cs="Times New Roman"/>
                <w:szCs w:val="24"/>
              </w:rPr>
              <w:noBreakHyphen/>
              <w:t>rozwojową, wychowawczą, sportową lub turystyczną, z przeznaczeniem na realizację ich celów statutowych.</w:t>
            </w:r>
          </w:p>
          <w:p w14:paraId="2CD46FD1" w14:textId="77777777" w:rsidR="007702C5" w:rsidRPr="0005306A" w:rsidRDefault="007702C5" w:rsidP="00FD5CD5">
            <w:pPr>
              <w:pStyle w:val="ZPKTzmpktartykuempunktem"/>
              <w:spacing w:line="240" w:lineRule="auto"/>
              <w:ind w:left="510" w:firstLine="510"/>
              <w:jc w:val="left"/>
              <w:rPr>
                <w:rFonts w:ascii="Times New Roman" w:hAnsi="Times New Roman" w:cs="Times New Roman"/>
                <w:szCs w:val="24"/>
              </w:rPr>
            </w:pPr>
            <w:r w:rsidRPr="0005306A">
              <w:rPr>
                <w:rFonts w:ascii="Times New Roman" w:hAnsi="Times New Roman" w:cs="Times New Roman"/>
                <w:szCs w:val="24"/>
              </w:rPr>
              <w:t>2. Dyrektor TDT jako organ nadzory rynku dokonuje oceny, czy pojazd, przedmiot wyposażenia lub część może być użytkowana zgodnie z przeznaczeniem oraz czy jest zgodna z wymaganiami technicznymi oraz nie stwarza poważnego ryzyka i może zostać przekazana lub darowana podmiotom, o których mowa w ust. 1.</w:t>
            </w:r>
          </w:p>
          <w:p w14:paraId="6CD2692F" w14:textId="77777777" w:rsidR="007702C5" w:rsidRPr="0005306A" w:rsidRDefault="007702C5" w:rsidP="00FD5CD5">
            <w:pPr>
              <w:pStyle w:val="ZPKTzmpktartykuempunktem"/>
              <w:spacing w:line="240" w:lineRule="auto"/>
              <w:ind w:left="510" w:firstLine="510"/>
              <w:jc w:val="left"/>
              <w:rPr>
                <w:rFonts w:ascii="Times New Roman" w:hAnsi="Times New Roman" w:cs="Times New Roman"/>
                <w:szCs w:val="24"/>
              </w:rPr>
            </w:pPr>
            <w:r w:rsidRPr="0005306A">
              <w:rPr>
                <w:rFonts w:ascii="Times New Roman" w:hAnsi="Times New Roman" w:cs="Times New Roman"/>
                <w:szCs w:val="24"/>
              </w:rPr>
              <w:t xml:space="preserve">3. Dyrektor TDT jako organ nadzoru rynku po dokonaniu oceny, o której mowa </w:t>
            </w:r>
            <w:r w:rsidRPr="0005306A">
              <w:rPr>
                <w:rFonts w:ascii="Times New Roman" w:hAnsi="Times New Roman" w:cs="Times New Roman"/>
                <w:szCs w:val="24"/>
              </w:rPr>
              <w:br/>
              <w:t xml:space="preserve">w ust. 2, zamieszcza w Biuletynie Informacji Publicznej Transportowego Dozoru Technicznego informacje o pojazdach, przedmiotach wyposażenia lub częściach, które mogą być przedmiotem przekazania lub darowizny podmiotom, o których mowa </w:t>
            </w:r>
            <w:r w:rsidRPr="0005306A">
              <w:rPr>
                <w:rFonts w:ascii="Times New Roman" w:hAnsi="Times New Roman" w:cs="Times New Roman"/>
                <w:szCs w:val="24"/>
              </w:rPr>
              <w:br/>
              <w:t>w ust. 1.</w:t>
            </w:r>
          </w:p>
          <w:p w14:paraId="5F1A1C1F" w14:textId="77777777" w:rsidR="007702C5" w:rsidRPr="0005306A" w:rsidRDefault="007702C5" w:rsidP="00FD5CD5">
            <w:pPr>
              <w:autoSpaceDE w:val="0"/>
              <w:autoSpaceDN w:val="0"/>
              <w:adjustRightInd w:val="0"/>
              <w:spacing w:after="0" w:line="240" w:lineRule="auto"/>
              <w:ind w:left="510" w:firstLine="510"/>
              <w:rPr>
                <w:rFonts w:ascii="Times New Roman" w:eastAsiaTheme="minorEastAsia" w:hAnsi="Times New Roman" w:cs="Times New Roman"/>
                <w:bCs/>
                <w:sz w:val="24"/>
                <w:szCs w:val="24"/>
                <w:lang w:eastAsia="pl-PL"/>
              </w:rPr>
            </w:pPr>
            <w:r w:rsidRPr="0005306A">
              <w:rPr>
                <w:rFonts w:ascii="Times New Roman" w:eastAsiaTheme="minorEastAsia" w:hAnsi="Times New Roman" w:cs="Times New Roman"/>
                <w:bCs/>
                <w:sz w:val="24"/>
                <w:szCs w:val="24"/>
                <w:lang w:eastAsia="pl-PL"/>
              </w:rPr>
              <w:t>4. Dyrektor TDT dokonuje przekazania lub darowizny pojazdu, przedmiotu wyposażenia lub części podmiotowi, o którym mowa w ust. 1, na podstawie kolejności dokonanych zgłoszeń.</w:t>
            </w:r>
          </w:p>
          <w:p w14:paraId="07B5A868" w14:textId="77777777" w:rsidR="007702C5" w:rsidRPr="0005306A" w:rsidRDefault="007702C5" w:rsidP="00FD5CD5">
            <w:pPr>
              <w:pStyle w:val="ZPKTzmpktartykuempunktem"/>
              <w:spacing w:line="240" w:lineRule="auto"/>
              <w:ind w:left="510" w:firstLine="510"/>
              <w:jc w:val="left"/>
              <w:rPr>
                <w:rFonts w:ascii="Times New Roman" w:hAnsi="Times New Roman" w:cs="Times New Roman"/>
                <w:szCs w:val="24"/>
              </w:rPr>
            </w:pPr>
            <w:r w:rsidRPr="0005306A">
              <w:rPr>
                <w:rFonts w:ascii="Times New Roman" w:hAnsi="Times New Roman" w:cs="Times New Roman"/>
                <w:bCs w:val="0"/>
                <w:szCs w:val="24"/>
              </w:rPr>
              <w:t xml:space="preserve">5. Dyrektor TDT </w:t>
            </w:r>
            <w:r w:rsidRPr="0005306A">
              <w:rPr>
                <w:rFonts w:ascii="Times New Roman" w:hAnsi="Times New Roman" w:cs="Times New Roman"/>
                <w:szCs w:val="24"/>
              </w:rPr>
              <w:t xml:space="preserve">jako organ nadzoru rynku zamieszcza w Biuletynie Informacji Publicznej Transportowego Dozoru Technicznego informacje o przekazaniach lub darowiznach, o których mowa w ust. 1. </w:t>
            </w:r>
          </w:p>
          <w:p w14:paraId="5F0A5AC5" w14:textId="77777777" w:rsidR="007702C5" w:rsidRPr="0005306A" w:rsidRDefault="007702C5" w:rsidP="00FD5CD5">
            <w:pPr>
              <w:pStyle w:val="ZPKTzmpktartykuempunktem"/>
              <w:spacing w:line="240" w:lineRule="auto"/>
              <w:ind w:left="510" w:firstLine="510"/>
              <w:jc w:val="left"/>
              <w:rPr>
                <w:rFonts w:ascii="Times New Roman" w:hAnsi="Times New Roman" w:cs="Times New Roman"/>
                <w:szCs w:val="24"/>
              </w:rPr>
            </w:pPr>
            <w:r w:rsidRPr="0005306A">
              <w:rPr>
                <w:rFonts w:ascii="Times New Roman" w:hAnsi="Times New Roman" w:cs="Times New Roman"/>
                <w:szCs w:val="24"/>
              </w:rPr>
              <w:t xml:space="preserve">6. Do przekazania lub darowizny stosuje się odpowiednio przepisy wydane na podstawie art. 5 ust. 2 ustawy z dnia 16 grudnia 2016 r. o zasadach zarządzania mieniem państwowym (Dz. U. z 2026 r. poz. 373). </w:t>
            </w:r>
          </w:p>
          <w:p w14:paraId="2B49323A" w14:textId="77777777" w:rsidR="007702C5" w:rsidRPr="0005306A" w:rsidRDefault="007702C5" w:rsidP="00FD5CD5">
            <w:pPr>
              <w:pStyle w:val="ZARTzmartartykuempunktem"/>
              <w:keepNext/>
              <w:spacing w:line="240" w:lineRule="auto"/>
              <w:jc w:val="left"/>
              <w:rPr>
                <w:rFonts w:ascii="Times New Roman" w:hAnsi="Times New Roman" w:cs="Times New Roman"/>
                <w:szCs w:val="24"/>
              </w:rPr>
            </w:pPr>
            <w:r w:rsidRPr="0005306A">
              <w:rPr>
                <w:rFonts w:ascii="Times New Roman" w:eastAsiaTheme="minorHAnsi" w:hAnsi="Times New Roman" w:cs="Times New Roman"/>
                <w:szCs w:val="24"/>
              </w:rPr>
              <w:t xml:space="preserve">Art. 68zs. 1. W przypadku wydania przez Dyrektora TDT jako organ nadzoru rynku  decyzji, o której mowa w art. 68zj ust. 1 lub art. 68zk ust. 12, zobowiązującej podmiot gospodarczy, który wprowadził do obrotu lub udostępnił na rynku pojazd, przedmiot wyposażenia lub część do dokonania ich zniszczenia, </w:t>
            </w:r>
            <w:r w:rsidRPr="0005306A">
              <w:rPr>
                <w:rFonts w:ascii="Times New Roman" w:hAnsi="Times New Roman" w:cs="Times New Roman"/>
                <w:szCs w:val="24"/>
              </w:rPr>
              <w:t>zniszczenie to przeprowadza się w zakładzie posiadającym:</w:t>
            </w:r>
          </w:p>
          <w:p w14:paraId="32189BCF" w14:textId="77777777" w:rsidR="007702C5" w:rsidRPr="0005306A" w:rsidRDefault="007702C5" w:rsidP="005E0F9D">
            <w:pPr>
              <w:pStyle w:val="ZPKTzmpktartykuempunktem"/>
              <w:numPr>
                <w:ilvl w:val="0"/>
                <w:numId w:val="14"/>
              </w:numPr>
              <w:spacing w:line="240" w:lineRule="auto"/>
              <w:jc w:val="left"/>
              <w:rPr>
                <w:rFonts w:ascii="Times New Roman" w:hAnsi="Times New Roman" w:cs="Times New Roman"/>
                <w:szCs w:val="24"/>
              </w:rPr>
            </w:pPr>
            <w:r w:rsidRPr="0005306A">
              <w:rPr>
                <w:rFonts w:ascii="Times New Roman" w:hAnsi="Times New Roman" w:cs="Times New Roman"/>
                <w:szCs w:val="24"/>
              </w:rPr>
              <w:t>zezwolenie na prowadzenie stacji demontażu pojazdów, o którym mowa w ustawie z dnia 20 stycznia 2005 r. o recyklingu pojazdów wycofanych z eksploatacji (Dz. U. z 2020 r. poz. 2056 i z 2022 r. poz. 1517), lub</w:t>
            </w:r>
          </w:p>
          <w:p w14:paraId="751E2BA3" w14:textId="77777777" w:rsidR="007702C5" w:rsidRPr="0005306A" w:rsidRDefault="007702C5" w:rsidP="005E0F9D">
            <w:pPr>
              <w:pStyle w:val="ZPKTzmpktartykuempunktem"/>
              <w:numPr>
                <w:ilvl w:val="0"/>
                <w:numId w:val="14"/>
              </w:numPr>
              <w:spacing w:line="240" w:lineRule="auto"/>
              <w:jc w:val="left"/>
              <w:rPr>
                <w:rFonts w:ascii="Times New Roman" w:hAnsi="Times New Roman" w:cs="Times New Roman"/>
                <w:szCs w:val="24"/>
              </w:rPr>
            </w:pPr>
            <w:r w:rsidRPr="0005306A">
              <w:rPr>
                <w:rFonts w:ascii="Times New Roman" w:hAnsi="Times New Roman" w:cs="Times New Roman"/>
                <w:szCs w:val="24"/>
              </w:rPr>
              <w:t>inne uprawnienie wydane przez organ właściwy w zakresie gospodarowania odpadami niebezpiecznymi.</w:t>
            </w:r>
          </w:p>
          <w:p w14:paraId="217D0B72"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2. Zakład, o którym mowa w ust. 1, obowiązany jest stosować technologie zapewniające nieodwracalność zniszczenia pojazdu, przedmiotu wyposażenia lub części oraz wyeliminowanie ich ponownego udostępnienia na rynku.</w:t>
            </w:r>
          </w:p>
          <w:p w14:paraId="552CD860"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3. Zniszczenie pojazdu, przedmiotu wyposażenia lub części odbywa się z zachowaniem przepisów dotyczących ochrony środowiska, w tym w zakresie postępowania z odpadami niebezpiecznymi oraz przepisów bezpieczeństwa i higieny pracy.</w:t>
            </w:r>
          </w:p>
          <w:p w14:paraId="3475AB0D"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4. Zniszczenie pojazdu, przedmiotu wyposażenia lub części odbywa się pod nadzorem Dyrektora TDT jako organu nadzoru rynku, z uwzględnieniem ust. 5.</w:t>
            </w:r>
          </w:p>
          <w:p w14:paraId="212FD2D6"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5. Dyrektor TDT jako organ nadzoru rynku może odstąpić od nadzoru nad zniszczeniem pojazdu,  jeżeli czynności tej dokonują zakłady, o których mowa w ust. 1 pkt 1.</w:t>
            </w:r>
          </w:p>
          <w:p w14:paraId="42B82FA9"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6. Dyrektor TDT jako organ nadzoru rynku może zezwolić na przemieszczenie pojazdu, przedmiotu wyposażenia lub części objętego obowiązkiem zniszczenia, pod nadzorem Dyrektora TDT jako organu nadzoru rynku między różnymi miejscami na obszarze państw członkowskich Unii Europejskiej w celu ich zniszczenia pod nadzorem organów nadzoru rynku innego państwa członkowskiego Unii Europejskiej.</w:t>
            </w:r>
          </w:p>
          <w:p w14:paraId="2F095105"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7. Zakład, o którym mowa w ust. 1, sporządza protokół ze zniszczenia zawierający:</w:t>
            </w:r>
          </w:p>
          <w:p w14:paraId="1375F281" w14:textId="77777777" w:rsidR="007702C5" w:rsidRPr="0005306A" w:rsidRDefault="007702C5" w:rsidP="005E0F9D">
            <w:pPr>
              <w:pStyle w:val="ZPKTzmpktartykuempunktem"/>
              <w:numPr>
                <w:ilvl w:val="0"/>
                <w:numId w:val="14"/>
              </w:numPr>
              <w:spacing w:line="240" w:lineRule="auto"/>
              <w:jc w:val="left"/>
              <w:rPr>
                <w:rFonts w:ascii="Times New Roman" w:hAnsi="Times New Roman" w:cs="Times New Roman"/>
                <w:szCs w:val="24"/>
              </w:rPr>
            </w:pPr>
            <w:r w:rsidRPr="0005306A">
              <w:rPr>
                <w:rFonts w:ascii="Times New Roman" w:hAnsi="Times New Roman" w:cs="Times New Roman"/>
                <w:szCs w:val="24"/>
              </w:rPr>
              <w:t>nazwę i adres zakładu;</w:t>
            </w:r>
          </w:p>
          <w:p w14:paraId="2EE4EF7E" w14:textId="77777777" w:rsidR="007702C5" w:rsidRPr="0005306A" w:rsidRDefault="007702C5" w:rsidP="005E0F9D">
            <w:pPr>
              <w:pStyle w:val="ZPKTzmpktartykuempunktem"/>
              <w:numPr>
                <w:ilvl w:val="0"/>
                <w:numId w:val="14"/>
              </w:numPr>
              <w:spacing w:line="240" w:lineRule="auto"/>
              <w:jc w:val="left"/>
              <w:rPr>
                <w:rFonts w:ascii="Times New Roman" w:hAnsi="Times New Roman" w:cs="Times New Roman"/>
                <w:szCs w:val="24"/>
              </w:rPr>
            </w:pPr>
            <w:r w:rsidRPr="0005306A">
              <w:rPr>
                <w:rFonts w:ascii="Times New Roman" w:hAnsi="Times New Roman" w:cs="Times New Roman"/>
                <w:szCs w:val="24"/>
              </w:rPr>
              <w:t>datę i miejsce zniszczenia;</w:t>
            </w:r>
          </w:p>
          <w:p w14:paraId="1FC48A32" w14:textId="77777777" w:rsidR="007702C5" w:rsidRPr="0005306A" w:rsidRDefault="007702C5" w:rsidP="005E0F9D">
            <w:pPr>
              <w:pStyle w:val="ZPKTzmpktartykuempunktem"/>
              <w:numPr>
                <w:ilvl w:val="0"/>
                <w:numId w:val="14"/>
              </w:numPr>
              <w:spacing w:line="240" w:lineRule="auto"/>
              <w:jc w:val="left"/>
              <w:rPr>
                <w:rFonts w:ascii="Times New Roman" w:hAnsi="Times New Roman" w:cs="Times New Roman"/>
                <w:szCs w:val="24"/>
              </w:rPr>
            </w:pPr>
            <w:r w:rsidRPr="0005306A">
              <w:rPr>
                <w:rFonts w:ascii="Times New Roman" w:hAnsi="Times New Roman" w:cs="Times New Roman"/>
                <w:szCs w:val="24"/>
              </w:rPr>
              <w:t>nazwę i adres podmiotu gospodarczego zlecającego zniszczenie;</w:t>
            </w:r>
          </w:p>
          <w:p w14:paraId="51F65656" w14:textId="77777777" w:rsidR="007702C5" w:rsidRPr="0005306A" w:rsidRDefault="007702C5" w:rsidP="005E0F9D">
            <w:pPr>
              <w:pStyle w:val="ZPKTzmpktartykuempunktem"/>
              <w:numPr>
                <w:ilvl w:val="0"/>
                <w:numId w:val="14"/>
              </w:numPr>
              <w:spacing w:line="240" w:lineRule="auto"/>
              <w:jc w:val="left"/>
              <w:rPr>
                <w:rFonts w:ascii="Times New Roman" w:hAnsi="Times New Roman" w:cs="Times New Roman"/>
                <w:szCs w:val="24"/>
              </w:rPr>
            </w:pPr>
            <w:r w:rsidRPr="0005306A">
              <w:rPr>
                <w:rFonts w:ascii="Times New Roman" w:hAnsi="Times New Roman" w:cs="Times New Roman"/>
                <w:szCs w:val="24"/>
              </w:rPr>
              <w:t>oznaczenie pojazdu, przedmiotu wyposażenia lub części, w tym numer VIN lub inny numer umożliwiający identyfikację pojazdu, przedmiotu wyposażenia lub części;</w:t>
            </w:r>
          </w:p>
          <w:p w14:paraId="725B0797" w14:textId="77777777" w:rsidR="007702C5" w:rsidRPr="0005306A" w:rsidRDefault="007702C5" w:rsidP="005E0F9D">
            <w:pPr>
              <w:pStyle w:val="ZPKTzmpktartykuempunktem"/>
              <w:numPr>
                <w:ilvl w:val="0"/>
                <w:numId w:val="14"/>
              </w:numPr>
              <w:spacing w:line="240" w:lineRule="auto"/>
              <w:jc w:val="left"/>
              <w:rPr>
                <w:rFonts w:ascii="Times New Roman" w:hAnsi="Times New Roman" w:cs="Times New Roman"/>
                <w:szCs w:val="24"/>
              </w:rPr>
            </w:pPr>
            <w:r w:rsidRPr="0005306A">
              <w:rPr>
                <w:rFonts w:ascii="Times New Roman" w:hAnsi="Times New Roman" w:cs="Times New Roman"/>
                <w:szCs w:val="24"/>
              </w:rPr>
              <w:t>liczbę oraz wagę zniszczonych pojazdów, przedmiotów wyposażenia lub części;</w:t>
            </w:r>
          </w:p>
          <w:p w14:paraId="293F30B4" w14:textId="77777777" w:rsidR="007702C5" w:rsidRPr="0005306A" w:rsidRDefault="007702C5" w:rsidP="005E0F9D">
            <w:pPr>
              <w:pStyle w:val="ZPKTzmpktartykuempunktem"/>
              <w:numPr>
                <w:ilvl w:val="0"/>
                <w:numId w:val="14"/>
              </w:numPr>
              <w:spacing w:line="240" w:lineRule="auto"/>
              <w:jc w:val="left"/>
              <w:rPr>
                <w:rFonts w:ascii="Times New Roman" w:hAnsi="Times New Roman" w:cs="Times New Roman"/>
                <w:szCs w:val="24"/>
              </w:rPr>
            </w:pPr>
            <w:r w:rsidRPr="0005306A">
              <w:rPr>
                <w:rFonts w:ascii="Times New Roman" w:hAnsi="Times New Roman" w:cs="Times New Roman"/>
                <w:szCs w:val="24"/>
              </w:rPr>
              <w:t>opis zastosowanej metody zniszczenia;</w:t>
            </w:r>
          </w:p>
          <w:p w14:paraId="783C452D" w14:textId="77777777" w:rsidR="007702C5" w:rsidRPr="0005306A" w:rsidRDefault="007702C5" w:rsidP="005E0F9D">
            <w:pPr>
              <w:pStyle w:val="ZPKTzmpktartykuempunktem"/>
              <w:numPr>
                <w:ilvl w:val="0"/>
                <w:numId w:val="14"/>
              </w:numPr>
              <w:spacing w:line="240" w:lineRule="auto"/>
              <w:jc w:val="left"/>
              <w:rPr>
                <w:rFonts w:ascii="Times New Roman" w:hAnsi="Times New Roman" w:cs="Times New Roman"/>
                <w:szCs w:val="24"/>
              </w:rPr>
            </w:pPr>
            <w:r w:rsidRPr="0005306A">
              <w:rPr>
                <w:rFonts w:ascii="Times New Roman" w:hAnsi="Times New Roman" w:cs="Times New Roman"/>
                <w:szCs w:val="24"/>
              </w:rPr>
              <w:t>podpis osoby odpowiedzialnej za przeprowadzenie zniszczenia.</w:t>
            </w:r>
          </w:p>
          <w:p w14:paraId="3B36BCBE"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8. Protokół, o którym mowa w ust. 7, przekazywany jest w terminie 7 dni od dnia zniszczenia:</w:t>
            </w:r>
          </w:p>
          <w:p w14:paraId="3DF3A65B" w14:textId="77777777" w:rsidR="007702C5" w:rsidRPr="0005306A" w:rsidRDefault="007702C5" w:rsidP="005E0F9D">
            <w:pPr>
              <w:pStyle w:val="ZPKTzmpktartykuempunktem"/>
              <w:numPr>
                <w:ilvl w:val="0"/>
                <w:numId w:val="14"/>
              </w:numPr>
              <w:spacing w:line="240" w:lineRule="auto"/>
              <w:jc w:val="left"/>
              <w:rPr>
                <w:rFonts w:ascii="Times New Roman" w:hAnsi="Times New Roman" w:cs="Times New Roman"/>
                <w:szCs w:val="24"/>
              </w:rPr>
            </w:pPr>
            <w:r w:rsidRPr="0005306A">
              <w:rPr>
                <w:rFonts w:ascii="Times New Roman" w:hAnsi="Times New Roman" w:cs="Times New Roman"/>
                <w:szCs w:val="24"/>
              </w:rPr>
              <w:t>Dyrektorowi Transportowego Dozoru Technicznego jako organowi nadzoru rynku – w celu potwierdzenia wykonania decyzji,</w:t>
            </w:r>
            <w:r w:rsidRPr="0005306A">
              <w:rPr>
                <w:rFonts w:ascii="Times New Roman" w:eastAsiaTheme="minorHAnsi" w:hAnsi="Times New Roman" w:cs="Times New Roman"/>
                <w:szCs w:val="24"/>
              </w:rPr>
              <w:t xml:space="preserve"> o której mowa w art. 68zj ust. 1 w zakresie art. 68zk ust. 2 pkt 3 lub art. 68zk ust. 12</w:t>
            </w:r>
            <w:r w:rsidRPr="0005306A">
              <w:rPr>
                <w:rFonts w:ascii="Times New Roman" w:hAnsi="Times New Roman" w:cs="Times New Roman"/>
                <w:szCs w:val="24"/>
              </w:rPr>
              <w:t>;</w:t>
            </w:r>
          </w:p>
          <w:p w14:paraId="4741C906" w14:textId="77777777" w:rsidR="007702C5" w:rsidRPr="0005306A" w:rsidRDefault="007702C5" w:rsidP="005E0F9D">
            <w:pPr>
              <w:pStyle w:val="ZPKTzmpktartykuempunktem"/>
              <w:numPr>
                <w:ilvl w:val="0"/>
                <w:numId w:val="14"/>
              </w:numPr>
              <w:spacing w:line="240" w:lineRule="auto"/>
              <w:jc w:val="left"/>
              <w:rPr>
                <w:rFonts w:ascii="Times New Roman" w:hAnsi="Times New Roman" w:cs="Times New Roman"/>
                <w:szCs w:val="24"/>
              </w:rPr>
            </w:pPr>
            <w:r w:rsidRPr="0005306A">
              <w:rPr>
                <w:rFonts w:ascii="Times New Roman" w:hAnsi="Times New Roman" w:cs="Times New Roman"/>
                <w:szCs w:val="24"/>
              </w:rPr>
              <w:t>podmiotowi gospodarczemu, na którego nałożono obowiązek wykonania decyzji,</w:t>
            </w:r>
            <w:r w:rsidRPr="0005306A">
              <w:rPr>
                <w:rFonts w:ascii="Times New Roman" w:eastAsiaTheme="minorHAnsi" w:hAnsi="Times New Roman" w:cs="Times New Roman"/>
                <w:szCs w:val="24"/>
              </w:rPr>
              <w:t xml:space="preserve"> o której mowa w art. 68zj ust. 1 w zakresie art. 68zk ust. 2 pkt 3 lub art. 68zk ust. 12</w:t>
            </w:r>
            <w:r w:rsidRPr="0005306A">
              <w:rPr>
                <w:rFonts w:ascii="Times New Roman" w:hAnsi="Times New Roman" w:cs="Times New Roman"/>
                <w:szCs w:val="24"/>
              </w:rPr>
              <w:t>.</w:t>
            </w:r>
          </w:p>
          <w:p w14:paraId="41C9CE76"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9. Podmiot gospodarczy, o którym mowa w ust. 1, informuje Dyrektora TDT jako organ nadzoru rynku o wykonaniu decyzji, o której mowa w art. 68zj ust. 1</w:t>
            </w:r>
            <w:r w:rsidRPr="0005306A">
              <w:rPr>
                <w:rFonts w:ascii="Times New Roman" w:eastAsiaTheme="minorHAnsi" w:hAnsi="Times New Roman" w:cs="Times New Roman"/>
                <w:szCs w:val="24"/>
              </w:rPr>
              <w:t xml:space="preserve"> lub art. 68zk ust. 12, w zakresie </w:t>
            </w:r>
            <w:r w:rsidRPr="0005306A">
              <w:rPr>
                <w:rFonts w:ascii="Times New Roman" w:hAnsi="Times New Roman" w:cs="Times New Roman"/>
                <w:szCs w:val="24"/>
              </w:rPr>
              <w:t xml:space="preserve">zniszczenia pojazdu, przedmiotu wyposażenia lub części, w terminie 14 dni od dnia upływu terminu wskazanego w tej decyzji. </w:t>
            </w:r>
          </w:p>
          <w:p w14:paraId="76025231" w14:textId="77777777" w:rsidR="007702C5" w:rsidRPr="0005306A" w:rsidRDefault="00CF3C6A" w:rsidP="00FD5CD5">
            <w:pPr>
              <w:pStyle w:val="ZUSTzmustartykuempunktem"/>
              <w:spacing w:line="240" w:lineRule="auto"/>
              <w:jc w:val="left"/>
              <w:rPr>
                <w:rFonts w:ascii="Times New Roman" w:hAnsi="Times New Roman" w:cs="Times New Roman"/>
                <w:szCs w:val="24"/>
              </w:rPr>
            </w:pPr>
            <w:r w:rsidRPr="0005306A">
              <w:t xml:space="preserve">10. W przypadku gdy podmiot gospodarczy nie wykonał decyzji, o której mowa w art. 68zj lub art. 68zk ust. 12, </w:t>
            </w:r>
            <w:r w:rsidRPr="0005306A">
              <w:rPr>
                <w:rFonts w:eastAsiaTheme="minorHAnsi"/>
              </w:rPr>
              <w:t>w zakresie zniszczenia w terminie określonym w tej decyzji pojazdu, przedmiotu wyposażenia lub części</w:t>
            </w:r>
            <w:r w:rsidRPr="0005306A">
              <w:t>, Dyrektor TDT jako organ nadzoru rynku ma prawo wstępu na teren nieruchomości, obiektu, lokalu lub ich części tego podmiotu gospodarczego celem odebrania mu pojazdu, przedmiotu wyposażenia lub części objętego decyzją i dokonania ich zniszczenia na koszt tego podmiotu. Przepisy art. 68zd stosuje się odpowiednio.</w:t>
            </w:r>
          </w:p>
          <w:p w14:paraId="52180D06"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11. Dyrektor TDT jako organ nadzoru rynku w drodze decyzji administracyjnej określa wysokość oraz termin uiszczenia opłaty stanowiącej równowartość kosztów zniszczenia pojazdu, wyposażenia lub części oraz innych poniesionych przez Dyrektora TDT kosztów związanych z ich zniszczeniem, w tym kosztów transportu i przechowywania. </w:t>
            </w:r>
          </w:p>
          <w:p w14:paraId="7FB87651"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12. Opłata, o której mowa w ust. 11, stanowi przychód Dyrektora TDT jako organu nadzoru rynku. </w:t>
            </w:r>
          </w:p>
          <w:p w14:paraId="62A00B24" w14:textId="77777777" w:rsidR="007702C5" w:rsidRPr="0005306A" w:rsidRDefault="007702C5" w:rsidP="00FD5CD5">
            <w:pPr>
              <w:pStyle w:val="ZARTzmar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 xml:space="preserve">13. Minister właściwy do spraw transportu określi, w drodze rozporządzenia, wzór protokołu ze zniszczenia pojazdu, przedmiotu wyposażenia lub części, mając na względzie jednolitość dokumentacji i danych w nich zawartych. </w:t>
            </w:r>
          </w:p>
          <w:p w14:paraId="30D85EE3" w14:textId="77777777" w:rsidR="007702C5" w:rsidRPr="0005306A" w:rsidRDefault="007702C5" w:rsidP="00FD5CD5">
            <w:pPr>
              <w:pStyle w:val="ZARTzmar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Art. 68zt. 1. Dyrektor TDT jako organ nadzoru rynku podaje do publicznej wiadomości, w tym poprzez publikację na stronie podmiotowej Transportowego Dozoru Technicznego:</w:t>
            </w:r>
          </w:p>
          <w:p w14:paraId="77BCF923"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1)</w:t>
            </w:r>
            <w:r w:rsidRPr="0005306A">
              <w:rPr>
                <w:rFonts w:ascii="Times New Roman" w:hAnsi="Times New Roman" w:cs="Times New Roman"/>
                <w:szCs w:val="24"/>
              </w:rPr>
              <w:tab/>
              <w:t>komunikaty i ostrzeżenia dotyczące pojazdów, przedmiotów wyposażenia lub części, które są niezgodne z wymaganiami technicznymi lub stwarzają poważne ryzyko;</w:t>
            </w:r>
          </w:p>
          <w:p w14:paraId="27AEA947" w14:textId="77777777" w:rsidR="007702C5" w:rsidRPr="0005306A" w:rsidRDefault="007702C5" w:rsidP="00FD5CD5">
            <w:pPr>
              <w:pStyle w:val="ZPKTzmpk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2)</w:t>
            </w:r>
            <w:r w:rsidRPr="0005306A">
              <w:rPr>
                <w:rFonts w:ascii="Times New Roman" w:hAnsi="Times New Roman" w:cs="Times New Roman"/>
                <w:szCs w:val="24"/>
              </w:rPr>
              <w:tab/>
              <w:t>informacje o przeprowadzonych kontrolach i ich wynikach zawierające dane identyfikujące:</w:t>
            </w:r>
          </w:p>
          <w:p w14:paraId="72A0E27B" w14:textId="77777777" w:rsidR="007702C5" w:rsidRPr="0005306A" w:rsidRDefault="007702C5" w:rsidP="00FD5CD5">
            <w:pPr>
              <w:pStyle w:val="ZLITwPKTzmlitwpktartykuempunktem"/>
              <w:spacing w:line="240" w:lineRule="auto"/>
              <w:jc w:val="left"/>
              <w:rPr>
                <w:rFonts w:ascii="Times New Roman" w:hAnsi="Times New Roman" w:cs="Times New Roman"/>
                <w:szCs w:val="24"/>
              </w:rPr>
            </w:pPr>
            <w:r w:rsidRPr="0005306A">
              <w:rPr>
                <w:rFonts w:ascii="Times New Roman" w:hAnsi="Times New Roman" w:cs="Times New Roman"/>
                <w:szCs w:val="24"/>
              </w:rPr>
              <w:t>a)</w:t>
            </w:r>
            <w:r w:rsidRPr="0005306A">
              <w:rPr>
                <w:rFonts w:ascii="Times New Roman" w:hAnsi="Times New Roman" w:cs="Times New Roman"/>
                <w:szCs w:val="24"/>
              </w:rPr>
              <w:tab/>
              <w:t>podmiot gospodarczy udostępniający na rynku pojazd, przedmiot wyposażenia lub część  w zakresie nazwy i adresu siedziby,</w:t>
            </w:r>
          </w:p>
          <w:p w14:paraId="211D72C9" w14:textId="77777777" w:rsidR="007702C5" w:rsidRPr="0005306A" w:rsidRDefault="007702C5" w:rsidP="00FD5CD5">
            <w:pPr>
              <w:pStyle w:val="ZLITwPKTzmlitwpktartykuempunktem"/>
              <w:spacing w:line="240" w:lineRule="auto"/>
              <w:jc w:val="left"/>
              <w:rPr>
                <w:rFonts w:ascii="Times New Roman" w:hAnsi="Times New Roman" w:cs="Times New Roman"/>
                <w:szCs w:val="24"/>
              </w:rPr>
            </w:pPr>
            <w:r w:rsidRPr="0005306A">
              <w:rPr>
                <w:rFonts w:ascii="Times New Roman" w:hAnsi="Times New Roman" w:cs="Times New Roman"/>
                <w:szCs w:val="24"/>
              </w:rPr>
              <w:t>b)</w:t>
            </w:r>
            <w:r w:rsidRPr="0005306A">
              <w:rPr>
                <w:rFonts w:ascii="Times New Roman" w:hAnsi="Times New Roman" w:cs="Times New Roman"/>
                <w:szCs w:val="24"/>
              </w:rPr>
              <w:tab/>
              <w:t>pojazd, przedmiot wyposażenia lub część</w:t>
            </w:r>
            <w:r w:rsidRPr="0005306A" w:rsidDel="00A31BBF">
              <w:rPr>
                <w:rFonts w:ascii="Times New Roman" w:hAnsi="Times New Roman" w:cs="Times New Roman"/>
                <w:szCs w:val="24"/>
              </w:rPr>
              <w:t xml:space="preserve"> </w:t>
            </w:r>
            <w:r w:rsidRPr="0005306A">
              <w:rPr>
                <w:rFonts w:ascii="Times New Roman" w:hAnsi="Times New Roman" w:cs="Times New Roman"/>
                <w:szCs w:val="24"/>
              </w:rPr>
              <w:t>poddany kontroli oraz ich producenta – w zakresie jego nazwy i adresu siedziby;</w:t>
            </w:r>
          </w:p>
          <w:p w14:paraId="01C9444B"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3)</w:t>
            </w:r>
            <w:r w:rsidRPr="0005306A">
              <w:rPr>
                <w:rFonts w:ascii="Times New Roman" w:hAnsi="Times New Roman" w:cs="Times New Roman"/>
                <w:szCs w:val="24"/>
              </w:rPr>
              <w:tab/>
              <w:t>decyzje, o których mowa w 68zj ust. 1 lub art. 68zk ust, 12, ze wskazaniem czy decyzja jest prawomocna, pomijając informacje stanowiące tajemnice podlegające ochronie na podstawie przepisów odrębnych.</w:t>
            </w:r>
          </w:p>
          <w:p w14:paraId="214D985C" w14:textId="77777777" w:rsidR="007702C5" w:rsidRPr="0005306A" w:rsidRDefault="007702C5" w:rsidP="00FD5CD5">
            <w:pPr>
              <w:spacing w:after="0" w:line="240" w:lineRule="auto"/>
              <w:ind w:left="510" w:firstLine="510"/>
              <w:rPr>
                <w:rFonts w:ascii="Times New Roman" w:hAnsi="Times New Roman" w:cs="Times New Roman"/>
                <w:sz w:val="24"/>
                <w:szCs w:val="24"/>
              </w:rPr>
            </w:pPr>
            <w:r w:rsidRPr="0005306A">
              <w:rPr>
                <w:rFonts w:ascii="Times New Roman" w:hAnsi="Times New Roman" w:cs="Times New Roman"/>
                <w:sz w:val="24"/>
                <w:szCs w:val="24"/>
              </w:rPr>
              <w:t>2. W przypadku, gdy podmiotem którego dotyczy publikacja, o której mowa w ust. 1 pkt 2 lub 3, jest osoba fizyczna wykonująca działalność gospodarczą, dane identyfikujące ten podmiot, obejmują firmę i miejsce wykonywania działalności gospodarczej.</w:t>
            </w:r>
          </w:p>
          <w:p w14:paraId="38DAD439" w14:textId="77777777" w:rsidR="007702C5" w:rsidRPr="0005306A" w:rsidRDefault="007702C5" w:rsidP="00FD5CD5">
            <w:pPr>
              <w:pStyle w:val="ZARTzmartartykuempunktem"/>
              <w:spacing w:line="240" w:lineRule="auto"/>
              <w:jc w:val="left"/>
              <w:rPr>
                <w:rFonts w:ascii="Times New Roman" w:hAnsi="Times New Roman" w:cs="Times New Roman"/>
                <w:szCs w:val="24"/>
              </w:rPr>
            </w:pPr>
            <w:r w:rsidRPr="0005306A">
              <w:rPr>
                <w:rFonts w:ascii="Times New Roman" w:hAnsi="Times New Roman" w:cs="Times New Roman"/>
                <w:szCs w:val="24"/>
              </w:rPr>
              <w:t>3. Dyrektor TDT jako organ nadzoru rynku prowadzi wykaz pojazdów, przedmiotów wyposażenia oraz części niezgodnych z wymaganiami technicznymi lub które stwarzają poważne ryzyko, zwany dalej „wykazem niezgodności”, oraz wykaz akcji serwisowych, zwany dalej „wykazem akcji”.</w:t>
            </w:r>
          </w:p>
          <w:p w14:paraId="3E0C4E2C" w14:textId="77777777" w:rsidR="007702C5" w:rsidRPr="0005306A" w:rsidRDefault="007702C5" w:rsidP="00FD5CD5">
            <w:pPr>
              <w:pStyle w:val="ZARTzmartartykuempunktem"/>
              <w:spacing w:line="240" w:lineRule="auto"/>
              <w:jc w:val="left"/>
              <w:rPr>
                <w:rFonts w:ascii="Times New Roman" w:hAnsi="Times New Roman" w:cs="Times New Roman"/>
                <w:szCs w:val="24"/>
              </w:rPr>
            </w:pPr>
            <w:r w:rsidRPr="0005306A">
              <w:rPr>
                <w:rFonts w:ascii="Times New Roman" w:hAnsi="Times New Roman" w:cs="Times New Roman"/>
                <w:szCs w:val="24"/>
              </w:rPr>
              <w:t>4. W wykazie niezgodności</w:t>
            </w:r>
            <w:r w:rsidRPr="0005306A" w:rsidDel="00F720AF">
              <w:rPr>
                <w:rFonts w:ascii="Times New Roman" w:hAnsi="Times New Roman" w:cs="Times New Roman"/>
                <w:szCs w:val="24"/>
              </w:rPr>
              <w:t xml:space="preserve"> </w:t>
            </w:r>
            <w:r w:rsidRPr="0005306A">
              <w:rPr>
                <w:rFonts w:ascii="Times New Roman" w:hAnsi="Times New Roman" w:cs="Times New Roman"/>
                <w:szCs w:val="24"/>
              </w:rPr>
              <w:t>są gromadzone:</w:t>
            </w:r>
          </w:p>
          <w:p w14:paraId="791FC20D" w14:textId="77777777" w:rsidR="007702C5" w:rsidRPr="0005306A" w:rsidRDefault="007702C5" w:rsidP="00FD5CD5">
            <w:pPr>
              <w:pStyle w:val="ZARTzmartartykuempunktem"/>
              <w:spacing w:line="240" w:lineRule="auto"/>
              <w:ind w:left="1020" w:hanging="510"/>
              <w:jc w:val="left"/>
              <w:rPr>
                <w:rFonts w:ascii="Times New Roman" w:hAnsi="Times New Roman" w:cs="Times New Roman"/>
                <w:szCs w:val="24"/>
              </w:rPr>
            </w:pPr>
            <w:r w:rsidRPr="0005306A">
              <w:rPr>
                <w:rFonts w:ascii="Times New Roman" w:hAnsi="Times New Roman" w:cs="Times New Roman"/>
                <w:szCs w:val="24"/>
              </w:rPr>
              <w:t>1)</w:t>
            </w:r>
            <w:r w:rsidRPr="0005306A">
              <w:rPr>
                <w:rFonts w:ascii="Times New Roman" w:hAnsi="Times New Roman" w:cs="Times New Roman"/>
                <w:szCs w:val="24"/>
              </w:rPr>
              <w:tab/>
              <w:t>dane umożliwiające identyfikację pojazdu, przedmiotu wyposażenia lub części;</w:t>
            </w:r>
          </w:p>
          <w:p w14:paraId="52646548" w14:textId="77777777" w:rsidR="007702C5" w:rsidRPr="0005306A" w:rsidRDefault="007702C5" w:rsidP="00FD5CD5">
            <w:pPr>
              <w:pStyle w:val="ZARTzmartartykuempunktem"/>
              <w:spacing w:line="240" w:lineRule="auto"/>
              <w:ind w:left="1020" w:hanging="510"/>
              <w:jc w:val="left"/>
              <w:rPr>
                <w:rFonts w:ascii="Times New Roman" w:hAnsi="Times New Roman" w:cs="Times New Roman"/>
                <w:szCs w:val="24"/>
              </w:rPr>
            </w:pPr>
            <w:r w:rsidRPr="0005306A">
              <w:rPr>
                <w:rFonts w:ascii="Times New Roman" w:hAnsi="Times New Roman" w:cs="Times New Roman"/>
                <w:szCs w:val="24"/>
              </w:rPr>
              <w:t>2)</w:t>
            </w:r>
            <w:r w:rsidRPr="0005306A">
              <w:rPr>
                <w:rFonts w:ascii="Times New Roman" w:hAnsi="Times New Roman" w:cs="Times New Roman"/>
                <w:szCs w:val="24"/>
              </w:rPr>
              <w:tab/>
              <w:t>informacje o:</w:t>
            </w:r>
          </w:p>
          <w:p w14:paraId="708E5F08" w14:textId="77777777" w:rsidR="007702C5" w:rsidRPr="0005306A" w:rsidRDefault="007702C5" w:rsidP="00FD5CD5">
            <w:pPr>
              <w:pStyle w:val="ZARTzmartartykuempunktem"/>
              <w:spacing w:line="240" w:lineRule="auto"/>
              <w:ind w:left="1497" w:hanging="476"/>
              <w:jc w:val="left"/>
              <w:rPr>
                <w:rFonts w:ascii="Times New Roman" w:hAnsi="Times New Roman" w:cs="Times New Roman"/>
                <w:szCs w:val="24"/>
              </w:rPr>
            </w:pPr>
            <w:r w:rsidRPr="0005306A">
              <w:rPr>
                <w:rFonts w:ascii="Times New Roman" w:hAnsi="Times New Roman" w:cs="Times New Roman"/>
                <w:szCs w:val="24"/>
              </w:rPr>
              <w:t>a)</w:t>
            </w:r>
            <w:r w:rsidRPr="0005306A">
              <w:rPr>
                <w:rFonts w:ascii="Times New Roman" w:hAnsi="Times New Roman" w:cs="Times New Roman"/>
                <w:szCs w:val="24"/>
              </w:rPr>
              <w:tab/>
              <w:t>rodzaju i zakresie niezgodności z wymaganiami technicznymi lub stwarzanym poważnym ryzykiem przez pojazd, przedmiot wyposażenia lub część,</w:t>
            </w:r>
          </w:p>
          <w:p w14:paraId="20E0BAFB" w14:textId="77777777" w:rsidR="007702C5" w:rsidRPr="0005306A" w:rsidRDefault="007702C5" w:rsidP="00FD5CD5">
            <w:pPr>
              <w:pStyle w:val="ZARTzmartartykuempunktem"/>
              <w:spacing w:line="240" w:lineRule="auto"/>
              <w:ind w:left="1497" w:hanging="476"/>
              <w:jc w:val="left"/>
              <w:rPr>
                <w:rFonts w:ascii="Times New Roman" w:hAnsi="Times New Roman" w:cs="Times New Roman"/>
                <w:szCs w:val="24"/>
              </w:rPr>
            </w:pPr>
            <w:r w:rsidRPr="0005306A">
              <w:rPr>
                <w:rFonts w:ascii="Times New Roman" w:hAnsi="Times New Roman" w:cs="Times New Roman"/>
                <w:szCs w:val="24"/>
              </w:rPr>
              <w:t>b)</w:t>
            </w:r>
            <w:r w:rsidRPr="0005306A">
              <w:rPr>
                <w:rFonts w:ascii="Times New Roman" w:hAnsi="Times New Roman" w:cs="Times New Roman"/>
                <w:szCs w:val="24"/>
              </w:rPr>
              <w:tab/>
              <w:t>środkach naprawczych, jakie zastosowano w odniesieniu do pojazdu, przedmiotu wyposażenia lub części.</w:t>
            </w:r>
          </w:p>
          <w:p w14:paraId="6871F96F" w14:textId="77777777" w:rsidR="007702C5" w:rsidRPr="0005306A" w:rsidRDefault="007702C5" w:rsidP="00FD5CD5">
            <w:pPr>
              <w:pStyle w:val="ZARTzmartartykuempunktem"/>
              <w:spacing w:line="240" w:lineRule="auto"/>
              <w:jc w:val="left"/>
              <w:rPr>
                <w:rFonts w:ascii="Times New Roman" w:hAnsi="Times New Roman" w:cs="Times New Roman"/>
                <w:szCs w:val="24"/>
              </w:rPr>
            </w:pPr>
            <w:r w:rsidRPr="0005306A">
              <w:rPr>
                <w:rFonts w:ascii="Times New Roman" w:hAnsi="Times New Roman" w:cs="Times New Roman"/>
                <w:szCs w:val="24"/>
              </w:rPr>
              <w:t>5. Dyrektor TDT jako organ nadzoru rynku dokonuje wpisu do wykazu niezgodności</w:t>
            </w:r>
            <w:r w:rsidRPr="0005306A" w:rsidDel="00F720AF">
              <w:rPr>
                <w:rFonts w:ascii="Times New Roman" w:hAnsi="Times New Roman" w:cs="Times New Roman"/>
                <w:szCs w:val="24"/>
              </w:rPr>
              <w:t xml:space="preserve"> </w:t>
            </w:r>
            <w:r w:rsidRPr="0005306A">
              <w:rPr>
                <w:rFonts w:ascii="Times New Roman" w:eastAsia="Times New Roman" w:hAnsi="Times New Roman" w:cs="Times New Roman"/>
                <w:szCs w:val="24"/>
              </w:rPr>
              <w:t xml:space="preserve">niezwłocznie po dniu, w którym decyzja, o której mowa w 68zj ust. 1 lub art. 68zk ust. 12, stała się prawomocna, lub niezwłocznie po otrzymaniu zawiadomienia w systemie </w:t>
            </w:r>
            <w:r w:rsidRPr="0005306A">
              <w:rPr>
                <w:rFonts w:ascii="Times New Roman" w:hAnsi="Times New Roman" w:cs="Times New Roman"/>
                <w:szCs w:val="24"/>
              </w:rPr>
              <w:t>Safety Gate</w:t>
            </w:r>
            <w:r w:rsidRPr="0005306A">
              <w:rPr>
                <w:rFonts w:ascii="Times New Roman" w:eastAsia="Times New Roman" w:hAnsi="Times New Roman" w:cs="Times New Roman"/>
                <w:szCs w:val="24"/>
              </w:rPr>
              <w:t xml:space="preserve"> o wydaniu prawomocnej decyzji przez organ nadzoru rynku innego państwa członkowskiego Unii Europejskiej.</w:t>
            </w:r>
          </w:p>
          <w:p w14:paraId="777B17C0" w14:textId="77777777" w:rsidR="007702C5" w:rsidRPr="0005306A" w:rsidRDefault="007702C5" w:rsidP="00FD5CD5">
            <w:pPr>
              <w:pStyle w:val="ZARTzmartartykuempunktem"/>
              <w:spacing w:line="240" w:lineRule="auto"/>
              <w:jc w:val="left"/>
              <w:rPr>
                <w:rFonts w:ascii="Times New Roman" w:hAnsi="Times New Roman" w:cs="Times New Roman"/>
                <w:szCs w:val="24"/>
              </w:rPr>
            </w:pPr>
            <w:r w:rsidRPr="0005306A">
              <w:rPr>
                <w:rFonts w:ascii="Times New Roman" w:hAnsi="Times New Roman" w:cs="Times New Roman"/>
                <w:szCs w:val="24"/>
              </w:rPr>
              <w:t>6. Dyrektor TDT jako organ nadzoru rynku, z urzędu lub na wniosek innego organu nadzoru rynku, usuwa wpis z wykazu niezgodności, w przypadku gdy:</w:t>
            </w:r>
          </w:p>
          <w:p w14:paraId="484B0754" w14:textId="77777777" w:rsidR="007702C5" w:rsidRPr="0005306A" w:rsidRDefault="007702C5" w:rsidP="00FD5CD5">
            <w:pPr>
              <w:pStyle w:val="ZARTzmartartykuempunktem"/>
              <w:spacing w:line="240" w:lineRule="auto"/>
              <w:ind w:left="1020" w:hanging="510"/>
              <w:jc w:val="left"/>
              <w:rPr>
                <w:rFonts w:ascii="Times New Roman" w:hAnsi="Times New Roman" w:cs="Times New Roman"/>
                <w:szCs w:val="24"/>
              </w:rPr>
            </w:pPr>
            <w:r w:rsidRPr="0005306A">
              <w:rPr>
                <w:rFonts w:ascii="Times New Roman" w:hAnsi="Times New Roman" w:cs="Times New Roman"/>
                <w:szCs w:val="24"/>
              </w:rPr>
              <w:t>1)</w:t>
            </w:r>
            <w:r w:rsidRPr="0005306A">
              <w:rPr>
                <w:rFonts w:ascii="Times New Roman" w:hAnsi="Times New Roman" w:cs="Times New Roman"/>
                <w:szCs w:val="24"/>
              </w:rPr>
              <w:tab/>
              <w:t xml:space="preserve">strona postępowania, o którym mowa w art. 68zj ust. 1 lub art. 68zk ust. 12 wykaże, że wykonała decyzję, o której mowa w tym przepisie; wpis usuwa się nie wcześniej niż po upływie 3 miesięcy od dnia tego wykazania; </w:t>
            </w:r>
          </w:p>
          <w:p w14:paraId="0164EE9F" w14:textId="77777777" w:rsidR="007702C5" w:rsidRPr="0005306A" w:rsidRDefault="007702C5" w:rsidP="00FD5CD5">
            <w:pPr>
              <w:pStyle w:val="ZARTzmartartykuempunktem"/>
              <w:spacing w:line="240" w:lineRule="auto"/>
              <w:ind w:left="1020" w:hanging="510"/>
              <w:jc w:val="left"/>
              <w:rPr>
                <w:rFonts w:ascii="Times New Roman" w:hAnsi="Times New Roman" w:cs="Times New Roman"/>
                <w:szCs w:val="24"/>
              </w:rPr>
            </w:pPr>
            <w:r w:rsidRPr="0005306A">
              <w:rPr>
                <w:rFonts w:ascii="Times New Roman" w:hAnsi="Times New Roman" w:cs="Times New Roman"/>
                <w:szCs w:val="24"/>
              </w:rPr>
              <w:t>2)</w:t>
            </w:r>
            <w:r w:rsidRPr="0005306A">
              <w:rPr>
                <w:rFonts w:ascii="Times New Roman" w:hAnsi="Times New Roman" w:cs="Times New Roman"/>
                <w:szCs w:val="24"/>
              </w:rPr>
              <w:tab/>
              <w:t>podmiot gospodarczy, będący stroną postępowania, o którym mowa w art. 68zj ust. 1 lub art. 68zk ust. 12, zaprzestał prowadzenia działalności gospodarczej; wpis usuwa się nie wcześniej niż po upływie 24 miesięcy od dnia zaprzestania prowadzenia działalności gospodarczej przez ten podmiot.</w:t>
            </w:r>
          </w:p>
          <w:p w14:paraId="1822F9B8" w14:textId="77777777" w:rsidR="007702C5" w:rsidRPr="0005306A" w:rsidRDefault="007702C5" w:rsidP="00FD5CD5">
            <w:pPr>
              <w:pStyle w:val="ZARTzmartartykuempunktem"/>
              <w:spacing w:line="240" w:lineRule="auto"/>
              <w:jc w:val="left"/>
              <w:rPr>
                <w:rFonts w:ascii="Times New Roman" w:hAnsi="Times New Roman" w:cs="Times New Roman"/>
                <w:szCs w:val="24"/>
              </w:rPr>
            </w:pPr>
            <w:r w:rsidRPr="0005306A">
              <w:rPr>
                <w:rFonts w:ascii="Times New Roman" w:hAnsi="Times New Roman" w:cs="Times New Roman"/>
                <w:szCs w:val="24"/>
              </w:rPr>
              <w:t>7. Dyrektor TDT jako organ nadzoru rynku może w każdym czasie podać do publicznej wiadomości informacje zawarte w wykazie niezgodności.</w:t>
            </w:r>
          </w:p>
          <w:p w14:paraId="10D2C4EA" w14:textId="77777777" w:rsidR="007702C5" w:rsidRPr="0005306A" w:rsidRDefault="007702C5" w:rsidP="00FD5CD5">
            <w:pPr>
              <w:shd w:val="clear" w:color="auto" w:fill="FFFFFF"/>
              <w:spacing w:after="0" w:line="240" w:lineRule="auto"/>
              <w:ind w:left="510" w:firstLine="510"/>
              <w:rPr>
                <w:rFonts w:ascii="Times New Roman" w:eastAsiaTheme="minorEastAsia" w:hAnsi="Times New Roman" w:cs="Times New Roman"/>
                <w:sz w:val="24"/>
                <w:szCs w:val="24"/>
                <w:lang w:eastAsia="pl-PL"/>
              </w:rPr>
            </w:pPr>
            <w:r w:rsidRPr="0005306A">
              <w:rPr>
                <w:rFonts w:ascii="Times New Roman" w:eastAsia="Times New Roman" w:hAnsi="Times New Roman" w:cs="Times New Roman"/>
                <w:sz w:val="24"/>
                <w:szCs w:val="24"/>
                <w:lang w:eastAsia="pl-PL"/>
              </w:rPr>
              <w:t xml:space="preserve">8. </w:t>
            </w:r>
            <w:r w:rsidRPr="0005306A">
              <w:rPr>
                <w:rFonts w:ascii="Times New Roman" w:eastAsiaTheme="minorEastAsia" w:hAnsi="Times New Roman" w:cs="Times New Roman"/>
                <w:sz w:val="24"/>
                <w:szCs w:val="24"/>
                <w:lang w:eastAsia="pl-PL"/>
              </w:rPr>
              <w:t>Wykaz niezgodności jest prowadzony z wykorzystaniem systemu teleinformatycznego.</w:t>
            </w:r>
          </w:p>
          <w:p w14:paraId="00D9056A" w14:textId="77777777" w:rsidR="007702C5" w:rsidRPr="0005306A" w:rsidRDefault="007702C5" w:rsidP="00FD5CD5">
            <w:pPr>
              <w:shd w:val="clear" w:color="auto" w:fill="FFFFFF"/>
              <w:spacing w:after="0" w:line="240" w:lineRule="auto"/>
              <w:ind w:left="510" w:firstLine="510"/>
              <w:rPr>
                <w:rFonts w:ascii="Times New Roman" w:eastAsia="Times New Roman" w:hAnsi="Times New Roman" w:cs="Times New Roman"/>
                <w:sz w:val="24"/>
                <w:szCs w:val="24"/>
                <w:lang w:eastAsia="pl-PL"/>
              </w:rPr>
            </w:pPr>
            <w:r w:rsidRPr="0005306A">
              <w:rPr>
                <w:rFonts w:ascii="Times New Roman" w:eastAsia="Times New Roman" w:hAnsi="Times New Roman" w:cs="Times New Roman"/>
                <w:sz w:val="24"/>
                <w:szCs w:val="24"/>
                <w:lang w:eastAsia="pl-PL"/>
              </w:rPr>
              <w:t xml:space="preserve">9. Każdy wpis do </w:t>
            </w:r>
            <w:r w:rsidRPr="0005306A">
              <w:rPr>
                <w:rFonts w:ascii="Times New Roman" w:hAnsi="Times New Roman" w:cs="Times New Roman"/>
                <w:sz w:val="24"/>
                <w:szCs w:val="24"/>
              </w:rPr>
              <w:t>wykazu niezgodności</w:t>
            </w:r>
            <w:r w:rsidRPr="0005306A" w:rsidDel="00F720AF">
              <w:rPr>
                <w:rFonts w:ascii="Times New Roman" w:eastAsia="Times New Roman" w:hAnsi="Times New Roman" w:cs="Times New Roman"/>
                <w:sz w:val="24"/>
                <w:szCs w:val="24"/>
                <w:lang w:eastAsia="pl-PL"/>
              </w:rPr>
              <w:t xml:space="preserve"> </w:t>
            </w:r>
            <w:r w:rsidRPr="0005306A">
              <w:rPr>
                <w:rFonts w:ascii="Times New Roman" w:eastAsia="Times New Roman" w:hAnsi="Times New Roman" w:cs="Times New Roman"/>
                <w:sz w:val="24"/>
                <w:szCs w:val="24"/>
                <w:lang w:eastAsia="pl-PL"/>
              </w:rPr>
              <w:t>dotyczy jednego pojazdu, przedmiotu wyposażenia lub części.</w:t>
            </w:r>
          </w:p>
          <w:p w14:paraId="20B1586A" w14:textId="77777777" w:rsidR="007702C5" w:rsidRPr="0005306A" w:rsidRDefault="007702C5" w:rsidP="00FD5CD5">
            <w:pPr>
              <w:shd w:val="clear" w:color="auto" w:fill="FFFFFF"/>
              <w:spacing w:after="0" w:line="240" w:lineRule="auto"/>
              <w:ind w:left="510" w:firstLine="510"/>
              <w:rPr>
                <w:rFonts w:ascii="Times New Roman" w:eastAsia="Times New Roman" w:hAnsi="Times New Roman" w:cs="Times New Roman"/>
                <w:sz w:val="24"/>
                <w:szCs w:val="24"/>
                <w:lang w:eastAsia="pl-PL"/>
              </w:rPr>
            </w:pPr>
            <w:r w:rsidRPr="0005306A">
              <w:rPr>
                <w:rFonts w:ascii="Times New Roman" w:eastAsia="Times New Roman" w:hAnsi="Times New Roman" w:cs="Times New Roman"/>
                <w:sz w:val="24"/>
                <w:szCs w:val="24"/>
                <w:lang w:eastAsia="pl-PL"/>
              </w:rPr>
              <w:t>10. W</w:t>
            </w:r>
            <w:r w:rsidRPr="0005306A">
              <w:rPr>
                <w:rFonts w:ascii="Times New Roman" w:hAnsi="Times New Roman" w:cs="Times New Roman"/>
                <w:sz w:val="24"/>
                <w:szCs w:val="24"/>
              </w:rPr>
              <w:t>ykaz niezgodności</w:t>
            </w:r>
            <w:r w:rsidRPr="0005306A">
              <w:rPr>
                <w:rFonts w:ascii="Times New Roman" w:eastAsia="Times New Roman" w:hAnsi="Times New Roman" w:cs="Times New Roman"/>
                <w:sz w:val="24"/>
                <w:szCs w:val="24"/>
                <w:lang w:eastAsia="pl-PL"/>
              </w:rPr>
              <w:t xml:space="preserve"> umożliwia niezwłoczne wyszukanie, odczytanie oraz wydrukowanie całości albo części zapisanych danych.</w:t>
            </w:r>
          </w:p>
          <w:p w14:paraId="4E998C60" w14:textId="77777777" w:rsidR="007702C5" w:rsidRPr="0005306A" w:rsidRDefault="007702C5" w:rsidP="00FD5CD5">
            <w:pPr>
              <w:shd w:val="clear" w:color="auto" w:fill="FFFFFF"/>
              <w:spacing w:after="0" w:line="240" w:lineRule="auto"/>
              <w:ind w:left="510" w:firstLine="510"/>
              <w:rPr>
                <w:rFonts w:ascii="Times New Roman" w:eastAsia="Times New Roman" w:hAnsi="Times New Roman" w:cs="Times New Roman"/>
                <w:sz w:val="24"/>
                <w:szCs w:val="24"/>
                <w:lang w:eastAsia="pl-PL"/>
              </w:rPr>
            </w:pPr>
            <w:r w:rsidRPr="0005306A">
              <w:rPr>
                <w:rFonts w:ascii="Times New Roman" w:eastAsia="Times New Roman" w:hAnsi="Times New Roman" w:cs="Times New Roman"/>
                <w:sz w:val="24"/>
                <w:szCs w:val="24"/>
                <w:lang w:eastAsia="pl-PL"/>
              </w:rPr>
              <w:t>11. W w</w:t>
            </w:r>
            <w:r w:rsidRPr="0005306A">
              <w:rPr>
                <w:rFonts w:ascii="Times New Roman" w:hAnsi="Times New Roman" w:cs="Times New Roman"/>
                <w:sz w:val="24"/>
                <w:szCs w:val="24"/>
              </w:rPr>
              <w:t>ykazie niezgodności</w:t>
            </w:r>
            <w:r w:rsidRPr="0005306A">
              <w:rPr>
                <w:rFonts w:ascii="Times New Roman" w:eastAsia="Times New Roman" w:hAnsi="Times New Roman" w:cs="Times New Roman"/>
                <w:sz w:val="24"/>
                <w:szCs w:val="24"/>
                <w:lang w:eastAsia="pl-PL"/>
              </w:rPr>
              <w:t xml:space="preserve"> umieszcza się następujące dane:</w:t>
            </w:r>
          </w:p>
          <w:p w14:paraId="73AB0C7F" w14:textId="77777777" w:rsidR="007702C5" w:rsidRPr="0005306A" w:rsidRDefault="007702C5" w:rsidP="00FD5CD5">
            <w:pPr>
              <w:shd w:val="clear" w:color="auto" w:fill="FFFFFF"/>
              <w:spacing w:after="0" w:line="240" w:lineRule="auto"/>
              <w:ind w:left="1020" w:hanging="510"/>
              <w:rPr>
                <w:rFonts w:ascii="Times New Roman" w:eastAsia="Times New Roman" w:hAnsi="Times New Roman" w:cs="Times New Roman"/>
                <w:sz w:val="24"/>
                <w:szCs w:val="24"/>
                <w:lang w:eastAsia="pl-PL"/>
              </w:rPr>
            </w:pPr>
            <w:r w:rsidRPr="0005306A">
              <w:rPr>
                <w:rFonts w:ascii="Times New Roman" w:eastAsia="Times New Roman" w:hAnsi="Times New Roman" w:cs="Times New Roman"/>
                <w:sz w:val="24"/>
                <w:szCs w:val="24"/>
                <w:lang w:eastAsia="pl-PL"/>
              </w:rPr>
              <w:t>1)</w:t>
            </w:r>
            <w:r w:rsidRPr="0005306A">
              <w:rPr>
                <w:rFonts w:ascii="Times New Roman" w:eastAsia="Times New Roman" w:hAnsi="Times New Roman" w:cs="Times New Roman"/>
                <w:sz w:val="24"/>
                <w:szCs w:val="24"/>
                <w:lang w:eastAsia="pl-PL"/>
              </w:rPr>
              <w:tab/>
              <w:t>datę wpisu do w</w:t>
            </w:r>
            <w:r w:rsidRPr="0005306A">
              <w:rPr>
                <w:rFonts w:ascii="Times New Roman" w:hAnsi="Times New Roman" w:cs="Times New Roman"/>
                <w:sz w:val="24"/>
                <w:szCs w:val="24"/>
              </w:rPr>
              <w:t>ykazu niezgodności</w:t>
            </w:r>
            <w:r w:rsidRPr="0005306A">
              <w:rPr>
                <w:rFonts w:ascii="Times New Roman" w:eastAsia="Times New Roman" w:hAnsi="Times New Roman" w:cs="Times New Roman"/>
                <w:sz w:val="24"/>
                <w:szCs w:val="24"/>
                <w:lang w:eastAsia="pl-PL"/>
              </w:rPr>
              <w:t>;</w:t>
            </w:r>
          </w:p>
          <w:p w14:paraId="040B6B3D" w14:textId="77777777" w:rsidR="007702C5" w:rsidRPr="0005306A" w:rsidRDefault="007702C5" w:rsidP="00FD5CD5">
            <w:pPr>
              <w:shd w:val="clear" w:color="auto" w:fill="FFFFFF"/>
              <w:spacing w:after="0" w:line="240" w:lineRule="auto"/>
              <w:ind w:left="1020" w:hanging="510"/>
              <w:rPr>
                <w:rFonts w:ascii="Times New Roman" w:eastAsia="Times New Roman" w:hAnsi="Times New Roman" w:cs="Times New Roman"/>
                <w:sz w:val="24"/>
                <w:szCs w:val="24"/>
                <w:lang w:eastAsia="pl-PL"/>
              </w:rPr>
            </w:pPr>
            <w:r w:rsidRPr="0005306A">
              <w:rPr>
                <w:rFonts w:ascii="Times New Roman" w:eastAsia="Times New Roman" w:hAnsi="Times New Roman" w:cs="Times New Roman"/>
                <w:sz w:val="24"/>
                <w:szCs w:val="24"/>
                <w:lang w:eastAsia="pl-PL"/>
              </w:rPr>
              <w:t>2)</w:t>
            </w:r>
            <w:r w:rsidRPr="0005306A">
              <w:rPr>
                <w:rFonts w:ascii="Times New Roman" w:eastAsia="Times New Roman" w:hAnsi="Times New Roman" w:cs="Times New Roman"/>
                <w:sz w:val="24"/>
                <w:szCs w:val="24"/>
                <w:lang w:eastAsia="pl-PL"/>
              </w:rPr>
              <w:tab/>
              <w:t>numer identyfikacyjny wpisu;</w:t>
            </w:r>
          </w:p>
          <w:p w14:paraId="451DA374" w14:textId="77777777" w:rsidR="007702C5" w:rsidRPr="0005306A" w:rsidRDefault="007702C5" w:rsidP="00FD5CD5">
            <w:pPr>
              <w:shd w:val="clear" w:color="auto" w:fill="FFFFFF"/>
              <w:spacing w:after="0" w:line="240" w:lineRule="auto"/>
              <w:ind w:left="1020" w:hanging="510"/>
              <w:rPr>
                <w:rFonts w:ascii="Times New Roman" w:eastAsia="Times New Roman" w:hAnsi="Times New Roman" w:cs="Times New Roman"/>
                <w:sz w:val="24"/>
                <w:szCs w:val="24"/>
                <w:lang w:eastAsia="pl-PL"/>
              </w:rPr>
            </w:pPr>
            <w:r w:rsidRPr="0005306A">
              <w:rPr>
                <w:rFonts w:ascii="Times New Roman" w:eastAsia="Times New Roman" w:hAnsi="Times New Roman" w:cs="Times New Roman"/>
                <w:sz w:val="24"/>
                <w:szCs w:val="24"/>
                <w:lang w:eastAsia="pl-PL"/>
              </w:rPr>
              <w:t>3)</w:t>
            </w:r>
            <w:r w:rsidRPr="0005306A">
              <w:rPr>
                <w:rFonts w:ascii="Times New Roman" w:eastAsia="Times New Roman" w:hAnsi="Times New Roman" w:cs="Times New Roman"/>
                <w:sz w:val="24"/>
                <w:szCs w:val="24"/>
                <w:lang w:eastAsia="pl-PL"/>
              </w:rPr>
              <w:tab/>
              <w:t>oznaczenie decyzji, o której mowa w art. 68zj ust. 1 lub art. 68zk ust. 12;</w:t>
            </w:r>
          </w:p>
          <w:p w14:paraId="1D147DFF"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4)      oznaczenie pojazdu, przedmiotu wyposażenia lub części, w tym numer VIN lub inny numer umożliwiający identyfikację pojazdu, przedmiotu wyposażenia lub części;</w:t>
            </w:r>
          </w:p>
          <w:p w14:paraId="363265D8" w14:textId="77777777" w:rsidR="007702C5" w:rsidRPr="0005306A" w:rsidRDefault="007702C5" w:rsidP="00FD5CD5">
            <w:pPr>
              <w:shd w:val="clear" w:color="auto" w:fill="FFFFFF"/>
              <w:spacing w:after="0" w:line="240" w:lineRule="auto"/>
              <w:ind w:left="1020" w:hanging="510"/>
              <w:rPr>
                <w:rFonts w:ascii="Times New Roman" w:eastAsia="Times New Roman" w:hAnsi="Times New Roman" w:cs="Times New Roman"/>
                <w:sz w:val="24"/>
                <w:szCs w:val="24"/>
                <w:lang w:eastAsia="pl-PL"/>
              </w:rPr>
            </w:pPr>
            <w:r w:rsidRPr="0005306A">
              <w:rPr>
                <w:rFonts w:ascii="Times New Roman" w:eastAsia="Times New Roman" w:hAnsi="Times New Roman" w:cs="Times New Roman"/>
                <w:sz w:val="24"/>
                <w:szCs w:val="24"/>
                <w:lang w:eastAsia="pl-PL"/>
              </w:rPr>
              <w:t>5)</w:t>
            </w:r>
            <w:r w:rsidRPr="0005306A">
              <w:rPr>
                <w:rFonts w:ascii="Times New Roman" w:eastAsia="Times New Roman" w:hAnsi="Times New Roman" w:cs="Times New Roman"/>
                <w:sz w:val="24"/>
                <w:szCs w:val="24"/>
                <w:lang w:eastAsia="pl-PL"/>
              </w:rPr>
              <w:tab/>
              <w:t>Europejski Kod Towarowy (kod EAN) wyrobu, jeżeli kod taki w przypadku danego pojazdu, przedmiotu wyposażenia lub części występuje;</w:t>
            </w:r>
          </w:p>
          <w:p w14:paraId="4679F0E0" w14:textId="77777777" w:rsidR="007702C5" w:rsidRPr="0005306A" w:rsidRDefault="007702C5" w:rsidP="00FD5CD5">
            <w:pPr>
              <w:shd w:val="clear" w:color="auto" w:fill="FFFFFF"/>
              <w:spacing w:after="0" w:line="240" w:lineRule="auto"/>
              <w:ind w:left="1020" w:hanging="510"/>
              <w:rPr>
                <w:rFonts w:ascii="Times New Roman" w:eastAsia="Times New Roman" w:hAnsi="Times New Roman" w:cs="Times New Roman"/>
                <w:sz w:val="24"/>
                <w:szCs w:val="24"/>
                <w:lang w:eastAsia="pl-PL"/>
              </w:rPr>
            </w:pPr>
            <w:r w:rsidRPr="0005306A">
              <w:rPr>
                <w:rFonts w:ascii="Times New Roman" w:eastAsia="Times New Roman" w:hAnsi="Times New Roman" w:cs="Times New Roman"/>
                <w:sz w:val="24"/>
                <w:szCs w:val="24"/>
                <w:lang w:eastAsia="pl-PL"/>
              </w:rPr>
              <w:t>6)</w:t>
            </w:r>
            <w:r w:rsidRPr="0005306A">
              <w:rPr>
                <w:rFonts w:ascii="Times New Roman" w:eastAsia="Times New Roman" w:hAnsi="Times New Roman" w:cs="Times New Roman"/>
                <w:sz w:val="24"/>
                <w:szCs w:val="24"/>
                <w:lang w:eastAsia="pl-PL"/>
              </w:rPr>
              <w:tab/>
              <w:t>kraj produkcji pojazdu, przedmiotu wyposażenia lub części;</w:t>
            </w:r>
          </w:p>
          <w:p w14:paraId="4F1AA04F" w14:textId="77777777" w:rsidR="007702C5" w:rsidRPr="0005306A" w:rsidRDefault="007702C5" w:rsidP="00FD5CD5">
            <w:pPr>
              <w:shd w:val="clear" w:color="auto" w:fill="FFFFFF"/>
              <w:spacing w:after="0" w:line="240" w:lineRule="auto"/>
              <w:ind w:left="1020" w:hanging="510"/>
              <w:rPr>
                <w:rFonts w:ascii="Times New Roman" w:eastAsia="Times New Roman" w:hAnsi="Times New Roman" w:cs="Times New Roman"/>
                <w:sz w:val="24"/>
                <w:szCs w:val="24"/>
                <w:lang w:eastAsia="pl-PL"/>
              </w:rPr>
            </w:pPr>
            <w:r w:rsidRPr="0005306A">
              <w:rPr>
                <w:rFonts w:ascii="Times New Roman" w:eastAsia="Times New Roman" w:hAnsi="Times New Roman" w:cs="Times New Roman"/>
                <w:sz w:val="24"/>
                <w:szCs w:val="24"/>
                <w:lang w:eastAsia="pl-PL"/>
              </w:rPr>
              <w:t>7)</w:t>
            </w:r>
            <w:r w:rsidRPr="0005306A">
              <w:rPr>
                <w:rFonts w:ascii="Times New Roman" w:eastAsia="Times New Roman" w:hAnsi="Times New Roman" w:cs="Times New Roman"/>
                <w:sz w:val="24"/>
                <w:szCs w:val="24"/>
                <w:lang w:eastAsia="pl-PL"/>
              </w:rPr>
              <w:tab/>
              <w:t>firmę lub nazwę oraz adres podmiotu gospodarczego, który wprowadził do obrotu lub udostępnił pojazd, przedmiot wyposażenia lub część na rynku Rzeczypospolitej Polskiej, wraz ze wskazaniem czy działał on jako producent, przedstawiciel producenta, importer czy dystrybutor;</w:t>
            </w:r>
          </w:p>
          <w:p w14:paraId="4B84D5DC" w14:textId="77777777" w:rsidR="007702C5" w:rsidRPr="0005306A" w:rsidRDefault="007702C5" w:rsidP="00FD5CD5">
            <w:pPr>
              <w:shd w:val="clear" w:color="auto" w:fill="FFFFFF"/>
              <w:spacing w:after="0" w:line="240" w:lineRule="auto"/>
              <w:ind w:left="1020" w:hanging="510"/>
              <w:rPr>
                <w:rFonts w:ascii="Times New Roman" w:eastAsia="Times New Roman" w:hAnsi="Times New Roman" w:cs="Times New Roman"/>
                <w:sz w:val="24"/>
                <w:szCs w:val="24"/>
                <w:lang w:eastAsia="pl-PL"/>
              </w:rPr>
            </w:pPr>
            <w:r w:rsidRPr="0005306A">
              <w:rPr>
                <w:rFonts w:ascii="Times New Roman" w:eastAsia="Times New Roman" w:hAnsi="Times New Roman" w:cs="Times New Roman"/>
                <w:sz w:val="24"/>
                <w:szCs w:val="24"/>
                <w:lang w:eastAsia="pl-PL"/>
              </w:rPr>
              <w:t>8)</w:t>
            </w:r>
            <w:r w:rsidRPr="0005306A">
              <w:rPr>
                <w:rFonts w:ascii="Times New Roman" w:eastAsia="Times New Roman" w:hAnsi="Times New Roman" w:cs="Times New Roman"/>
                <w:sz w:val="24"/>
                <w:szCs w:val="24"/>
                <w:lang w:eastAsia="pl-PL"/>
              </w:rPr>
              <w:tab/>
              <w:t xml:space="preserve">opis stwierdzonych </w:t>
            </w:r>
            <w:r w:rsidRPr="0005306A">
              <w:rPr>
                <w:rFonts w:ascii="Times New Roman" w:hAnsi="Times New Roman" w:cs="Times New Roman"/>
                <w:sz w:val="24"/>
                <w:szCs w:val="24"/>
              </w:rPr>
              <w:t>niezgodności z wymaganiami technicznymi lub stwarzanego poważnego ryzyka przez</w:t>
            </w:r>
            <w:r w:rsidRPr="0005306A">
              <w:rPr>
                <w:rFonts w:ascii="Times New Roman" w:eastAsia="Times New Roman" w:hAnsi="Times New Roman" w:cs="Times New Roman"/>
                <w:sz w:val="24"/>
                <w:szCs w:val="24"/>
                <w:lang w:eastAsia="pl-PL"/>
              </w:rPr>
              <w:t xml:space="preserve"> pojazd, przedmiot wyposażenia lub część;</w:t>
            </w:r>
          </w:p>
          <w:p w14:paraId="420D269F" w14:textId="77777777" w:rsidR="007702C5" w:rsidRPr="0005306A" w:rsidRDefault="007702C5" w:rsidP="00FD5CD5">
            <w:pPr>
              <w:shd w:val="clear" w:color="auto" w:fill="FFFFFF"/>
              <w:spacing w:after="0" w:line="240" w:lineRule="auto"/>
              <w:ind w:left="1020" w:hanging="510"/>
              <w:rPr>
                <w:rFonts w:ascii="Times New Roman" w:eastAsia="Times New Roman" w:hAnsi="Times New Roman" w:cs="Times New Roman"/>
                <w:sz w:val="24"/>
                <w:szCs w:val="24"/>
                <w:lang w:eastAsia="pl-PL"/>
              </w:rPr>
            </w:pPr>
            <w:r w:rsidRPr="0005306A">
              <w:rPr>
                <w:rFonts w:ascii="Times New Roman" w:eastAsia="Times New Roman" w:hAnsi="Times New Roman" w:cs="Times New Roman"/>
                <w:sz w:val="24"/>
                <w:szCs w:val="24"/>
                <w:lang w:eastAsia="pl-PL"/>
              </w:rPr>
              <w:t>9)</w:t>
            </w:r>
            <w:r w:rsidRPr="0005306A">
              <w:rPr>
                <w:rFonts w:ascii="Times New Roman" w:eastAsia="Times New Roman" w:hAnsi="Times New Roman" w:cs="Times New Roman"/>
                <w:sz w:val="24"/>
                <w:szCs w:val="24"/>
                <w:lang w:eastAsia="pl-PL"/>
              </w:rPr>
              <w:tab/>
              <w:t xml:space="preserve">określenie środków naprawczych, jakie zastosowano w odniesieniu do pojazdu, przedmiotu wyposażenia lub części </w:t>
            </w:r>
            <w:r w:rsidRPr="0005306A">
              <w:rPr>
                <w:rFonts w:ascii="Times New Roman" w:hAnsi="Times New Roman" w:cs="Times New Roman"/>
                <w:sz w:val="24"/>
                <w:szCs w:val="24"/>
              </w:rPr>
              <w:t>niezgodnego z wymaganiami technicznymi lub stwarzającego poważne ryzyko</w:t>
            </w:r>
            <w:r w:rsidRPr="0005306A">
              <w:rPr>
                <w:rFonts w:ascii="Times New Roman" w:eastAsia="Times New Roman" w:hAnsi="Times New Roman" w:cs="Times New Roman"/>
                <w:sz w:val="24"/>
                <w:szCs w:val="24"/>
                <w:lang w:eastAsia="pl-PL"/>
              </w:rPr>
              <w:t>;</w:t>
            </w:r>
          </w:p>
          <w:p w14:paraId="0D8F8977" w14:textId="77777777" w:rsidR="007702C5" w:rsidRPr="0005306A" w:rsidRDefault="007702C5" w:rsidP="00FD5CD5">
            <w:pPr>
              <w:shd w:val="clear" w:color="auto" w:fill="FFFFFF"/>
              <w:spacing w:after="0" w:line="240" w:lineRule="auto"/>
              <w:ind w:left="1020" w:hanging="510"/>
              <w:rPr>
                <w:rFonts w:ascii="Times New Roman" w:eastAsia="Times New Roman" w:hAnsi="Times New Roman" w:cs="Times New Roman"/>
                <w:sz w:val="24"/>
                <w:szCs w:val="24"/>
                <w:lang w:eastAsia="pl-PL"/>
              </w:rPr>
            </w:pPr>
            <w:r w:rsidRPr="0005306A">
              <w:rPr>
                <w:rFonts w:ascii="Times New Roman" w:eastAsia="Times New Roman" w:hAnsi="Times New Roman" w:cs="Times New Roman"/>
                <w:sz w:val="24"/>
                <w:szCs w:val="24"/>
                <w:lang w:eastAsia="pl-PL"/>
              </w:rPr>
              <w:t>10)</w:t>
            </w:r>
            <w:r w:rsidRPr="0005306A">
              <w:rPr>
                <w:rFonts w:ascii="Times New Roman" w:eastAsia="Times New Roman" w:hAnsi="Times New Roman" w:cs="Times New Roman"/>
                <w:sz w:val="24"/>
                <w:szCs w:val="24"/>
                <w:lang w:eastAsia="pl-PL"/>
              </w:rPr>
              <w:tab/>
              <w:t>inne informacje wynikające z decyzji, o której mowa w art. 68zj ust. 1 lub art. 68zk ust. 12, których umieszczenie w rejestrze może mieć wpływ na zapewnienie bezpieczeństwa użytkownikom końcowym.</w:t>
            </w:r>
          </w:p>
          <w:p w14:paraId="56995CB1" w14:textId="77777777" w:rsidR="007702C5" w:rsidRPr="0005306A" w:rsidRDefault="007702C5" w:rsidP="00FD5CD5">
            <w:pPr>
              <w:shd w:val="clear" w:color="auto" w:fill="FFFFFF"/>
              <w:spacing w:after="0" w:line="240" w:lineRule="auto"/>
              <w:ind w:left="510" w:firstLine="510"/>
              <w:rPr>
                <w:rFonts w:ascii="Times New Roman" w:hAnsi="Times New Roman" w:cs="Times New Roman"/>
                <w:sz w:val="24"/>
                <w:szCs w:val="24"/>
              </w:rPr>
            </w:pPr>
            <w:r w:rsidRPr="0005306A">
              <w:rPr>
                <w:rFonts w:ascii="Times New Roman" w:eastAsia="Times New Roman" w:hAnsi="Times New Roman" w:cs="Times New Roman"/>
                <w:sz w:val="24"/>
                <w:szCs w:val="24"/>
                <w:lang w:eastAsia="pl-PL"/>
              </w:rPr>
              <w:t>12. W w</w:t>
            </w:r>
            <w:r w:rsidRPr="0005306A">
              <w:rPr>
                <w:rFonts w:ascii="Times New Roman" w:hAnsi="Times New Roman" w:cs="Times New Roman"/>
                <w:sz w:val="24"/>
                <w:szCs w:val="24"/>
              </w:rPr>
              <w:t>ykazie niezgodności</w:t>
            </w:r>
            <w:r w:rsidRPr="0005306A">
              <w:rPr>
                <w:rFonts w:ascii="Times New Roman" w:eastAsia="Times New Roman" w:hAnsi="Times New Roman" w:cs="Times New Roman"/>
                <w:sz w:val="24"/>
                <w:szCs w:val="24"/>
                <w:lang w:eastAsia="pl-PL"/>
              </w:rPr>
              <w:t xml:space="preserve"> mogą być umieszczane zdjęcia pojazdu, przedmiotu wyposażenia lub części, lub ich opakowania.</w:t>
            </w:r>
          </w:p>
          <w:p w14:paraId="5485D08F" w14:textId="77777777" w:rsidR="007702C5" w:rsidRPr="0005306A" w:rsidRDefault="007702C5" w:rsidP="00FD5CD5">
            <w:pPr>
              <w:shd w:val="clear" w:color="auto" w:fill="FFFFFF"/>
              <w:spacing w:after="0" w:line="240" w:lineRule="auto"/>
              <w:ind w:left="510" w:firstLine="510"/>
              <w:rPr>
                <w:rFonts w:ascii="Times New Roman" w:hAnsi="Times New Roman" w:cs="Times New Roman"/>
                <w:sz w:val="24"/>
                <w:szCs w:val="24"/>
              </w:rPr>
            </w:pPr>
            <w:r w:rsidRPr="0005306A">
              <w:rPr>
                <w:rFonts w:ascii="Times New Roman" w:eastAsia="Times New Roman" w:hAnsi="Times New Roman" w:cs="Times New Roman"/>
                <w:sz w:val="24"/>
                <w:szCs w:val="24"/>
                <w:lang w:eastAsia="pl-PL"/>
              </w:rPr>
              <w:t xml:space="preserve">13. </w:t>
            </w:r>
            <w:r w:rsidRPr="0005306A">
              <w:rPr>
                <w:rFonts w:ascii="Times New Roman" w:hAnsi="Times New Roman" w:cs="Times New Roman"/>
                <w:sz w:val="24"/>
                <w:szCs w:val="24"/>
              </w:rPr>
              <w:t>W wykazie akcji</w:t>
            </w:r>
            <w:r w:rsidRPr="0005306A" w:rsidDel="00F720AF">
              <w:rPr>
                <w:rFonts w:ascii="Times New Roman" w:hAnsi="Times New Roman" w:cs="Times New Roman"/>
                <w:sz w:val="24"/>
                <w:szCs w:val="24"/>
              </w:rPr>
              <w:t xml:space="preserve"> </w:t>
            </w:r>
            <w:r w:rsidRPr="0005306A">
              <w:rPr>
                <w:rFonts w:ascii="Times New Roman" w:hAnsi="Times New Roman" w:cs="Times New Roman"/>
                <w:sz w:val="24"/>
                <w:szCs w:val="24"/>
              </w:rPr>
              <w:t>są gromadzone:</w:t>
            </w:r>
          </w:p>
          <w:p w14:paraId="2C9EEB1F" w14:textId="77777777" w:rsidR="007702C5" w:rsidRPr="0005306A" w:rsidRDefault="007702C5" w:rsidP="00FD5CD5">
            <w:pPr>
              <w:pStyle w:val="ZARTzmartartykuempunktem"/>
              <w:spacing w:line="240" w:lineRule="auto"/>
              <w:ind w:left="1020" w:hanging="510"/>
              <w:jc w:val="left"/>
              <w:rPr>
                <w:rFonts w:ascii="Times New Roman" w:hAnsi="Times New Roman" w:cs="Times New Roman"/>
                <w:szCs w:val="24"/>
              </w:rPr>
            </w:pPr>
            <w:r w:rsidRPr="0005306A">
              <w:rPr>
                <w:rFonts w:ascii="Times New Roman" w:hAnsi="Times New Roman" w:cs="Times New Roman"/>
                <w:szCs w:val="24"/>
              </w:rPr>
              <w:t>1)</w:t>
            </w:r>
            <w:r w:rsidRPr="0005306A">
              <w:rPr>
                <w:rFonts w:ascii="Times New Roman" w:hAnsi="Times New Roman" w:cs="Times New Roman"/>
                <w:szCs w:val="24"/>
              </w:rPr>
              <w:tab/>
              <w:t>dane umożliwiające identyfikację pojazdu:</w:t>
            </w:r>
          </w:p>
          <w:p w14:paraId="67AED0B0" w14:textId="77777777" w:rsidR="007702C5" w:rsidRPr="0005306A" w:rsidRDefault="007702C5" w:rsidP="005E0F9D">
            <w:pPr>
              <w:pStyle w:val="ZARTzmartartykuempunktem"/>
              <w:numPr>
                <w:ilvl w:val="0"/>
                <w:numId w:val="14"/>
              </w:numPr>
              <w:spacing w:line="240" w:lineRule="auto"/>
              <w:jc w:val="left"/>
              <w:rPr>
                <w:rFonts w:ascii="Times New Roman" w:hAnsi="Times New Roman" w:cs="Times New Roman"/>
                <w:szCs w:val="24"/>
              </w:rPr>
            </w:pPr>
            <w:r w:rsidRPr="0005306A">
              <w:rPr>
                <w:rFonts w:ascii="Times New Roman" w:hAnsi="Times New Roman" w:cs="Times New Roman"/>
                <w:szCs w:val="24"/>
              </w:rPr>
              <w:t>datę i numer wpisu do wykazu akcji;</w:t>
            </w:r>
          </w:p>
          <w:p w14:paraId="3888D444" w14:textId="77777777" w:rsidR="007702C5" w:rsidRPr="0005306A" w:rsidRDefault="007702C5" w:rsidP="005E0F9D">
            <w:pPr>
              <w:pStyle w:val="ZARTzmartartykuempunktem"/>
              <w:numPr>
                <w:ilvl w:val="0"/>
                <w:numId w:val="14"/>
              </w:numPr>
              <w:spacing w:line="240" w:lineRule="auto"/>
              <w:jc w:val="left"/>
              <w:rPr>
                <w:rFonts w:ascii="Times New Roman" w:hAnsi="Times New Roman" w:cs="Times New Roman"/>
                <w:szCs w:val="24"/>
              </w:rPr>
            </w:pPr>
            <w:r w:rsidRPr="0005306A">
              <w:rPr>
                <w:rFonts w:ascii="Times New Roman" w:hAnsi="Times New Roman" w:cs="Times New Roman"/>
                <w:szCs w:val="24"/>
              </w:rPr>
              <w:t>markę i model pojazdu;</w:t>
            </w:r>
          </w:p>
          <w:p w14:paraId="744416DB" w14:textId="77777777" w:rsidR="007702C5" w:rsidRPr="0005306A" w:rsidRDefault="007702C5" w:rsidP="005E0F9D">
            <w:pPr>
              <w:pStyle w:val="ZARTzmartartykuempunktem"/>
              <w:numPr>
                <w:ilvl w:val="0"/>
                <w:numId w:val="14"/>
              </w:numPr>
              <w:spacing w:line="240" w:lineRule="auto"/>
              <w:jc w:val="left"/>
              <w:rPr>
                <w:rFonts w:ascii="Times New Roman" w:hAnsi="Times New Roman" w:cs="Times New Roman"/>
                <w:szCs w:val="24"/>
              </w:rPr>
            </w:pPr>
            <w:r w:rsidRPr="0005306A">
              <w:rPr>
                <w:rFonts w:ascii="Times New Roman" w:hAnsi="Times New Roman" w:cs="Times New Roman"/>
                <w:szCs w:val="24"/>
              </w:rPr>
              <w:t>okres produkcji;</w:t>
            </w:r>
          </w:p>
          <w:p w14:paraId="732DCDCF" w14:textId="77777777" w:rsidR="007702C5" w:rsidRPr="0005306A" w:rsidRDefault="007702C5" w:rsidP="005E0F9D">
            <w:pPr>
              <w:pStyle w:val="ZARTzmartartykuempunktem"/>
              <w:numPr>
                <w:ilvl w:val="0"/>
                <w:numId w:val="14"/>
              </w:numPr>
              <w:spacing w:line="240" w:lineRule="auto"/>
              <w:jc w:val="left"/>
              <w:rPr>
                <w:rFonts w:ascii="Times New Roman" w:hAnsi="Times New Roman" w:cs="Times New Roman"/>
                <w:szCs w:val="24"/>
              </w:rPr>
            </w:pPr>
            <w:r w:rsidRPr="0005306A">
              <w:rPr>
                <w:rFonts w:ascii="Times New Roman" w:eastAsia="Times New Roman" w:hAnsi="Times New Roman" w:cs="Times New Roman"/>
                <w:szCs w:val="24"/>
              </w:rPr>
              <w:t>numer odpowiedniego dokumentu, o którym mowa w art. 14 ust. 4 w odniesieniu do pojazdu, jeśli dotyczy;</w:t>
            </w:r>
            <w:r w:rsidRPr="0005306A">
              <w:rPr>
                <w:rFonts w:ascii="Times New Roman" w:hAnsi="Times New Roman" w:cs="Times New Roman"/>
                <w:szCs w:val="24"/>
              </w:rPr>
              <w:t xml:space="preserve"> </w:t>
            </w:r>
          </w:p>
          <w:p w14:paraId="3F3D80F3" w14:textId="77777777" w:rsidR="007702C5" w:rsidRPr="0005306A" w:rsidRDefault="007702C5" w:rsidP="005E0F9D">
            <w:pPr>
              <w:pStyle w:val="ZARTzmartartykuempunktem"/>
              <w:numPr>
                <w:ilvl w:val="0"/>
                <w:numId w:val="14"/>
              </w:numPr>
              <w:spacing w:line="240" w:lineRule="auto"/>
              <w:jc w:val="left"/>
              <w:rPr>
                <w:rFonts w:ascii="Times New Roman" w:hAnsi="Times New Roman" w:cs="Times New Roman"/>
                <w:szCs w:val="24"/>
              </w:rPr>
            </w:pPr>
            <w:r w:rsidRPr="0005306A">
              <w:rPr>
                <w:rFonts w:ascii="Times New Roman" w:hAnsi="Times New Roman" w:cs="Times New Roman"/>
                <w:szCs w:val="24"/>
              </w:rPr>
              <w:t>kod serwisowy producenta;</w:t>
            </w:r>
          </w:p>
          <w:p w14:paraId="3588C2C5" w14:textId="77777777" w:rsidR="007702C5" w:rsidRPr="0005306A" w:rsidRDefault="007702C5" w:rsidP="005E0F9D">
            <w:pPr>
              <w:pStyle w:val="ZARTzmartartykuempunktem"/>
              <w:numPr>
                <w:ilvl w:val="0"/>
                <w:numId w:val="14"/>
              </w:numPr>
              <w:spacing w:line="240" w:lineRule="auto"/>
              <w:jc w:val="left"/>
              <w:rPr>
                <w:rFonts w:ascii="Times New Roman" w:hAnsi="Times New Roman" w:cs="Times New Roman"/>
                <w:szCs w:val="24"/>
              </w:rPr>
            </w:pPr>
            <w:r w:rsidRPr="0005306A">
              <w:rPr>
                <w:rFonts w:ascii="Times New Roman" w:eastAsia="Times New Roman" w:hAnsi="Times New Roman" w:cs="Times New Roman"/>
                <w:szCs w:val="24"/>
              </w:rPr>
              <w:t xml:space="preserve">opis stwierdzonych </w:t>
            </w:r>
            <w:r w:rsidRPr="0005306A">
              <w:rPr>
                <w:rFonts w:ascii="Times New Roman" w:hAnsi="Times New Roman" w:cs="Times New Roman"/>
                <w:szCs w:val="24"/>
              </w:rPr>
              <w:t>niezgodności z wymaganiami technicznymi lub stwarzanego poważnego ryzyka przez</w:t>
            </w:r>
            <w:r w:rsidRPr="0005306A">
              <w:rPr>
                <w:rFonts w:ascii="Times New Roman" w:eastAsia="Times New Roman" w:hAnsi="Times New Roman" w:cs="Times New Roman"/>
                <w:szCs w:val="24"/>
              </w:rPr>
              <w:t xml:space="preserve"> pojazd; </w:t>
            </w:r>
          </w:p>
          <w:p w14:paraId="5AA4C6E6" w14:textId="77777777" w:rsidR="007702C5" w:rsidRPr="0005306A" w:rsidRDefault="007702C5" w:rsidP="005E0F9D">
            <w:pPr>
              <w:pStyle w:val="ZARTzmartartykuempunktem"/>
              <w:numPr>
                <w:ilvl w:val="0"/>
                <w:numId w:val="14"/>
              </w:numPr>
              <w:spacing w:line="240" w:lineRule="auto"/>
              <w:jc w:val="left"/>
              <w:rPr>
                <w:rFonts w:ascii="Times New Roman" w:hAnsi="Times New Roman" w:cs="Times New Roman"/>
                <w:szCs w:val="24"/>
              </w:rPr>
            </w:pPr>
            <w:r w:rsidRPr="0005306A">
              <w:rPr>
                <w:rFonts w:ascii="Times New Roman" w:hAnsi="Times New Roman" w:cs="Times New Roman"/>
                <w:szCs w:val="24"/>
              </w:rPr>
              <w:t>numer referencyjny Transportowego Dozoru Technicznego oraz informację o statusie monitorowania w Transportowym Dozorze Technicznym;</w:t>
            </w:r>
          </w:p>
          <w:p w14:paraId="7E6F3C65" w14:textId="77777777" w:rsidR="007702C5" w:rsidRPr="0005306A" w:rsidRDefault="007702C5" w:rsidP="005E0F9D">
            <w:pPr>
              <w:pStyle w:val="ZARTzmartartykuempunktem"/>
              <w:numPr>
                <w:ilvl w:val="0"/>
                <w:numId w:val="14"/>
              </w:numPr>
              <w:spacing w:line="240" w:lineRule="auto"/>
              <w:jc w:val="left"/>
              <w:rPr>
                <w:rFonts w:ascii="Times New Roman" w:hAnsi="Times New Roman" w:cs="Times New Roman"/>
                <w:szCs w:val="24"/>
              </w:rPr>
            </w:pPr>
            <w:r w:rsidRPr="0005306A">
              <w:rPr>
                <w:rFonts w:ascii="Times New Roman" w:hAnsi="Times New Roman" w:cs="Times New Roman"/>
                <w:szCs w:val="24"/>
              </w:rPr>
              <w:t>dodatkowe informacje dotyczące możliwych ograniczeń modeli objętych akcją serwisową, znanych incydentów, liczby potencjalnie objętych akcją serwisową pojazdów w Unii Europejskiej oraz w Polsce, a także numery VIN tych pojazdów;</w:t>
            </w:r>
          </w:p>
          <w:p w14:paraId="0C6CDC8A" w14:textId="77777777" w:rsidR="007702C5" w:rsidRPr="0005306A" w:rsidRDefault="007702C5" w:rsidP="005E0F9D">
            <w:pPr>
              <w:pStyle w:val="ZARTzmartartykuempunktem"/>
              <w:numPr>
                <w:ilvl w:val="0"/>
                <w:numId w:val="14"/>
              </w:numPr>
              <w:spacing w:line="240" w:lineRule="auto"/>
              <w:jc w:val="left"/>
              <w:rPr>
                <w:rFonts w:ascii="Times New Roman" w:hAnsi="Times New Roman" w:cs="Times New Roman"/>
                <w:szCs w:val="24"/>
              </w:rPr>
            </w:pPr>
            <w:r w:rsidRPr="0005306A">
              <w:rPr>
                <w:rFonts w:ascii="Times New Roman" w:hAnsi="Times New Roman" w:cs="Times New Roman"/>
                <w:szCs w:val="24"/>
              </w:rPr>
              <w:t>dane kontaktowe do producenta pojazdu w zakresie numeru telefonu, adresu strony internetowej lub adresu poczty elektronicznej;</w:t>
            </w:r>
          </w:p>
          <w:p w14:paraId="475558B3" w14:textId="77777777" w:rsidR="007702C5" w:rsidRPr="0005306A" w:rsidRDefault="007702C5" w:rsidP="005E0F9D">
            <w:pPr>
              <w:pStyle w:val="ZARTzmartartykuempunktem"/>
              <w:numPr>
                <w:ilvl w:val="0"/>
                <w:numId w:val="14"/>
              </w:numPr>
              <w:spacing w:line="240" w:lineRule="auto"/>
              <w:jc w:val="left"/>
              <w:rPr>
                <w:rFonts w:ascii="Times New Roman" w:hAnsi="Times New Roman" w:cs="Times New Roman"/>
                <w:szCs w:val="24"/>
              </w:rPr>
            </w:pPr>
            <w:r w:rsidRPr="0005306A">
              <w:rPr>
                <w:rFonts w:ascii="Times New Roman" w:hAnsi="Times New Roman" w:cs="Times New Roman"/>
                <w:szCs w:val="24"/>
              </w:rPr>
              <w:t>inne informacje, których umieszczenie w wykazie akcji może mieć wpływ na zapewnienie bezpieczeństwa użytkownikom końcowym;</w:t>
            </w:r>
          </w:p>
          <w:p w14:paraId="30389834" w14:textId="77777777" w:rsidR="007702C5" w:rsidRPr="0005306A" w:rsidRDefault="007702C5" w:rsidP="00FD5CD5">
            <w:pPr>
              <w:pStyle w:val="ZARTzmartartykuempunktem"/>
              <w:spacing w:line="240" w:lineRule="auto"/>
              <w:ind w:left="1020" w:hanging="510"/>
              <w:jc w:val="left"/>
              <w:rPr>
                <w:rFonts w:ascii="Times New Roman" w:hAnsi="Times New Roman" w:cs="Times New Roman"/>
                <w:szCs w:val="24"/>
              </w:rPr>
            </w:pPr>
            <w:r w:rsidRPr="0005306A">
              <w:rPr>
                <w:rFonts w:ascii="Times New Roman" w:hAnsi="Times New Roman" w:cs="Times New Roman"/>
                <w:szCs w:val="24"/>
              </w:rPr>
              <w:t>2)</w:t>
            </w:r>
            <w:r w:rsidRPr="0005306A">
              <w:rPr>
                <w:rFonts w:ascii="Times New Roman" w:hAnsi="Times New Roman" w:cs="Times New Roman"/>
                <w:szCs w:val="24"/>
              </w:rPr>
              <w:tab/>
              <w:t>informacje o:</w:t>
            </w:r>
          </w:p>
          <w:p w14:paraId="0633E02E" w14:textId="77777777" w:rsidR="007702C5" w:rsidRPr="0005306A" w:rsidRDefault="007702C5" w:rsidP="00FD5CD5">
            <w:pPr>
              <w:pStyle w:val="ZARTzmartartykuempunktem"/>
              <w:spacing w:line="240" w:lineRule="auto"/>
              <w:ind w:left="1701" w:hanging="341"/>
              <w:jc w:val="left"/>
              <w:rPr>
                <w:rFonts w:ascii="Times New Roman" w:hAnsi="Times New Roman" w:cs="Times New Roman"/>
                <w:szCs w:val="24"/>
              </w:rPr>
            </w:pPr>
            <w:r w:rsidRPr="0005306A">
              <w:rPr>
                <w:rFonts w:ascii="Times New Roman" w:hAnsi="Times New Roman" w:cs="Times New Roman"/>
                <w:szCs w:val="24"/>
              </w:rPr>
              <w:t>a)</w:t>
            </w:r>
            <w:r w:rsidRPr="0005306A">
              <w:rPr>
                <w:rFonts w:ascii="Times New Roman" w:hAnsi="Times New Roman" w:cs="Times New Roman"/>
                <w:szCs w:val="24"/>
              </w:rPr>
              <w:tab/>
              <w:t>rodzaju i zakresie prowadzonej przez podmiot gospodarczy akcji serwisowej,</w:t>
            </w:r>
          </w:p>
          <w:p w14:paraId="0F2BFDA9" w14:textId="77777777" w:rsidR="007702C5" w:rsidRPr="0005306A" w:rsidRDefault="007702C5" w:rsidP="00FD5CD5">
            <w:pPr>
              <w:pStyle w:val="ZARTzmartartykuempunktem"/>
              <w:spacing w:line="240" w:lineRule="auto"/>
              <w:ind w:left="1700" w:hanging="340"/>
              <w:jc w:val="left"/>
              <w:rPr>
                <w:rFonts w:ascii="Times New Roman" w:hAnsi="Times New Roman" w:cs="Times New Roman"/>
                <w:szCs w:val="24"/>
              </w:rPr>
            </w:pPr>
            <w:r w:rsidRPr="0005306A">
              <w:rPr>
                <w:rFonts w:ascii="Times New Roman" w:hAnsi="Times New Roman" w:cs="Times New Roman"/>
                <w:szCs w:val="24"/>
              </w:rPr>
              <w:t>b)</w:t>
            </w:r>
            <w:r w:rsidRPr="0005306A">
              <w:rPr>
                <w:rFonts w:ascii="Times New Roman" w:hAnsi="Times New Roman" w:cs="Times New Roman"/>
                <w:szCs w:val="24"/>
              </w:rPr>
              <w:tab/>
              <w:t>warunkach i ograniczeniach prowadzonej przez podmiot gospodarczy akcji serwisowej.</w:t>
            </w:r>
          </w:p>
          <w:p w14:paraId="25AEF1AC" w14:textId="77777777" w:rsidR="007702C5" w:rsidRPr="0005306A" w:rsidRDefault="007702C5" w:rsidP="00FD5CD5">
            <w:pPr>
              <w:shd w:val="clear" w:color="auto" w:fill="FFFFFF"/>
              <w:spacing w:after="0" w:line="240" w:lineRule="auto"/>
              <w:ind w:left="510" w:firstLine="510"/>
              <w:rPr>
                <w:rFonts w:ascii="Times New Roman" w:hAnsi="Times New Roman" w:cs="Times New Roman"/>
                <w:sz w:val="24"/>
                <w:szCs w:val="24"/>
              </w:rPr>
            </w:pPr>
            <w:r w:rsidRPr="0005306A">
              <w:rPr>
                <w:rFonts w:ascii="Times New Roman" w:eastAsia="Times New Roman" w:hAnsi="Times New Roman" w:cs="Times New Roman"/>
                <w:sz w:val="24"/>
                <w:szCs w:val="24"/>
                <w:lang w:eastAsia="pl-PL"/>
              </w:rPr>
              <w:t xml:space="preserve">14. </w:t>
            </w:r>
            <w:r w:rsidRPr="0005306A">
              <w:rPr>
                <w:rFonts w:ascii="Times New Roman" w:hAnsi="Times New Roman" w:cs="Times New Roman"/>
                <w:sz w:val="24"/>
                <w:szCs w:val="24"/>
              </w:rPr>
              <w:t>Dyrektor TDT jako organ nadzoru rynku dokonuje wpisu do wykazu akcji</w:t>
            </w:r>
            <w:r w:rsidRPr="0005306A" w:rsidDel="00F720AF">
              <w:rPr>
                <w:rFonts w:ascii="Times New Roman" w:hAnsi="Times New Roman" w:cs="Times New Roman"/>
                <w:sz w:val="24"/>
                <w:szCs w:val="24"/>
              </w:rPr>
              <w:t xml:space="preserve"> </w:t>
            </w:r>
            <w:r w:rsidRPr="0005306A">
              <w:rPr>
                <w:rFonts w:ascii="Times New Roman" w:hAnsi="Times New Roman" w:cs="Times New Roman"/>
                <w:sz w:val="24"/>
                <w:szCs w:val="24"/>
              </w:rPr>
              <w:t>na podstawie:</w:t>
            </w:r>
          </w:p>
          <w:p w14:paraId="437A0C94" w14:textId="77777777" w:rsidR="007702C5" w:rsidRPr="0005306A" w:rsidRDefault="007702C5" w:rsidP="005E0F9D">
            <w:pPr>
              <w:pStyle w:val="ZARTzmartartykuempunktem"/>
              <w:numPr>
                <w:ilvl w:val="0"/>
                <w:numId w:val="14"/>
              </w:numPr>
              <w:suppressAutoHyphens w:val="0"/>
              <w:adjustRightInd/>
              <w:spacing w:line="240" w:lineRule="auto"/>
              <w:jc w:val="left"/>
              <w:rPr>
                <w:rFonts w:ascii="Times New Roman" w:hAnsi="Times New Roman" w:cs="Times New Roman"/>
                <w:szCs w:val="24"/>
              </w:rPr>
            </w:pPr>
            <w:r w:rsidRPr="0005306A">
              <w:rPr>
                <w:rFonts w:ascii="Times New Roman" w:hAnsi="Times New Roman" w:cs="Times New Roman"/>
                <w:szCs w:val="24"/>
              </w:rPr>
              <w:t>własnych działań Dyrektora TDT jako organu nadzoru rynku lub</w:t>
            </w:r>
          </w:p>
          <w:p w14:paraId="3C417357" w14:textId="77777777" w:rsidR="007702C5" w:rsidRPr="0005306A" w:rsidRDefault="007702C5" w:rsidP="005E0F9D">
            <w:pPr>
              <w:pStyle w:val="ZARTzmartartykuempunktem"/>
              <w:numPr>
                <w:ilvl w:val="0"/>
                <w:numId w:val="14"/>
              </w:numPr>
              <w:suppressAutoHyphens w:val="0"/>
              <w:adjustRightInd/>
              <w:spacing w:line="240" w:lineRule="auto"/>
              <w:jc w:val="left"/>
              <w:rPr>
                <w:rFonts w:ascii="Times New Roman" w:hAnsi="Times New Roman" w:cs="Times New Roman"/>
                <w:szCs w:val="24"/>
              </w:rPr>
            </w:pPr>
            <w:r w:rsidRPr="0005306A">
              <w:rPr>
                <w:rFonts w:ascii="Times New Roman" w:hAnsi="Times New Roman" w:cs="Times New Roman"/>
                <w:szCs w:val="24"/>
              </w:rPr>
              <w:t>informacji zamieszczonych w systemie Safety Gate lub</w:t>
            </w:r>
          </w:p>
          <w:p w14:paraId="35F2A7D3" w14:textId="77777777" w:rsidR="007702C5" w:rsidRPr="0005306A" w:rsidRDefault="007702C5" w:rsidP="005E0F9D">
            <w:pPr>
              <w:pStyle w:val="ZARTzmartartykuempunktem"/>
              <w:numPr>
                <w:ilvl w:val="0"/>
                <w:numId w:val="14"/>
              </w:numPr>
              <w:shd w:val="clear" w:color="auto" w:fill="FFFFFF"/>
              <w:spacing w:line="240" w:lineRule="auto"/>
              <w:jc w:val="left"/>
              <w:rPr>
                <w:rFonts w:ascii="Times New Roman" w:eastAsia="Times New Roman" w:hAnsi="Times New Roman" w:cs="Times New Roman"/>
                <w:szCs w:val="24"/>
              </w:rPr>
            </w:pPr>
            <w:r w:rsidRPr="0005306A">
              <w:rPr>
                <w:rFonts w:ascii="Times New Roman" w:hAnsi="Times New Roman" w:cs="Times New Roman"/>
                <w:szCs w:val="24"/>
              </w:rPr>
              <w:t>informacji przekazanych przez organ udzielający homologacji lub</w:t>
            </w:r>
          </w:p>
          <w:p w14:paraId="391D0D9D" w14:textId="77777777" w:rsidR="007702C5" w:rsidRPr="0005306A" w:rsidRDefault="007702C5" w:rsidP="005E0F9D">
            <w:pPr>
              <w:pStyle w:val="ZARTzmartartykuempunktem"/>
              <w:numPr>
                <w:ilvl w:val="0"/>
                <w:numId w:val="14"/>
              </w:numPr>
              <w:shd w:val="clear" w:color="auto" w:fill="FFFFFF"/>
              <w:spacing w:line="240" w:lineRule="auto"/>
              <w:jc w:val="left"/>
              <w:rPr>
                <w:rFonts w:ascii="Times New Roman" w:eastAsia="Times New Roman" w:hAnsi="Times New Roman" w:cs="Times New Roman"/>
                <w:szCs w:val="24"/>
              </w:rPr>
            </w:pPr>
            <w:r w:rsidRPr="0005306A">
              <w:rPr>
                <w:rFonts w:ascii="Times New Roman" w:hAnsi="Times New Roman" w:cs="Times New Roman"/>
                <w:szCs w:val="24"/>
              </w:rPr>
              <w:t>informacji przekazanych przez podmiot gospodarczy.</w:t>
            </w:r>
          </w:p>
          <w:p w14:paraId="2AA01036" w14:textId="77777777" w:rsidR="007702C5" w:rsidRPr="0005306A" w:rsidRDefault="007702C5" w:rsidP="00FD5CD5">
            <w:pPr>
              <w:pStyle w:val="ZARTzmartartykuempunktem"/>
              <w:spacing w:line="240" w:lineRule="auto"/>
              <w:jc w:val="left"/>
              <w:rPr>
                <w:rFonts w:ascii="Times New Roman" w:hAnsi="Times New Roman" w:cs="Times New Roman"/>
                <w:szCs w:val="24"/>
              </w:rPr>
            </w:pPr>
            <w:r w:rsidRPr="0005306A">
              <w:rPr>
                <w:rFonts w:ascii="Times New Roman" w:eastAsia="Times New Roman" w:hAnsi="Times New Roman" w:cs="Times New Roman"/>
                <w:szCs w:val="24"/>
              </w:rPr>
              <w:t xml:space="preserve">15. </w:t>
            </w:r>
            <w:r w:rsidRPr="0005306A">
              <w:rPr>
                <w:rFonts w:ascii="Times New Roman" w:hAnsi="Times New Roman" w:cs="Times New Roman"/>
                <w:szCs w:val="24"/>
              </w:rPr>
              <w:t>Dyrektor TDT jako organ nadzoru rynku może w każdym czasie podać do publicznej wiadomości informacje zawarte w wykazie akcji.</w:t>
            </w:r>
          </w:p>
          <w:p w14:paraId="599AA8BB" w14:textId="77777777" w:rsidR="007702C5" w:rsidRPr="0005306A" w:rsidRDefault="007702C5" w:rsidP="00FD5CD5">
            <w:pPr>
              <w:shd w:val="clear" w:color="auto" w:fill="FFFFFF"/>
              <w:spacing w:after="0" w:line="240" w:lineRule="auto"/>
              <w:ind w:left="510" w:firstLine="510"/>
              <w:rPr>
                <w:rFonts w:ascii="Times New Roman" w:eastAsiaTheme="minorEastAsia" w:hAnsi="Times New Roman" w:cs="Times New Roman"/>
                <w:sz w:val="24"/>
                <w:szCs w:val="24"/>
                <w:lang w:eastAsia="pl-PL"/>
              </w:rPr>
            </w:pPr>
            <w:r w:rsidRPr="0005306A">
              <w:rPr>
                <w:rFonts w:ascii="Times New Roman" w:eastAsia="Times New Roman" w:hAnsi="Times New Roman" w:cs="Times New Roman"/>
                <w:sz w:val="24"/>
                <w:szCs w:val="24"/>
                <w:lang w:eastAsia="pl-PL"/>
              </w:rPr>
              <w:t xml:space="preserve">16. </w:t>
            </w:r>
            <w:r w:rsidRPr="0005306A">
              <w:rPr>
                <w:rFonts w:ascii="Times New Roman" w:eastAsiaTheme="minorEastAsia" w:hAnsi="Times New Roman" w:cs="Times New Roman"/>
                <w:sz w:val="24"/>
                <w:szCs w:val="24"/>
                <w:lang w:eastAsia="pl-PL"/>
              </w:rPr>
              <w:t>Wykaz akcji jest prowadzony z wykorzystaniem systemu teleinformatycznego.</w:t>
            </w:r>
          </w:p>
          <w:p w14:paraId="1D47E1DB" w14:textId="77777777" w:rsidR="007702C5" w:rsidRPr="0005306A" w:rsidRDefault="007702C5" w:rsidP="00FD5CD5">
            <w:pPr>
              <w:shd w:val="clear" w:color="auto" w:fill="FFFFFF"/>
              <w:spacing w:after="0" w:line="240" w:lineRule="auto"/>
              <w:ind w:left="510" w:firstLine="510"/>
              <w:rPr>
                <w:rFonts w:ascii="Times New Roman" w:eastAsia="Times New Roman" w:hAnsi="Times New Roman" w:cs="Times New Roman"/>
                <w:sz w:val="24"/>
                <w:szCs w:val="24"/>
                <w:lang w:eastAsia="pl-PL"/>
              </w:rPr>
            </w:pPr>
            <w:r w:rsidRPr="0005306A">
              <w:rPr>
                <w:rFonts w:ascii="Times New Roman" w:eastAsia="Times New Roman" w:hAnsi="Times New Roman" w:cs="Times New Roman"/>
                <w:sz w:val="24"/>
                <w:szCs w:val="24"/>
                <w:lang w:eastAsia="pl-PL"/>
              </w:rPr>
              <w:t xml:space="preserve">17. Każdy wpis do </w:t>
            </w:r>
            <w:r w:rsidRPr="0005306A">
              <w:rPr>
                <w:rFonts w:ascii="Times New Roman" w:hAnsi="Times New Roman" w:cs="Times New Roman"/>
                <w:sz w:val="24"/>
                <w:szCs w:val="24"/>
              </w:rPr>
              <w:t>wykazu akcji</w:t>
            </w:r>
            <w:r w:rsidRPr="0005306A" w:rsidDel="00F720AF">
              <w:rPr>
                <w:rFonts w:ascii="Times New Roman" w:eastAsia="Times New Roman" w:hAnsi="Times New Roman" w:cs="Times New Roman"/>
                <w:sz w:val="24"/>
                <w:szCs w:val="24"/>
                <w:lang w:eastAsia="pl-PL"/>
              </w:rPr>
              <w:t xml:space="preserve"> </w:t>
            </w:r>
            <w:r w:rsidRPr="0005306A">
              <w:rPr>
                <w:rFonts w:ascii="Times New Roman" w:eastAsia="Times New Roman" w:hAnsi="Times New Roman" w:cs="Times New Roman"/>
                <w:sz w:val="24"/>
                <w:szCs w:val="24"/>
                <w:lang w:eastAsia="pl-PL"/>
              </w:rPr>
              <w:t>dotyczy jednego pojazdu.</w:t>
            </w:r>
          </w:p>
          <w:p w14:paraId="69B052D1" w14:textId="77777777" w:rsidR="007702C5" w:rsidRPr="0005306A" w:rsidRDefault="007702C5" w:rsidP="00FD5CD5">
            <w:pPr>
              <w:shd w:val="clear" w:color="auto" w:fill="FFFFFF"/>
              <w:spacing w:after="0" w:line="240" w:lineRule="auto"/>
              <w:ind w:left="510" w:firstLine="510"/>
              <w:rPr>
                <w:rFonts w:ascii="Times New Roman" w:eastAsia="Times New Roman" w:hAnsi="Times New Roman" w:cs="Times New Roman"/>
                <w:sz w:val="24"/>
                <w:szCs w:val="24"/>
                <w:lang w:eastAsia="pl-PL"/>
              </w:rPr>
            </w:pPr>
            <w:r w:rsidRPr="0005306A">
              <w:rPr>
                <w:rFonts w:ascii="Times New Roman" w:eastAsia="Times New Roman" w:hAnsi="Times New Roman" w:cs="Times New Roman"/>
                <w:sz w:val="24"/>
                <w:szCs w:val="24"/>
                <w:lang w:eastAsia="pl-PL"/>
              </w:rPr>
              <w:t>18. Wykaz akcji umożliwia niezwłoczne wyszukanie, odczytanie oraz wydrukowanie całości albo części zapisanych danych.</w:t>
            </w:r>
          </w:p>
          <w:p w14:paraId="2C6607F9" w14:textId="77777777" w:rsidR="007702C5" w:rsidRPr="0005306A" w:rsidRDefault="007702C5" w:rsidP="00FD5CD5">
            <w:pPr>
              <w:shd w:val="clear" w:color="auto" w:fill="FFFFFF"/>
              <w:spacing w:after="0" w:line="240" w:lineRule="auto"/>
              <w:ind w:left="510" w:firstLine="510"/>
              <w:rPr>
                <w:rFonts w:ascii="Times New Roman" w:eastAsia="Times New Roman" w:hAnsi="Times New Roman" w:cs="Times New Roman"/>
                <w:sz w:val="24"/>
                <w:szCs w:val="24"/>
                <w:lang w:eastAsia="pl-PL"/>
              </w:rPr>
            </w:pPr>
            <w:r w:rsidRPr="0005306A">
              <w:rPr>
                <w:rFonts w:ascii="Times New Roman" w:eastAsia="Times New Roman" w:hAnsi="Times New Roman" w:cs="Times New Roman"/>
                <w:sz w:val="24"/>
                <w:szCs w:val="24"/>
                <w:lang w:eastAsia="pl-PL"/>
              </w:rPr>
              <w:t>19. Dyrektor TDT jako organ nadzoru rynku dokonuje wpisu akcji serwisowej do w</w:t>
            </w:r>
            <w:r w:rsidRPr="0005306A">
              <w:rPr>
                <w:rFonts w:ascii="Times New Roman" w:hAnsi="Times New Roman" w:cs="Times New Roman"/>
                <w:sz w:val="24"/>
                <w:szCs w:val="24"/>
              </w:rPr>
              <w:t>ykazu akcji</w:t>
            </w:r>
            <w:r w:rsidRPr="0005306A">
              <w:rPr>
                <w:rFonts w:ascii="Times New Roman" w:eastAsia="Times New Roman" w:hAnsi="Times New Roman" w:cs="Times New Roman"/>
                <w:sz w:val="24"/>
                <w:szCs w:val="24"/>
                <w:lang w:eastAsia="pl-PL"/>
              </w:rPr>
              <w:t xml:space="preserve"> niezwłocznie po dniu, w którym powziął o niej informacje.</w:t>
            </w:r>
          </w:p>
          <w:p w14:paraId="614CB272" w14:textId="77777777" w:rsidR="007702C5" w:rsidRPr="0005306A" w:rsidRDefault="007702C5" w:rsidP="00FD5CD5">
            <w:pPr>
              <w:pStyle w:val="ZARTzmartartykuempunktem"/>
              <w:spacing w:line="240" w:lineRule="auto"/>
              <w:jc w:val="left"/>
              <w:rPr>
                <w:rFonts w:ascii="Times New Roman" w:hAnsi="Times New Roman" w:cs="Times New Roman"/>
                <w:szCs w:val="24"/>
              </w:rPr>
            </w:pPr>
            <w:r w:rsidRPr="0005306A">
              <w:rPr>
                <w:rFonts w:ascii="Times New Roman" w:hAnsi="Times New Roman" w:cs="Times New Roman"/>
                <w:szCs w:val="24"/>
              </w:rPr>
              <w:t>Art.  68zu. 1. Wprowadzanie do obrotu na terytorium Rzeczypospolitej Polskiej pojazdów podlega opłacie, zwanej dalej „opłatą za nadzór rynku motoryzacyjnego”.</w:t>
            </w:r>
          </w:p>
          <w:p w14:paraId="5666BB32" w14:textId="77777777" w:rsidR="007702C5" w:rsidRPr="0005306A" w:rsidRDefault="007702C5" w:rsidP="00FD5CD5">
            <w:pPr>
              <w:pStyle w:val="ZARTzmar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2. Opłatę za nadzór rynku motoryzacyjnego uiszcza: </w:t>
            </w:r>
          </w:p>
          <w:p w14:paraId="3E2849B3"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1) </w:t>
            </w:r>
            <w:r w:rsidRPr="0005306A">
              <w:rPr>
                <w:rFonts w:ascii="Times New Roman" w:hAnsi="Times New Roman" w:cs="Times New Roman"/>
                <w:szCs w:val="24"/>
              </w:rPr>
              <w:tab/>
              <w:t xml:space="preserve">producent pojazdu niekompletnego albo kompletnego wprowadzający do obrotu na terytorium Rzeczypospolitej Polskiej ten pojazd, samodzielnie albo za pośrednictwem podmiotu gospodarczego; </w:t>
            </w:r>
          </w:p>
          <w:p w14:paraId="2AA03E62"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2) </w:t>
            </w:r>
            <w:r w:rsidRPr="0005306A">
              <w:rPr>
                <w:rFonts w:ascii="Times New Roman" w:hAnsi="Times New Roman" w:cs="Times New Roman"/>
                <w:szCs w:val="24"/>
              </w:rPr>
              <w:tab/>
              <w:t>podmiot gospodarczy wprowadzający do obrotu na terytorium Rzeczypospolitej Polskiej pojazd niekompletny albo kompletny;</w:t>
            </w:r>
          </w:p>
          <w:p w14:paraId="6085EDB9"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3) </w:t>
            </w:r>
            <w:r w:rsidRPr="0005306A">
              <w:rPr>
                <w:rFonts w:ascii="Times New Roman" w:hAnsi="Times New Roman" w:cs="Times New Roman"/>
                <w:szCs w:val="24"/>
              </w:rPr>
              <w:tab/>
              <w:t xml:space="preserve">producent pojazdu wprowadzający do obrotu na terytorium Rzeczypospolitej Polskiej pojazd, który został skompletowany na terytorium innego niż Rzeczypospolita Polska państwa </w:t>
            </w:r>
          </w:p>
          <w:p w14:paraId="0CFDADEC" w14:textId="77777777" w:rsidR="007702C5" w:rsidRPr="0005306A" w:rsidRDefault="007702C5" w:rsidP="00FD5CD5">
            <w:pPr>
              <w:pStyle w:val="ZCZWSPPKTzmczciwsp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objęty jednym z dokumentów, o którym mowa w art. 13 ust. 1 pkt 1, ust. 2 i 3;</w:t>
            </w:r>
          </w:p>
          <w:p w14:paraId="7B05F6CB" w14:textId="77777777" w:rsidR="007702C5" w:rsidRPr="0005306A" w:rsidRDefault="007702C5" w:rsidP="00FD5CD5">
            <w:pPr>
              <w:pStyle w:val="ZPKTzm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4) </w:t>
            </w:r>
            <w:r w:rsidRPr="0005306A">
              <w:rPr>
                <w:rFonts w:ascii="Times New Roman" w:hAnsi="Times New Roman" w:cs="Times New Roman"/>
                <w:szCs w:val="24"/>
              </w:rPr>
              <w:tab/>
              <w:t xml:space="preserve">podmiot gospodarczy wprowadzający do obrotu na terytorium Rzeczypospolitej Polskiej pojazd objęty jednym z dokumentów, o którym mowa w art. 13 ust. 3, jeżeli przed wprowadzeniem do obrotu na terytorium Rzeczypospolitej Polskiej pojazd ten był zarejestrowany w innym niż Rzeczypospolita Polska państwie. </w:t>
            </w:r>
          </w:p>
          <w:p w14:paraId="2ED9D590" w14:textId="77777777" w:rsidR="007702C5" w:rsidRPr="0005306A" w:rsidRDefault="007702C5" w:rsidP="00FD5CD5">
            <w:pPr>
              <w:pStyle w:val="ZUSTzmus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 xml:space="preserve">3. Opłata za nadzór rynku motoryzacyjnego stanowi przychód Dyrektora TDT jako organu nadzoru rynku i jest przeznaczona na finansowanie funkcjonowania i działania Dyrektora TDT jako organu nadzoru rynku w zakresie określonym w art. 3 ust. 3. </w:t>
            </w:r>
          </w:p>
          <w:p w14:paraId="75E2CD0D" w14:textId="77777777" w:rsidR="007702C5" w:rsidRPr="0005306A" w:rsidRDefault="007702C5" w:rsidP="00FD5CD5">
            <w:pPr>
              <w:pStyle w:val="ZUSTzmus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4. Stawka opłaty za nadzór rynku motoryzacyjnego wynosi:</w:t>
            </w:r>
          </w:p>
          <w:p w14:paraId="18E16077" w14:textId="77777777" w:rsidR="007702C5" w:rsidRPr="0005306A" w:rsidRDefault="007702C5" w:rsidP="00FD5CD5">
            <w:pPr>
              <w:pStyle w:val="ZPKTzmpk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 xml:space="preserve">1) </w:t>
            </w:r>
            <w:r w:rsidRPr="0005306A">
              <w:rPr>
                <w:rFonts w:ascii="Times New Roman" w:hAnsi="Times New Roman" w:cs="Times New Roman"/>
                <w:szCs w:val="24"/>
              </w:rPr>
              <w:tab/>
              <w:t>0,05% ceny netto od każdego pojazdu wprowadzonego do obrotu na terytorium Rzeczypospolitej Polskiej w danym kwartale roku kalendarzowego, który został wyprodukowany przez:</w:t>
            </w:r>
          </w:p>
          <w:p w14:paraId="193E68B5" w14:textId="77777777" w:rsidR="007702C5" w:rsidRPr="0005306A" w:rsidRDefault="007702C5" w:rsidP="00FD5CD5">
            <w:pPr>
              <w:pStyle w:val="ZLITwPKTzmlitw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a) </w:t>
            </w:r>
            <w:r w:rsidRPr="0005306A">
              <w:rPr>
                <w:rFonts w:ascii="Times New Roman" w:hAnsi="Times New Roman" w:cs="Times New Roman"/>
                <w:szCs w:val="24"/>
              </w:rPr>
              <w:tab/>
              <w:t>producenta mającego siedzibę na terytorium jednego z państw członkowskich Unii Europejskiej, albo</w:t>
            </w:r>
          </w:p>
          <w:p w14:paraId="0A43B96E" w14:textId="77777777" w:rsidR="007702C5" w:rsidRPr="0005306A" w:rsidRDefault="007702C5" w:rsidP="00FD5CD5">
            <w:pPr>
              <w:pStyle w:val="ZLITwPKTzmlitw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b) </w:t>
            </w:r>
            <w:r w:rsidRPr="0005306A">
              <w:rPr>
                <w:rFonts w:ascii="Times New Roman" w:hAnsi="Times New Roman" w:cs="Times New Roman"/>
                <w:szCs w:val="24"/>
              </w:rPr>
              <w:tab/>
              <w:t>producenta nie posiadającego siedziby na terytorium jednego z państw członkowskich Unii Europejskiej, ale posiadającego na terytorium takiego państwa co najmniej jeden zakład produkcyjny, z uwzględnieniem pkt 2 lit. b;</w:t>
            </w:r>
          </w:p>
          <w:p w14:paraId="632D63FC" w14:textId="77777777" w:rsidR="007702C5" w:rsidRPr="0005306A" w:rsidRDefault="007702C5" w:rsidP="00FD5CD5">
            <w:pPr>
              <w:pStyle w:val="ZPKTzmpk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 xml:space="preserve">2) </w:t>
            </w:r>
            <w:r w:rsidRPr="0005306A">
              <w:rPr>
                <w:rFonts w:ascii="Times New Roman" w:hAnsi="Times New Roman" w:cs="Times New Roman"/>
                <w:szCs w:val="24"/>
              </w:rPr>
              <w:tab/>
              <w:t>1% ceny netto od każdego pojazdu wprowadzonego do obrotu na terytorium Rzeczypospolitej Polskiej w danym kwartale roku kalendarzowego, który został wyprodukowany przez:</w:t>
            </w:r>
          </w:p>
          <w:p w14:paraId="5F61AF22" w14:textId="77777777" w:rsidR="007702C5" w:rsidRPr="0005306A" w:rsidRDefault="007702C5" w:rsidP="00FD5CD5">
            <w:pPr>
              <w:pStyle w:val="ZLITwPKTzmlitw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a) </w:t>
            </w:r>
            <w:r w:rsidRPr="0005306A">
              <w:rPr>
                <w:rFonts w:ascii="Times New Roman" w:hAnsi="Times New Roman" w:cs="Times New Roman"/>
                <w:szCs w:val="24"/>
              </w:rPr>
              <w:tab/>
              <w:t>producenta nieposiadającego siedziby i zakładu produkcyjnego na terytorium jednego z państw członkowskich Unii Europejskiej, lub</w:t>
            </w:r>
          </w:p>
          <w:p w14:paraId="41889D78" w14:textId="77777777" w:rsidR="007702C5" w:rsidRPr="0005306A" w:rsidRDefault="007702C5" w:rsidP="00FD5CD5">
            <w:pPr>
              <w:pStyle w:val="ZLITwPKTzmlitwpk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b) </w:t>
            </w:r>
            <w:r w:rsidRPr="0005306A">
              <w:rPr>
                <w:rFonts w:ascii="Times New Roman" w:hAnsi="Times New Roman" w:cs="Times New Roman"/>
                <w:szCs w:val="24"/>
              </w:rPr>
              <w:tab/>
              <w:t xml:space="preserve">producenta wskazanego w art. 1 ust. 2 rozporządzenia wykonawczego Komisji (UE) 2024/2754 z dnia 29 października 2024 r. nakładającego ostateczne cło wyrównawcze na przywóz nowych pojazdów elektrycznych o napędzie akumulatorowym przeznaczonych do przewozu osób pochodzący z Chińskiej Republiki Ludowej (Dz. Urz. UE L 2024/2754 z 29.10.2024). </w:t>
            </w:r>
          </w:p>
          <w:p w14:paraId="310DD093" w14:textId="77777777" w:rsidR="007702C5" w:rsidRPr="0005306A" w:rsidRDefault="007702C5" w:rsidP="00FD5CD5">
            <w:pPr>
              <w:pStyle w:val="ZUSTzmustartykuempunktem"/>
              <w:keepNext/>
              <w:spacing w:line="240" w:lineRule="auto"/>
              <w:jc w:val="left"/>
              <w:rPr>
                <w:rFonts w:ascii="Times New Roman" w:hAnsi="Times New Roman" w:cs="Times New Roman"/>
                <w:szCs w:val="24"/>
              </w:rPr>
            </w:pPr>
            <w:r w:rsidRPr="0005306A">
              <w:rPr>
                <w:rFonts w:ascii="Times New Roman" w:hAnsi="Times New Roman" w:cs="Times New Roman"/>
                <w:szCs w:val="24"/>
              </w:rPr>
              <w:t>5. Cena netto wprowadzonego do obrotu na terytorium Rzeczypospolitej Polskiej pojazdu jest ustalana przez producenta lub podmioty gospodarcze, o których mowa w ust. 2, na podstawie faktury lub rachunku wystawianego w związku z pierwszą umową umożliwiającą użytkowanie albo dystrybucję tego pojazdu na terytorium Rzeczypospolitej Polskiej.</w:t>
            </w:r>
          </w:p>
          <w:p w14:paraId="7A0751EB"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Art. 68zv. 1. Podmioty, o których mowa w ust. 2, bez wezwania obliczają i uiszczają opłatę za nadzór rynku motoryzacyjnego, na rachunek Dyrektora TDT jako organu nadzoru rynku za okres kwartalny, w terminie do dwudziestego dnia roboczego miesiąca następującego po zakończeniu danego kwartału. </w:t>
            </w:r>
          </w:p>
          <w:p w14:paraId="05DE9F42"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2. Podmioty, o których mowa w art. 68zu ust. 2, przekazują Dyrektorowi TDT jako organowi nadzoru rynku, w drodze elektronicznej przez stronę podmiotową </w:t>
            </w:r>
            <w:hyperlink w:history="1">
              <w:r w:rsidRPr="0005306A">
                <w:rPr>
                  <w:rFonts w:ascii="Times New Roman" w:hAnsi="Times New Roman" w:cs="Times New Roman"/>
                  <w:szCs w:val="24"/>
                </w:rPr>
                <w:t>Transportowego Dozoru T</w:t>
              </w:r>
            </w:hyperlink>
            <w:r w:rsidRPr="0005306A">
              <w:rPr>
                <w:rFonts w:ascii="Times New Roman" w:hAnsi="Times New Roman" w:cs="Times New Roman"/>
                <w:szCs w:val="24"/>
              </w:rPr>
              <w:t>echnicznego, kwartalne informacje o wysokości obliczonych i uiszczonych opłat za nadzór rynku motoryzacyjnego, zgodnie z wzorem opublikowanym na tej stronie, za okres kwartalny, w terminie do dwudziestego dnia roboczego miesiąca następującego po zakończeniu danego kwartału.</w:t>
            </w:r>
          </w:p>
          <w:p w14:paraId="48905642"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3. W przypadku pojazdów wprowadzonych do obrotu na terytorium Rzeczypospolitej Polskiej przez podmioty, o których mowa w art. 68zu ust. 2, za pośrednictwem platform internetowych e-commerce, operatorzy platform przekazują Dyrektorowi TDT jako organowi nadzoru rynku, w drodze elektronicznej przez stronę podmiotową Transportowego Dozoru Technicznego, zbiorczą informację o tych podmiotach, które wprowadziły do obrotu pojazdy, pozwalającą na ustalenie przez Dyrektora TDT jako organ nadzoru rynku wysokości należnej opłaty za nadzór rynku motoryzacyjnego, zgodnie z wzorem opublikowanym na tej stronie, za okres kwartalny, w terminie do dwudziestego dnia roboczego miesiąca następującego po zakończeniu danego kwartału. </w:t>
            </w:r>
          </w:p>
          <w:p w14:paraId="6449ED0E"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4. Podmioty, o których mowa w art. 68zu ust. 2 oraz operatorzy platform, o których mowa w ust. 3, są obowiązani przechowywać przekazane przez nich informacje przez okres 5 lat, licząc od początku roku następującego po roku obrotowym, w którym informacja została przekazana.</w:t>
            </w:r>
          </w:p>
          <w:p w14:paraId="03180C14"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5. Informacje, o których mowa w ust. 2 i 3, opatruje się kwalifikowanym podpisem elektronicznym lub podpisem zaufanym.</w:t>
            </w:r>
          </w:p>
          <w:p w14:paraId="4C941483"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6. Treść informacji, o których mowa w ust. 2 i 3, wykorzystuje się wyłącznie w celu wykonywania zadań przez Dyrektora TDT jako organ nadzoru rynku.</w:t>
            </w:r>
          </w:p>
          <w:p w14:paraId="67E3B6BD"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7. Treść informacji, o których mowa w ust. 2 i 3, stanowi tajemnicę przedsiębiorstwa w rozumieniu art. 11 ustawy z dnia 16 kwietnia 1993 r. o zwalczaniu nieuczciwej konkurencji (Dz. U. z 2026 r. poz. 85).</w:t>
            </w:r>
          </w:p>
          <w:p w14:paraId="25E656A4"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Art. 68zw.</w:t>
            </w:r>
            <w:r w:rsidRPr="0005306A">
              <w:rPr>
                <w:rFonts w:ascii="Times New Roman" w:hAnsi="Times New Roman" w:cs="Times New Roman"/>
                <w:b/>
                <w:szCs w:val="24"/>
              </w:rPr>
              <w:t xml:space="preserve"> </w:t>
            </w:r>
            <w:r w:rsidRPr="0005306A">
              <w:rPr>
                <w:rFonts w:ascii="Times New Roman" w:hAnsi="Times New Roman" w:cs="Times New Roman"/>
                <w:szCs w:val="24"/>
              </w:rPr>
              <w:t>1. W celu dokonania kontroli poprawności złożenia informacji, o której mowa w art. 68zv ust. 2, oraz wyliczenia wysokości opłaty za nadzór rynku motoryzacyjnego, Dyrektor TDT jako organ nadzoru rynku może przeprowadzić kontrole u podmiotów, o których mowa w art. 68zu ust. 2 oraz u operatorów platform, o których mowa w art. 68zv ust. 3.</w:t>
            </w:r>
          </w:p>
          <w:p w14:paraId="10968D39" w14:textId="77777777" w:rsidR="007702C5" w:rsidRPr="0005306A" w:rsidRDefault="007702C5" w:rsidP="00FD5CD5">
            <w:pPr>
              <w:spacing w:after="0" w:line="240" w:lineRule="auto"/>
              <w:ind w:left="510" w:firstLine="510"/>
              <w:rPr>
                <w:rFonts w:ascii="Times New Roman" w:eastAsiaTheme="minorEastAsia" w:hAnsi="Times New Roman" w:cs="Times New Roman"/>
                <w:sz w:val="24"/>
                <w:szCs w:val="24"/>
                <w:lang w:eastAsia="pl-PL"/>
              </w:rPr>
            </w:pPr>
            <w:r w:rsidRPr="0005306A">
              <w:rPr>
                <w:rFonts w:ascii="Times New Roman" w:eastAsiaTheme="minorEastAsia" w:hAnsi="Times New Roman" w:cs="Times New Roman"/>
                <w:sz w:val="24"/>
                <w:szCs w:val="24"/>
                <w:lang w:eastAsia="pl-PL"/>
              </w:rPr>
              <w:t xml:space="preserve">2. Podmioty, o których mowa w art. 68zu ust. 2, oraz operatorzy platform, o których mowa w art. 68zv ust. 3, są obowiązani okazywać w toku kontroli, o której mowa w ust. 2, informacje, o których mowa w art. 68zv ust. 2 i 3 lub faktury lub rachunki, na podstawie których wypełnione zostały te informacje w celu sprawdzenia ich poprawności. </w:t>
            </w:r>
          </w:p>
          <w:p w14:paraId="7AB48DA8"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3. W przypadku stwierdzenia przez Dyrektora TDT nieprawidłowości w ramach kontroli, o której mowa w ust. 1, Dyrektor TDT jako organ nadzoru rynku wydaje decyzję administracyjną:</w:t>
            </w:r>
          </w:p>
          <w:p w14:paraId="7BAB70F2"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1) ustalającą prawidłową wysokość opłaty za nadzór rynku motoryzacyjnego oraz termin jej uiszczenia lub</w:t>
            </w:r>
          </w:p>
          <w:p w14:paraId="7B18EB1F"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2)  w której może nakazać operatorowi platformy zawieszenie na platformie konta podmiotu, o którym mowa w art. 68zu ust. 2, w przypadku gdy podmiot ten nie uiścił opłaty za nadzór rynku motoryzacyjnego lub uiścił ją w niewłaściwej wysokości. </w:t>
            </w:r>
          </w:p>
          <w:p w14:paraId="0601042B"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4. Do kontroli poprawności złożenia informacji oraz wyliczenia wysokości opłaty za nadzór rynku motoryzacyjnego, w zakresie nieuregulowanym w niniejszym artykule, stosuje się przepisy rozdziału 5 ustawy z dnia 6 marca 2018 r. – Prawo przedsiębiorców.</w:t>
            </w:r>
          </w:p>
          <w:p w14:paraId="70099B7E"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Art. 68zx. 1. Na potrzeby dokonania kontroli poprawności złożenia informacji oraz wyliczenia wysokości opłaty za nadzór rynku motoryzacyjnego, o której mowa w art. 68zu ust. 1, Szef Krajowej Administracji Skarbowej sporządza i przedkłada Dyrektorowi TDT jako organowi nadzoru rynku, w terminie do ostatniego dnia miesiąca następującego po upływie każdego kwartału, informację o importerach wprowadzających do obrotu pojazdy.</w:t>
            </w:r>
          </w:p>
          <w:p w14:paraId="3B9F219E" w14:textId="77777777" w:rsidR="007702C5" w:rsidRPr="0005306A" w:rsidRDefault="007702C5" w:rsidP="00FD5CD5">
            <w:pPr>
              <w:pStyle w:val="Default"/>
              <w:ind w:left="510" w:firstLine="510"/>
              <w:rPr>
                <w:color w:val="auto"/>
              </w:rPr>
            </w:pPr>
            <w:r w:rsidRPr="0005306A">
              <w:rPr>
                <w:color w:val="auto"/>
              </w:rPr>
              <w:t>2. Informacja, o której mowa w ust. 1, zawiera:</w:t>
            </w:r>
          </w:p>
          <w:p w14:paraId="62D97327" w14:textId="77777777" w:rsidR="007702C5" w:rsidRPr="0005306A" w:rsidRDefault="007702C5" w:rsidP="005E0F9D">
            <w:pPr>
              <w:pStyle w:val="Default"/>
              <w:numPr>
                <w:ilvl w:val="0"/>
                <w:numId w:val="14"/>
              </w:numPr>
              <w:adjustRightInd/>
              <w:rPr>
                <w:color w:val="auto"/>
              </w:rPr>
            </w:pPr>
            <w:r w:rsidRPr="0005306A">
              <w:rPr>
                <w:color w:val="auto"/>
              </w:rPr>
              <w:t>numer EORI importera;</w:t>
            </w:r>
          </w:p>
          <w:p w14:paraId="4B238751" w14:textId="77777777" w:rsidR="007702C5" w:rsidRPr="0005306A" w:rsidRDefault="007702C5" w:rsidP="005E0F9D">
            <w:pPr>
              <w:pStyle w:val="Default"/>
              <w:numPr>
                <w:ilvl w:val="0"/>
                <w:numId w:val="14"/>
              </w:numPr>
              <w:adjustRightInd/>
              <w:rPr>
                <w:color w:val="auto"/>
              </w:rPr>
            </w:pPr>
            <w:r w:rsidRPr="0005306A">
              <w:rPr>
                <w:color w:val="auto"/>
              </w:rPr>
              <w:t>opis towaru ze zgłoszenia celnego i jego ilość;</w:t>
            </w:r>
          </w:p>
          <w:p w14:paraId="2D0B1AB3" w14:textId="77777777" w:rsidR="007702C5" w:rsidRPr="0005306A" w:rsidRDefault="007702C5" w:rsidP="005E0F9D">
            <w:pPr>
              <w:pStyle w:val="Default"/>
              <w:numPr>
                <w:ilvl w:val="0"/>
                <w:numId w:val="14"/>
              </w:numPr>
              <w:adjustRightInd/>
              <w:rPr>
                <w:color w:val="auto"/>
              </w:rPr>
            </w:pPr>
            <w:r w:rsidRPr="0005306A">
              <w:rPr>
                <w:color w:val="auto"/>
              </w:rPr>
              <w:t>kod CN pojazdu;</w:t>
            </w:r>
          </w:p>
          <w:p w14:paraId="1E0C0A90" w14:textId="77777777" w:rsidR="007702C5" w:rsidRPr="0005306A" w:rsidRDefault="007702C5" w:rsidP="005E0F9D">
            <w:pPr>
              <w:pStyle w:val="Default"/>
              <w:numPr>
                <w:ilvl w:val="0"/>
                <w:numId w:val="14"/>
              </w:numPr>
              <w:adjustRightInd/>
              <w:rPr>
                <w:color w:val="auto"/>
              </w:rPr>
            </w:pPr>
            <w:r w:rsidRPr="0005306A">
              <w:rPr>
                <w:color w:val="auto"/>
              </w:rPr>
              <w:t>wartość statystyczną pojazdu.</w:t>
            </w:r>
          </w:p>
          <w:p w14:paraId="4EFDFF5E" w14:textId="77777777" w:rsidR="007702C5" w:rsidRPr="0005306A" w:rsidRDefault="007702C5" w:rsidP="00FD5CD5">
            <w:pPr>
              <w:spacing w:after="0" w:line="240" w:lineRule="auto"/>
              <w:ind w:left="510" w:firstLine="510"/>
              <w:rPr>
                <w:rFonts w:ascii="Times New Roman" w:eastAsia="Times New Roman" w:hAnsi="Times New Roman" w:cs="Times New Roman"/>
                <w:sz w:val="24"/>
                <w:szCs w:val="24"/>
                <w:lang w:eastAsia="pl-PL"/>
              </w:rPr>
            </w:pPr>
            <w:r w:rsidRPr="0005306A">
              <w:rPr>
                <w:rFonts w:ascii="Times New Roman" w:eastAsia="Times New Roman" w:hAnsi="Times New Roman" w:cs="Times New Roman"/>
                <w:sz w:val="24"/>
                <w:szCs w:val="24"/>
                <w:lang w:eastAsia="pl-PL"/>
              </w:rPr>
              <w:t>3. Informacje, o których mowa w ust. 1, mogą pozostawać w zasobach elektronicznych wykorzystywanych do ich przekazywania i przetwarzania nie dłużej, niż jest to konieczne, a Dyrektor TDT jako organ nadzoru rynku zapewnia ich poufność.</w:t>
            </w:r>
          </w:p>
          <w:p w14:paraId="013A96D0" w14:textId="77777777" w:rsidR="007702C5" w:rsidRPr="0005306A" w:rsidRDefault="00CF3C6A" w:rsidP="00FD5CD5">
            <w:pPr>
              <w:pStyle w:val="ZUSTzmustartykuempunktem"/>
              <w:spacing w:line="240" w:lineRule="auto"/>
              <w:jc w:val="left"/>
              <w:rPr>
                <w:rFonts w:ascii="Times New Roman" w:hAnsi="Times New Roman" w:cs="Times New Roman"/>
                <w:szCs w:val="24"/>
              </w:rPr>
            </w:pPr>
            <w:r w:rsidRPr="0005306A">
              <w:t>Art. 68zy. Minister właściwy do spraw informatyzacji sporządza na podstawie danych zawartych w ewidencji, o których mowa w art. 80b ust. 1 pkt 13 i 18 ustawy – Prawo o ruchu drogowym, i przedkłada Dyrektorowi TDT jako organowi nadzoru rynku, w terminie do 15 dnia drugiego miesiąca następującego po upływie każdego kwartału, zestawienie zarejestrowanych na terytorium Rzeczypospolitej Polskiej pojazdów w danym kwartale, zawierające w szczególności dane i informacje obejmujące rodzaj, kategorię, producenta, markę, model, numer świadectwa homologacji typu oraz datę pierwszej rejestracji w kraju każdego z pojazdów.</w:t>
            </w:r>
          </w:p>
          <w:p w14:paraId="3FB85EFD" w14:textId="77777777" w:rsidR="007702C5" w:rsidRPr="0005306A" w:rsidRDefault="007702C5" w:rsidP="00FD5CD5">
            <w:pPr>
              <w:pStyle w:val="ZUSTzmustartykuempunktem"/>
              <w:spacing w:line="240" w:lineRule="auto"/>
              <w:jc w:val="left"/>
              <w:rPr>
                <w:rFonts w:ascii="Times New Roman" w:hAnsi="Times New Roman" w:cs="Times New Roman"/>
                <w:szCs w:val="24"/>
              </w:rPr>
            </w:pPr>
            <w:r w:rsidRPr="0005306A">
              <w:rPr>
                <w:rFonts w:ascii="Times New Roman" w:hAnsi="Times New Roman" w:cs="Times New Roman"/>
                <w:szCs w:val="24"/>
              </w:rPr>
              <w:t xml:space="preserve">Art. 68zz. Zasady postępowania Dyrektora TDT jako organu nadzoru rynku w odniesieniu do pojazdów, przedmiotów wyposażenia lub części objętych procedurą celną dopuszczenia do obrotu, o której mowa w art. 25 ust. 3 rozporządzenia 2019/1020, realizowaną przez organy celne, określają przepisy art. 26–28 tego rozporządzenia. </w:t>
            </w:r>
          </w:p>
          <w:p w14:paraId="1F20D6F2" w14:textId="77777777" w:rsidR="00A54745" w:rsidRPr="0005306A" w:rsidRDefault="007702C5" w:rsidP="00FD5CD5">
            <w:pPr>
              <w:spacing w:after="0" w:line="240" w:lineRule="auto"/>
              <w:rPr>
                <w:rFonts w:ascii="Times New Roman" w:hAnsi="Times New Roman" w:cs="Times New Roman"/>
                <w:sz w:val="24"/>
                <w:szCs w:val="24"/>
              </w:rPr>
            </w:pPr>
            <w:r w:rsidRPr="0005306A">
              <w:rPr>
                <w:rFonts w:ascii="Times New Roman" w:hAnsi="Times New Roman" w:cs="Times New Roman"/>
                <w:sz w:val="24"/>
                <w:szCs w:val="24"/>
              </w:rPr>
              <w:t>Art. 68zza. Przepisy niniejszego rozdziału, z wyłączeniem art. 68zl ust. 3 oraz art. 68zu, stosuje się odpowiednio do zadań Dyrektora TDT jako organu nadzoru rynku realizowanych w odniesieniu do rowerów, wózków rowerowych, hulajnóg elektrycznych oraz urządzeń transportu osobistego, a także do obowiązków podmiotów gospodarczych, które te rowery, wózki rowerowe, hulajnogi elektryczne oraz urządzenia transportu osobistego wprowadzają do obrotu na terytorium Rzeczypospolitej Polskiej.</w:t>
            </w:r>
          </w:p>
          <w:p w14:paraId="49E2C859" w14:textId="77777777" w:rsidR="008031F8" w:rsidRPr="0005306A" w:rsidRDefault="008031F8" w:rsidP="008031F8">
            <w:pPr>
              <w:pStyle w:val="ZUSTzmustartykuempunktem"/>
              <w:spacing w:line="240" w:lineRule="auto"/>
              <w:ind w:left="68" w:firstLine="0"/>
              <w:jc w:val="left"/>
            </w:pPr>
            <w:r w:rsidRPr="0005306A">
              <w:t>Art. 68zzb. 1. Koszty, o których mowa w art. 68zd ust. 11 i art. 68ze ust. 10, kwoty stanowiące równowartość zwrotu zapłaty, o której mowa w art. 68zp ust. 3 i 5 oraz opłaty, o których mowa wart. 68zs ust. 11 i art. 68zw ust. 3 pkt 1, wraz z odsetkami ustawowymi za opóźnienie, podlegają przymusowemu ściągnięciu w trybie określonym w ustawie z dnia 17 czerwca 1966 r. o postępowaniu egzekucyjnym w administracji (Dz. U. z 2026 r. poz. 268, 516 i 739).</w:t>
            </w:r>
          </w:p>
          <w:p w14:paraId="1C2CCE48" w14:textId="77777777" w:rsidR="008031F8" w:rsidRPr="0005306A" w:rsidRDefault="008031F8" w:rsidP="008031F8">
            <w:pPr>
              <w:pStyle w:val="ZUSTzmustartykuempunktem"/>
              <w:spacing w:line="240" w:lineRule="auto"/>
              <w:ind w:left="68" w:firstLine="0"/>
              <w:jc w:val="left"/>
            </w:pPr>
            <w:r w:rsidRPr="0005306A">
              <w:t xml:space="preserve"> 2. Obowiązek uiszczenia kosztów i opłat, o których mowa w ust. 1, przedawnia się z upływem 5 lat, licząc od ostatniego dnia roku kalendarzowego, w którym koszty lub opłaty powinny zostać uiszczone.”</w:t>
            </w:r>
          </w:p>
          <w:p w14:paraId="7DF272B9" w14:textId="77777777" w:rsidR="008031F8" w:rsidRPr="0005306A" w:rsidRDefault="008031F8" w:rsidP="00FD5CD5">
            <w:pPr>
              <w:spacing w:after="0" w:line="240" w:lineRule="auto"/>
              <w:rPr>
                <w:rFonts w:ascii="Times New Roman" w:eastAsia="Times New Roman" w:hAnsi="Times New Roman" w:cs="Times New Roman"/>
                <w:sz w:val="24"/>
                <w:szCs w:val="24"/>
                <w:lang w:eastAsia="pl-PL"/>
              </w:rPr>
            </w:pPr>
          </w:p>
        </w:tc>
        <w:tc>
          <w:tcPr>
            <w:tcW w:w="2268" w:type="dxa"/>
            <w:tcBorders>
              <w:top w:val="single" w:sz="4" w:space="0" w:color="auto"/>
              <w:left w:val="single" w:sz="4" w:space="0" w:color="auto"/>
              <w:bottom w:val="single" w:sz="4" w:space="0" w:color="auto"/>
              <w:right w:val="single" w:sz="4" w:space="0" w:color="auto"/>
            </w:tcBorders>
          </w:tcPr>
          <w:p w14:paraId="592829DA" w14:textId="77777777" w:rsidR="00A54745" w:rsidRPr="00FB76A9" w:rsidRDefault="00A54745" w:rsidP="00FD5CD5">
            <w:pPr>
              <w:pStyle w:val="ZLITUSTzmustliter"/>
              <w:spacing w:line="240" w:lineRule="auto"/>
              <w:ind w:left="0" w:right="3104" w:firstLine="0"/>
              <w:jc w:val="left"/>
              <w:rPr>
                <w:rFonts w:ascii="Times New Roman" w:hAnsi="Times New Roman" w:cs="Times New Roman"/>
                <w:szCs w:val="24"/>
              </w:rPr>
            </w:pPr>
          </w:p>
        </w:tc>
      </w:tr>
      <w:tr w:rsidR="00781078" w:rsidRPr="00FB76A9" w14:paraId="621F235C" w14:textId="77777777" w:rsidTr="00B923FC">
        <w:trPr>
          <w:trHeight w:val="590"/>
        </w:trPr>
        <w:tc>
          <w:tcPr>
            <w:tcW w:w="988" w:type="dxa"/>
            <w:vMerge w:val="restart"/>
            <w:tcBorders>
              <w:top w:val="single" w:sz="4" w:space="0" w:color="auto"/>
              <w:left w:val="single" w:sz="4" w:space="0" w:color="auto"/>
              <w:right w:val="single" w:sz="4" w:space="0" w:color="auto"/>
            </w:tcBorders>
          </w:tcPr>
          <w:p w14:paraId="7C7E51C8" w14:textId="77777777" w:rsidR="00781078" w:rsidRPr="00A51D93" w:rsidRDefault="00781078" w:rsidP="00FD5CD5">
            <w:pPr>
              <w:spacing w:after="0" w:line="240" w:lineRule="auto"/>
              <w:rPr>
                <w:rFonts w:ascii="Times New Roman" w:eastAsia="Times New Roman" w:hAnsi="Times New Roman" w:cs="Times New Roman"/>
                <w:b/>
                <w:sz w:val="24"/>
                <w:szCs w:val="24"/>
                <w:lang w:eastAsia="pl-PL"/>
              </w:rPr>
            </w:pPr>
            <w:r w:rsidRPr="00A51D93">
              <w:rPr>
                <w:rFonts w:ascii="Times New Roman" w:eastAsia="Times New Roman" w:hAnsi="Times New Roman" w:cs="Times New Roman"/>
                <w:b/>
                <w:sz w:val="24"/>
                <w:szCs w:val="24"/>
                <w:lang w:eastAsia="pl-PL"/>
              </w:rPr>
              <w:lastRenderedPageBreak/>
              <w:t xml:space="preserve">Art. 11 </w:t>
            </w:r>
          </w:p>
          <w:p w14:paraId="15144FFC" w14:textId="77777777" w:rsidR="002964B4" w:rsidRPr="00A51D93" w:rsidRDefault="002964B4" w:rsidP="00FD5CD5">
            <w:pPr>
              <w:spacing w:after="0" w:line="240" w:lineRule="auto"/>
              <w:rPr>
                <w:rFonts w:ascii="Times New Roman" w:eastAsia="Times New Roman" w:hAnsi="Times New Roman" w:cs="Times New Roman"/>
                <w:b/>
                <w:sz w:val="24"/>
                <w:szCs w:val="24"/>
                <w:lang w:eastAsia="pl-PL"/>
              </w:rPr>
            </w:pPr>
            <w:r w:rsidRPr="00A51D93">
              <w:rPr>
                <w:rFonts w:ascii="Times New Roman" w:eastAsia="Times New Roman" w:hAnsi="Times New Roman" w:cs="Times New Roman"/>
                <w:b/>
                <w:sz w:val="24"/>
                <w:szCs w:val="24"/>
                <w:lang w:eastAsia="pl-PL"/>
              </w:rPr>
              <w:t>Art. 12</w:t>
            </w:r>
          </w:p>
          <w:p w14:paraId="474D206F" w14:textId="77777777" w:rsidR="00E60491" w:rsidRPr="00A51D93" w:rsidRDefault="00E60491" w:rsidP="00FD5CD5">
            <w:pPr>
              <w:spacing w:after="0" w:line="240" w:lineRule="auto"/>
              <w:rPr>
                <w:rFonts w:ascii="Times New Roman" w:eastAsia="Times New Roman" w:hAnsi="Times New Roman" w:cs="Times New Roman"/>
                <w:b/>
                <w:sz w:val="24"/>
                <w:szCs w:val="24"/>
                <w:lang w:eastAsia="pl-PL"/>
              </w:rPr>
            </w:pPr>
            <w:r w:rsidRPr="00A51D93">
              <w:rPr>
                <w:rFonts w:ascii="Times New Roman" w:eastAsia="Times New Roman" w:hAnsi="Times New Roman" w:cs="Times New Roman"/>
                <w:b/>
                <w:sz w:val="24"/>
                <w:szCs w:val="24"/>
                <w:lang w:eastAsia="pl-PL"/>
              </w:rPr>
              <w:t xml:space="preserve">Art. 13 </w:t>
            </w:r>
          </w:p>
          <w:p w14:paraId="74E20A67" w14:textId="77777777" w:rsidR="002E281E" w:rsidRPr="00A51D93" w:rsidRDefault="00781078" w:rsidP="00FD5CD5">
            <w:pPr>
              <w:spacing w:after="0" w:line="240" w:lineRule="auto"/>
              <w:rPr>
                <w:rFonts w:ascii="Times New Roman" w:eastAsia="Times New Roman" w:hAnsi="Times New Roman" w:cs="Times New Roman"/>
                <w:b/>
                <w:sz w:val="24"/>
                <w:szCs w:val="24"/>
                <w:lang w:eastAsia="pl-PL"/>
              </w:rPr>
            </w:pPr>
            <w:r w:rsidRPr="00A51D93">
              <w:rPr>
                <w:rFonts w:ascii="Times New Roman" w:eastAsia="Times New Roman" w:hAnsi="Times New Roman" w:cs="Times New Roman"/>
                <w:b/>
                <w:sz w:val="24"/>
                <w:szCs w:val="24"/>
                <w:lang w:eastAsia="pl-PL"/>
              </w:rPr>
              <w:t>Art. 14</w:t>
            </w:r>
          </w:p>
        </w:tc>
        <w:tc>
          <w:tcPr>
            <w:tcW w:w="4961" w:type="dxa"/>
            <w:vMerge w:val="restart"/>
            <w:tcBorders>
              <w:top w:val="single" w:sz="4" w:space="0" w:color="auto"/>
              <w:left w:val="single" w:sz="4" w:space="0" w:color="auto"/>
              <w:right w:val="single" w:sz="4" w:space="0" w:color="auto"/>
            </w:tcBorders>
          </w:tcPr>
          <w:p w14:paraId="1EB60795" w14:textId="77777777" w:rsidR="00781078" w:rsidRPr="00A51D93" w:rsidRDefault="00781078" w:rsidP="00FD5CD5">
            <w:pPr>
              <w:pStyle w:val="CM4"/>
              <w:rPr>
                <w:rFonts w:eastAsia="Times New Roman"/>
                <w:lang w:eastAsia="pl-PL"/>
              </w:rPr>
            </w:pPr>
            <w:r w:rsidRPr="00A51D93">
              <w:t>„</w:t>
            </w:r>
            <w:r w:rsidRPr="00A51D93">
              <w:rPr>
                <w:rFonts w:eastAsia="Times New Roman"/>
                <w:lang w:eastAsia="pl-PL"/>
              </w:rPr>
              <w:t xml:space="preserve">Art. 11 1. Organy nadzoru rynku wykonują swoje działania, aby zapewnić: </w:t>
            </w:r>
          </w:p>
          <w:p w14:paraId="484DA3D7" w14:textId="77777777" w:rsidR="00781078" w:rsidRPr="00A51D93" w:rsidRDefault="00781078" w:rsidP="00FD5CD5">
            <w:pPr>
              <w:pStyle w:val="CM4"/>
              <w:rPr>
                <w:rFonts w:eastAsia="Times New Roman"/>
                <w:lang w:eastAsia="pl-PL"/>
              </w:rPr>
            </w:pPr>
            <w:r w:rsidRPr="00A51D93">
              <w:rPr>
                <w:rFonts w:eastAsia="Times New Roman"/>
                <w:lang w:eastAsia="pl-PL"/>
              </w:rPr>
              <w:t xml:space="preserve">a) skuteczny nadzór rynku na swoim terytorium w odniesieniu do produktów udostępnianych online i offline i podlegających unijnemu prawodawstwu harmonizacyjnemu; </w:t>
            </w:r>
          </w:p>
          <w:p w14:paraId="6593383C" w14:textId="77777777" w:rsidR="00781078" w:rsidRPr="00A51D93" w:rsidRDefault="00781078" w:rsidP="00FD5CD5">
            <w:pPr>
              <w:pStyle w:val="CM4"/>
              <w:rPr>
                <w:rFonts w:eastAsia="Times New Roman"/>
                <w:lang w:eastAsia="pl-PL"/>
              </w:rPr>
            </w:pPr>
            <w:r w:rsidRPr="00A51D93">
              <w:rPr>
                <w:rFonts w:eastAsia="Times New Roman"/>
                <w:lang w:eastAsia="pl-PL"/>
              </w:rPr>
              <w:t xml:space="preserve">b) podjęcie przez podmioty gospodarcze odpowiednich i proporcjonalnych działań naprawczych w stosunku do zgodności z tym prawodawstwem oraz niniejszym rozporządzeniem; </w:t>
            </w:r>
          </w:p>
          <w:p w14:paraId="5BE13A6D" w14:textId="77777777" w:rsidR="00781078" w:rsidRPr="00A51D93" w:rsidRDefault="00781078" w:rsidP="00FD5CD5">
            <w:pPr>
              <w:pStyle w:val="CM4"/>
              <w:rPr>
                <w:rFonts w:eastAsia="Times New Roman"/>
                <w:lang w:eastAsia="pl-PL"/>
              </w:rPr>
            </w:pPr>
            <w:r w:rsidRPr="00A51D93">
              <w:rPr>
                <w:rFonts w:eastAsia="Times New Roman"/>
                <w:lang w:eastAsia="pl-PL"/>
              </w:rPr>
              <w:t xml:space="preserve">c) podjęcie odpowiednich i proporcjonalnych środków, jeżeli podmiot gospodarczy nie podejmie działań naprawczych. </w:t>
            </w:r>
          </w:p>
          <w:p w14:paraId="6A8B3F43" w14:textId="77777777" w:rsidR="00781078" w:rsidRPr="00A51D93" w:rsidRDefault="00781078" w:rsidP="00FD5CD5">
            <w:pPr>
              <w:pStyle w:val="CM4"/>
              <w:rPr>
                <w:rFonts w:eastAsia="Times New Roman"/>
                <w:lang w:eastAsia="pl-PL"/>
              </w:rPr>
            </w:pPr>
            <w:r w:rsidRPr="00A51D93">
              <w:rPr>
                <w:rFonts w:eastAsia="Times New Roman"/>
                <w:lang w:eastAsia="pl-PL"/>
              </w:rPr>
              <w:t xml:space="preserve">2. Organy nadzoru rynku wykonują swoje uprawnienia i obowiązki w sposób niezależny, bezstronny i wolny od uprzedzeń. </w:t>
            </w:r>
          </w:p>
          <w:p w14:paraId="7B06DB1B" w14:textId="77777777" w:rsidR="00781078" w:rsidRPr="00A51D93" w:rsidRDefault="00781078" w:rsidP="00FD5CD5">
            <w:pPr>
              <w:pStyle w:val="CM4"/>
              <w:rPr>
                <w:rFonts w:eastAsia="Times New Roman"/>
                <w:lang w:eastAsia="pl-PL"/>
              </w:rPr>
            </w:pPr>
            <w:r w:rsidRPr="00A51D93">
              <w:rPr>
                <w:rFonts w:eastAsia="Times New Roman"/>
                <w:lang w:eastAsia="pl-PL"/>
              </w:rPr>
              <w:t xml:space="preserve">3. W ramach zadań wymienionych w ust. 1 niniejszego artykułu organy nadzoru rynku przeprowadzają odpowiednie kontrole właściwości produktów w wymaganym zakresie poprzez kontrole dokumentacji oraz, w stosownych przypadkach, kontrole fizyczne i laboratoryjne oparte na odpowiednich próbkach, szeregując pod względem ważności swoje zasoby i działania w celu zapewnienia skutecznego nadzoru rynku oraz z uwzględnieniem krajowej strategii nadzoru rynku, o której mowa w art. 13. </w:t>
            </w:r>
          </w:p>
          <w:p w14:paraId="51109EFB" w14:textId="77777777" w:rsidR="00781078" w:rsidRPr="00A51D93" w:rsidRDefault="00781078" w:rsidP="00FD5CD5">
            <w:pPr>
              <w:pStyle w:val="CM4"/>
              <w:rPr>
                <w:rFonts w:eastAsia="Times New Roman"/>
                <w:lang w:eastAsia="pl-PL"/>
              </w:rPr>
            </w:pPr>
            <w:r w:rsidRPr="00A51D93">
              <w:rPr>
                <w:rFonts w:eastAsia="Times New Roman"/>
                <w:lang w:eastAsia="pl-PL"/>
              </w:rPr>
              <w:t xml:space="preserve">Podejmując decyzję w sprawie wykonywania kontroli, kontrolowanych typów produktów i zakresu kontroli, organy nadzoru rynku stosują podejście oparte na analizie ryzyka i uwzględniają następujące czynniki: </w:t>
            </w:r>
          </w:p>
          <w:p w14:paraId="05AFECE9" w14:textId="77777777" w:rsidR="00781078" w:rsidRPr="00A51D93" w:rsidRDefault="00781078" w:rsidP="00FD5CD5">
            <w:pPr>
              <w:pStyle w:val="CM4"/>
              <w:rPr>
                <w:rFonts w:eastAsia="Times New Roman"/>
                <w:lang w:eastAsia="pl-PL"/>
              </w:rPr>
            </w:pPr>
            <w:r w:rsidRPr="00A51D93">
              <w:rPr>
                <w:rFonts w:eastAsia="Times New Roman"/>
                <w:lang w:eastAsia="pl-PL"/>
              </w:rPr>
              <w:t xml:space="preserve">a) możliwe niebezpieczeństwa i niezgodność związane z produktami oraz, o ile informacje w tym przedmiocie są dostępne, częstotliwość ich występowania na rynku; </w:t>
            </w:r>
          </w:p>
          <w:p w14:paraId="4920656F" w14:textId="77777777" w:rsidR="00781078" w:rsidRPr="00A51D93" w:rsidRDefault="00781078" w:rsidP="00FD5CD5">
            <w:pPr>
              <w:pStyle w:val="CM4"/>
              <w:rPr>
                <w:rFonts w:eastAsia="Times New Roman"/>
                <w:lang w:eastAsia="pl-PL"/>
              </w:rPr>
            </w:pPr>
            <w:r w:rsidRPr="00A51D93">
              <w:rPr>
                <w:rFonts w:eastAsia="Times New Roman"/>
                <w:lang w:eastAsia="pl-PL"/>
              </w:rPr>
              <w:t xml:space="preserve">b) działania i operacje kontrolowane przez podmiot gospodarczy; </w:t>
            </w:r>
          </w:p>
          <w:p w14:paraId="7AE03567" w14:textId="77777777" w:rsidR="00781078" w:rsidRPr="00A51D93" w:rsidRDefault="00781078" w:rsidP="00FD5CD5">
            <w:pPr>
              <w:pStyle w:val="CM4"/>
              <w:rPr>
                <w:rFonts w:eastAsia="Times New Roman"/>
                <w:lang w:eastAsia="pl-PL"/>
              </w:rPr>
            </w:pPr>
            <w:r w:rsidRPr="00A51D93">
              <w:rPr>
                <w:rFonts w:eastAsia="Times New Roman"/>
                <w:lang w:eastAsia="pl-PL"/>
              </w:rPr>
              <w:t>c) zarejestrowana historia występowania niezgodności u danego podmiotu gospodarczego;</w:t>
            </w:r>
          </w:p>
          <w:p w14:paraId="066DA7B5" w14:textId="77777777" w:rsidR="00781078" w:rsidRPr="00A51D93" w:rsidRDefault="00781078" w:rsidP="00FD5CD5">
            <w:pPr>
              <w:pStyle w:val="CM4"/>
              <w:rPr>
                <w:rFonts w:eastAsia="Times New Roman"/>
                <w:lang w:eastAsia="pl-PL"/>
              </w:rPr>
            </w:pPr>
            <w:r w:rsidRPr="00A51D93">
              <w:rPr>
                <w:rFonts w:eastAsia="Times New Roman"/>
                <w:lang w:eastAsia="pl-PL"/>
              </w:rPr>
              <w:t xml:space="preserve">d) w stosownych przypadkach profil ryzyka wykonany przez organy wyznaczone na podstawie art. 25 ust. 1; </w:t>
            </w:r>
          </w:p>
          <w:p w14:paraId="37C784D3" w14:textId="77777777" w:rsidR="00781078" w:rsidRPr="00A51D93" w:rsidRDefault="00781078" w:rsidP="00FD5CD5">
            <w:pPr>
              <w:pStyle w:val="CM4"/>
              <w:rPr>
                <w:rFonts w:eastAsia="Times New Roman"/>
                <w:lang w:eastAsia="pl-PL"/>
              </w:rPr>
            </w:pPr>
            <w:r w:rsidRPr="00A51D93">
              <w:rPr>
                <w:rFonts w:eastAsia="Times New Roman"/>
                <w:lang w:eastAsia="pl-PL"/>
              </w:rPr>
              <w:t xml:space="preserve">e) skargi konsumentów i inne informacje otrzymane od innych organów, podmiotów gospodarczych, mediów i z innych źródeł, które mogą wskazywać na brak zgodności. </w:t>
            </w:r>
          </w:p>
          <w:p w14:paraId="7C3F63B9" w14:textId="77777777" w:rsidR="00781078" w:rsidRPr="00A51D93" w:rsidRDefault="00781078" w:rsidP="00FD5CD5">
            <w:pPr>
              <w:pStyle w:val="CM4"/>
              <w:rPr>
                <w:rFonts w:eastAsia="Times New Roman"/>
                <w:lang w:eastAsia="pl-PL"/>
              </w:rPr>
            </w:pPr>
            <w:r w:rsidRPr="00A51D93">
              <w:rPr>
                <w:rFonts w:eastAsia="Times New Roman"/>
                <w:lang w:eastAsia="pl-PL"/>
              </w:rPr>
              <w:t xml:space="preserve">4. Komisja, po konsultacji z Siecią, może przyjmować akty wykonawcze określające jednolite warunki kontroli, kryteria określania częstotliwości kontroli oraz liczby próbek poddawanych kontroli w odniesieniu do niektórych produktów lub kategorii produktów, w przypadku których stale wykrywa się określone rodzaje ryzyka lub poważne naruszenia mającego zastosowanie unijnego prawodawstwa harmonizacyjnego, w celu zapewnienia wysokiego poziomu ochrony zdrowia i bezpieczeństwa lub innych interesów publicznych chronionych przez to prawodawstwo. Te akty wykonawcze przyjmuje się zgodnie z procedurą sprawdzającą, o której mowa w art. 43 ust. 2. </w:t>
            </w:r>
          </w:p>
          <w:p w14:paraId="26E19E94" w14:textId="77777777" w:rsidR="00781078" w:rsidRPr="00A51D93" w:rsidRDefault="00781078" w:rsidP="00FD5CD5">
            <w:pPr>
              <w:pStyle w:val="CM4"/>
              <w:rPr>
                <w:rFonts w:eastAsia="Times New Roman"/>
                <w:lang w:eastAsia="pl-PL"/>
              </w:rPr>
            </w:pPr>
            <w:r w:rsidRPr="00A51D93">
              <w:rPr>
                <w:rFonts w:eastAsia="Times New Roman"/>
                <w:lang w:eastAsia="pl-PL"/>
              </w:rPr>
              <w:t xml:space="preserve">5. Jeżeli podmioty gospodarcze przedstawiają sprawozdania z badań lub certyfikaty poświadczające zgodność ich produktów z unijnym prawodawstwem harmonizacyjnym, wydane przez jednostkę oceniającą zgodność, akredytowaną na podstawie rozporządzenia (WE) nr 765/2008, organy nadzoru rynku należycie uwzględniają takie sprawozdania lub certyfikaty. </w:t>
            </w:r>
          </w:p>
          <w:p w14:paraId="388D5CAC" w14:textId="77777777" w:rsidR="00781078" w:rsidRPr="00A51D93" w:rsidRDefault="00781078" w:rsidP="00FD5CD5">
            <w:pPr>
              <w:pStyle w:val="CM4"/>
              <w:rPr>
                <w:rFonts w:eastAsia="Times New Roman"/>
                <w:lang w:eastAsia="pl-PL"/>
              </w:rPr>
            </w:pPr>
            <w:r w:rsidRPr="00A51D93">
              <w:rPr>
                <w:rFonts w:eastAsia="Times New Roman"/>
                <w:lang w:eastAsia="pl-PL"/>
              </w:rPr>
              <w:t xml:space="preserve">6. Dowody wykorzystywane przez organ nadzoru rynku w jednym państwie członkowskim mogą być wykorzystywane w celu weryfikacji zgodności produktu z wymaganiami w postępowaniach prowadzonych przez organy nadzoru rynku w innym państwie członkowskim, bez konieczności spełnienia jakichkolwiek dalszych wymagań formalnych. </w:t>
            </w:r>
          </w:p>
          <w:p w14:paraId="22290236" w14:textId="77777777" w:rsidR="00781078" w:rsidRPr="00A51D93" w:rsidRDefault="00781078" w:rsidP="00FD5CD5">
            <w:pPr>
              <w:pStyle w:val="CM4"/>
              <w:rPr>
                <w:rFonts w:eastAsia="Times New Roman"/>
                <w:lang w:eastAsia="pl-PL"/>
              </w:rPr>
            </w:pPr>
            <w:r w:rsidRPr="00A51D93">
              <w:rPr>
                <w:rFonts w:eastAsia="Times New Roman"/>
                <w:lang w:eastAsia="pl-PL"/>
              </w:rPr>
              <w:t xml:space="preserve">7. Organy nadzoru rynku ustanawiają następujące procedury w związku z produktami podlegającymi unijnemu prawodawstwu harmonizacyjnemu: </w:t>
            </w:r>
          </w:p>
          <w:p w14:paraId="1A468F49" w14:textId="77777777" w:rsidR="00781078" w:rsidRPr="00A51D93" w:rsidRDefault="00781078" w:rsidP="00FD5CD5">
            <w:pPr>
              <w:pStyle w:val="CM4"/>
              <w:rPr>
                <w:rFonts w:eastAsia="Times New Roman"/>
                <w:lang w:eastAsia="pl-PL"/>
              </w:rPr>
            </w:pPr>
            <w:r w:rsidRPr="00A51D93">
              <w:rPr>
                <w:rFonts w:eastAsia="Times New Roman"/>
                <w:lang w:eastAsia="pl-PL"/>
              </w:rPr>
              <w:t xml:space="preserve">a) procedury podejmowania działań następczych w związku ze skargami lub sprawozdaniami na temat zagadnień odnoszących się do ryzyka lub niezgodności; </w:t>
            </w:r>
          </w:p>
          <w:p w14:paraId="1FF3A9CE" w14:textId="77777777" w:rsidR="00781078" w:rsidRPr="00A51D93" w:rsidRDefault="00781078" w:rsidP="00FD5CD5">
            <w:pPr>
              <w:pStyle w:val="CM4"/>
              <w:rPr>
                <w:rFonts w:eastAsia="Times New Roman"/>
                <w:lang w:eastAsia="pl-PL"/>
              </w:rPr>
            </w:pPr>
            <w:r w:rsidRPr="00A51D93">
              <w:rPr>
                <w:rFonts w:eastAsia="Times New Roman"/>
                <w:lang w:eastAsia="pl-PL"/>
              </w:rPr>
              <w:t xml:space="preserve">b) procedury pozwalające sprawdzić, czy podmioty gospodarcze podjęły działania naprawcze, które miały podjąć. </w:t>
            </w:r>
          </w:p>
          <w:p w14:paraId="61C605D9" w14:textId="77777777" w:rsidR="00781078" w:rsidRPr="00A51D93" w:rsidRDefault="00781078" w:rsidP="00FD5CD5">
            <w:pPr>
              <w:pStyle w:val="CM4"/>
              <w:rPr>
                <w:rFonts w:eastAsia="Times New Roman"/>
                <w:lang w:eastAsia="pl-PL"/>
              </w:rPr>
            </w:pPr>
            <w:r w:rsidRPr="00A51D93">
              <w:rPr>
                <w:rFonts w:eastAsia="Times New Roman"/>
                <w:lang w:eastAsia="pl-PL"/>
              </w:rPr>
              <w:t xml:space="preserve">8. W celu zapewnienia komunikacji i koordynacji ze swoimi odpowiednikami w innych państwach członkowskich organy nadzoru rynku aktywnie uczestniczą w grupach ds. współpracy administracyjnej (zwanych dalej „grupami ADCO”), o których mowa w art. 30 ust. 2. </w:t>
            </w:r>
          </w:p>
          <w:p w14:paraId="04DB30A6" w14:textId="77777777" w:rsidR="00781078" w:rsidRPr="00A51D93" w:rsidRDefault="00781078" w:rsidP="00FD5CD5">
            <w:pPr>
              <w:pStyle w:val="CM4"/>
              <w:rPr>
                <w:rFonts w:eastAsia="Times New Roman"/>
                <w:lang w:eastAsia="pl-PL"/>
              </w:rPr>
            </w:pPr>
            <w:r w:rsidRPr="00A51D93">
              <w:rPr>
                <w:rFonts w:eastAsia="Times New Roman"/>
                <w:lang w:eastAsia="pl-PL"/>
              </w:rPr>
              <w:t>9. Nie naruszając żadnej unijnej procedury ochronnej zgodnej z mającym zastosowanie unijnym prawodawstwem harmonizacyjnym, jeżeli produkty zostały uznane za niezgodne z wymaganiami na podstawie decyzji organu nadzoru rynku w jednym państwie członkowskim, organy nadzoru rynku w innych państwach członkowskich przyjmują domniemanie, że produkty te są niezgodne z wymaganiami także w innych państwach członkowskich, chyba że odpowiedni organ nadzoru rynku w którymś z tych innych państw członkowskich stwierdzi, że tak nie jest, w drodze przeprowadzanego we własnym zakresie postępowania, uwzględniając ewentualny wkład podmiotu gospodarczego.”</w:t>
            </w:r>
          </w:p>
          <w:p w14:paraId="67E60979" w14:textId="77777777" w:rsidR="002964B4" w:rsidRPr="00A51D93" w:rsidRDefault="002964B4" w:rsidP="00FD5CD5">
            <w:pPr>
              <w:spacing w:after="0" w:line="240" w:lineRule="auto"/>
              <w:rPr>
                <w:rFonts w:ascii="Times New Roman" w:eastAsia="Times New Roman" w:hAnsi="Times New Roman" w:cs="Times New Roman"/>
                <w:bCs/>
                <w:sz w:val="24"/>
                <w:szCs w:val="24"/>
                <w:lang w:eastAsia="pl-PL"/>
              </w:rPr>
            </w:pPr>
            <w:r w:rsidRPr="00A51D93">
              <w:rPr>
                <w:rFonts w:ascii="Times New Roman" w:eastAsia="Times New Roman" w:hAnsi="Times New Roman" w:cs="Times New Roman"/>
                <w:bCs/>
                <w:sz w:val="24"/>
                <w:szCs w:val="24"/>
                <w:lang w:eastAsia="pl-PL"/>
              </w:rPr>
              <w:t>„Art. 12 1. Wzajemne oceny organizuje się dla organów nadzoru rynku, które chcą w nich uczestniczyć, w celu zwiększenia spójności działań nadzoru rynku w związku ze stosowaniem niniejszego rozporządzenia.</w:t>
            </w:r>
          </w:p>
          <w:p w14:paraId="7F06577F" w14:textId="77777777" w:rsidR="002964B4" w:rsidRPr="00A51D93" w:rsidRDefault="002964B4" w:rsidP="00FD5CD5">
            <w:pPr>
              <w:spacing w:after="0" w:line="240" w:lineRule="auto"/>
              <w:rPr>
                <w:rFonts w:ascii="Times New Roman" w:eastAsia="Times New Roman" w:hAnsi="Times New Roman" w:cs="Times New Roman"/>
                <w:bCs/>
                <w:sz w:val="24"/>
                <w:szCs w:val="24"/>
                <w:lang w:eastAsia="pl-PL"/>
              </w:rPr>
            </w:pPr>
            <w:r w:rsidRPr="00A51D93">
              <w:rPr>
                <w:rFonts w:ascii="Times New Roman" w:eastAsia="Times New Roman" w:hAnsi="Times New Roman" w:cs="Times New Roman"/>
                <w:bCs/>
                <w:sz w:val="24"/>
                <w:szCs w:val="24"/>
                <w:lang w:eastAsia="pl-PL"/>
              </w:rPr>
              <w:t>2. Sieć opracowuje metodykę i plan realizacji wzajemnych ocen uczestniczących organów nadzoru rynku. Opracowując metodykę i plan realizacji, Sieć bierze pod uwagę co najmniej liczbę i wielkość organów nadzoru rynku w państwach członkowskich, liczebność członków dostępnego personelu i inne zasoby do wykonania wzajemnej oceny, a także inne odpowiednie kryteria.</w:t>
            </w:r>
          </w:p>
          <w:p w14:paraId="31579C99" w14:textId="77777777" w:rsidR="002964B4" w:rsidRPr="00A51D93" w:rsidRDefault="002964B4" w:rsidP="00FD5CD5">
            <w:pPr>
              <w:spacing w:after="0" w:line="240" w:lineRule="auto"/>
              <w:rPr>
                <w:rFonts w:ascii="Times New Roman" w:eastAsia="Times New Roman" w:hAnsi="Times New Roman" w:cs="Times New Roman"/>
                <w:bCs/>
                <w:sz w:val="24"/>
                <w:szCs w:val="24"/>
                <w:lang w:eastAsia="pl-PL"/>
              </w:rPr>
            </w:pPr>
            <w:r w:rsidRPr="00A51D93">
              <w:rPr>
                <w:rFonts w:ascii="Times New Roman" w:eastAsia="Times New Roman" w:hAnsi="Times New Roman" w:cs="Times New Roman"/>
                <w:bCs/>
                <w:sz w:val="24"/>
                <w:szCs w:val="24"/>
                <w:lang w:eastAsia="pl-PL"/>
              </w:rPr>
              <w:t>3. Wzajemne oceny obejmują najlepsze praktyki opracowane przez niektóre organy nadzoru rynku, które mogą przynieść korzyści innym organom nadzoru rynku oraz inne istotne aspekty związane z efektywnością działań nadzoru rynku.</w:t>
            </w:r>
          </w:p>
          <w:p w14:paraId="091F5DFF" w14:textId="77777777" w:rsidR="00781078" w:rsidRPr="00A51D93" w:rsidRDefault="002964B4" w:rsidP="00FD5CD5">
            <w:pPr>
              <w:spacing w:after="0" w:line="240" w:lineRule="auto"/>
              <w:rPr>
                <w:rFonts w:ascii="Times New Roman" w:eastAsia="Times New Roman" w:hAnsi="Times New Roman" w:cs="Times New Roman"/>
                <w:bCs/>
                <w:sz w:val="24"/>
                <w:szCs w:val="24"/>
                <w:lang w:eastAsia="pl-PL"/>
              </w:rPr>
            </w:pPr>
            <w:r w:rsidRPr="00A51D93">
              <w:rPr>
                <w:rFonts w:ascii="Times New Roman" w:eastAsia="Times New Roman" w:hAnsi="Times New Roman" w:cs="Times New Roman"/>
                <w:bCs/>
                <w:sz w:val="24"/>
                <w:szCs w:val="24"/>
                <w:lang w:eastAsia="pl-PL"/>
              </w:rPr>
              <w:t>4. Wyniki wzajemnych ocen są przekazywane do Sieci.”</w:t>
            </w:r>
          </w:p>
          <w:p w14:paraId="1365ACE5" w14:textId="77777777" w:rsidR="00503B58" w:rsidRPr="00A51D93" w:rsidRDefault="00503B58" w:rsidP="00FD5CD5">
            <w:pPr>
              <w:spacing w:after="0" w:line="240" w:lineRule="auto"/>
              <w:rPr>
                <w:rFonts w:ascii="Times New Roman" w:hAnsi="Times New Roman" w:cs="Times New Roman"/>
                <w:sz w:val="24"/>
                <w:szCs w:val="24"/>
                <w:lang w:eastAsia="pl-PL"/>
              </w:rPr>
            </w:pPr>
          </w:p>
          <w:p w14:paraId="3EA69BF1" w14:textId="77777777" w:rsidR="00503B58" w:rsidRPr="00A51D93" w:rsidRDefault="00503B58" w:rsidP="00FD5CD5">
            <w:pPr>
              <w:spacing w:after="0" w:line="240" w:lineRule="auto"/>
              <w:rPr>
                <w:rFonts w:ascii="Times New Roman" w:hAnsi="Times New Roman" w:cs="Times New Roman"/>
                <w:sz w:val="24"/>
                <w:szCs w:val="24"/>
                <w:lang w:eastAsia="pl-PL"/>
              </w:rPr>
            </w:pPr>
          </w:p>
          <w:p w14:paraId="18B942B9" w14:textId="77777777" w:rsidR="00503B58" w:rsidRPr="00A51D93" w:rsidRDefault="00503B58" w:rsidP="00FD5CD5">
            <w:pPr>
              <w:spacing w:after="0" w:line="240" w:lineRule="auto"/>
              <w:rPr>
                <w:rFonts w:ascii="Times New Roman" w:hAnsi="Times New Roman" w:cs="Times New Roman"/>
                <w:sz w:val="24"/>
                <w:szCs w:val="24"/>
                <w:lang w:eastAsia="pl-PL"/>
              </w:rPr>
            </w:pPr>
            <w:r w:rsidRPr="00A51D93">
              <w:rPr>
                <w:rFonts w:ascii="Times New Roman" w:hAnsi="Times New Roman" w:cs="Times New Roman"/>
                <w:sz w:val="24"/>
                <w:szCs w:val="24"/>
                <w:lang w:eastAsia="pl-PL"/>
              </w:rPr>
              <w:t xml:space="preserve">„Art. 13. 1.Każde państwo członkowskie sporządza co najmniej raz na cztery lata kompleksową krajową strategię nadzoru rynku. Każde państwo członkowskie sporządza pierwszą taką strategię do dnia 16 lipca 2022 r. Krajowa strategia promuje spójne, kompleksowe i zintegrowane podejście do nadzoru rynku i egzekwowania unijnego prawodawstwa harmonizacyjnego na terytorium państwa członkowskiego. Przy opracowywaniu krajowej strategii nadzoru rynku uwzględnia się wszystkie sektory objęte unijnym prawodawstwem harmonizacyjnym i wszystkie etapy łańcucha dostaw produktu, w tym przywóz i cyfrowe łańcuchy dostaw. Można również rozważyć priorytety określone w programie prac Sieci. </w:t>
            </w:r>
          </w:p>
          <w:p w14:paraId="16416257" w14:textId="77777777" w:rsidR="00503B58" w:rsidRPr="00A51D93" w:rsidRDefault="00503B58" w:rsidP="00FD5CD5">
            <w:pPr>
              <w:spacing w:after="0" w:line="240" w:lineRule="auto"/>
              <w:rPr>
                <w:rFonts w:ascii="Times New Roman" w:hAnsi="Times New Roman" w:cs="Times New Roman"/>
                <w:sz w:val="24"/>
                <w:szCs w:val="24"/>
                <w:lang w:eastAsia="pl-PL"/>
              </w:rPr>
            </w:pPr>
            <w:r w:rsidRPr="00A51D93">
              <w:rPr>
                <w:rFonts w:ascii="Times New Roman" w:hAnsi="Times New Roman" w:cs="Times New Roman"/>
                <w:sz w:val="24"/>
                <w:szCs w:val="24"/>
                <w:lang w:eastAsia="pl-PL"/>
              </w:rPr>
              <w:t xml:space="preserve">2.Krajowa strategia nadzoru rynku obejmuje co najmniej następujące elementy, jeżeli nie zagraża to działaniom w zakresie nadzoru rynku: </w:t>
            </w:r>
          </w:p>
          <w:p w14:paraId="656660BF" w14:textId="77777777" w:rsidR="00503B58" w:rsidRPr="00A51D93" w:rsidRDefault="00503B58" w:rsidP="00FD5CD5">
            <w:pPr>
              <w:spacing w:after="0" w:line="240" w:lineRule="auto"/>
              <w:rPr>
                <w:rFonts w:ascii="Times New Roman" w:hAnsi="Times New Roman" w:cs="Times New Roman"/>
                <w:sz w:val="24"/>
                <w:szCs w:val="24"/>
                <w:lang w:eastAsia="pl-PL"/>
              </w:rPr>
            </w:pPr>
            <w:r w:rsidRPr="00A51D93">
              <w:rPr>
                <w:rFonts w:ascii="Times New Roman" w:hAnsi="Times New Roman" w:cs="Times New Roman"/>
                <w:sz w:val="24"/>
                <w:szCs w:val="24"/>
                <w:lang w:eastAsia="pl-PL"/>
              </w:rPr>
              <w:t xml:space="preserve">a) dostępne informacje o występowaniu produktów niezgodnych z wymaganiami, w szczególności z uwzględnieniem kontroli, o których mowa, odpowiednio, w art. 11 ust. 3 i art. 25 ust. 3, a w stosownych przypadkach tendencji rynkowych, które mogą mieć wpływ na wskaźniki niezgodności w kategoriach produktów, oraz ewentualnych zagrożeń i ryzyka związanych z powstającymi technologiami; </w:t>
            </w:r>
          </w:p>
          <w:p w14:paraId="239A619F" w14:textId="77777777" w:rsidR="00503B58" w:rsidRPr="00A51D93" w:rsidRDefault="00503B58" w:rsidP="00FD5CD5">
            <w:pPr>
              <w:spacing w:after="0" w:line="240" w:lineRule="auto"/>
              <w:rPr>
                <w:rFonts w:ascii="Times New Roman" w:hAnsi="Times New Roman" w:cs="Times New Roman"/>
                <w:sz w:val="24"/>
                <w:szCs w:val="24"/>
                <w:lang w:eastAsia="pl-PL"/>
              </w:rPr>
            </w:pPr>
            <w:r w:rsidRPr="00A51D93">
              <w:rPr>
                <w:rFonts w:ascii="Times New Roman" w:hAnsi="Times New Roman" w:cs="Times New Roman"/>
                <w:sz w:val="24"/>
                <w:szCs w:val="24"/>
                <w:lang w:eastAsia="pl-PL"/>
              </w:rPr>
              <w:t>b) obszary zidentyfikowane przez państwa członkowskie jako priorytetowe pod względem egzekwowania unijnego prawodawstwa harmonizacyjnego;</w:t>
            </w:r>
          </w:p>
          <w:p w14:paraId="749FC941" w14:textId="77777777" w:rsidR="00503B58" w:rsidRPr="00A51D93" w:rsidRDefault="00503B58" w:rsidP="00FD5CD5">
            <w:pPr>
              <w:spacing w:after="0" w:line="240" w:lineRule="auto"/>
              <w:rPr>
                <w:rFonts w:ascii="Times New Roman" w:hAnsi="Times New Roman" w:cs="Times New Roman"/>
                <w:sz w:val="24"/>
                <w:szCs w:val="24"/>
                <w:lang w:eastAsia="pl-PL"/>
              </w:rPr>
            </w:pPr>
          </w:p>
          <w:p w14:paraId="30F8C12B" w14:textId="77777777" w:rsidR="00503B58" w:rsidRPr="00A51D93" w:rsidRDefault="00503B58" w:rsidP="00FD5CD5">
            <w:pPr>
              <w:spacing w:after="0" w:line="240" w:lineRule="auto"/>
              <w:rPr>
                <w:rFonts w:ascii="Times New Roman" w:hAnsi="Times New Roman" w:cs="Times New Roman"/>
                <w:sz w:val="24"/>
                <w:szCs w:val="24"/>
                <w:lang w:eastAsia="pl-PL"/>
              </w:rPr>
            </w:pPr>
            <w:r w:rsidRPr="00A51D93">
              <w:rPr>
                <w:rFonts w:ascii="Times New Roman" w:hAnsi="Times New Roman" w:cs="Times New Roman"/>
                <w:sz w:val="24"/>
                <w:szCs w:val="24"/>
                <w:lang w:eastAsia="pl-PL"/>
              </w:rPr>
              <w:t xml:space="preserve">c) działania w zakresie egzekwowania przepisów planowane w celu zmniejszenia występowania niezgodności w obszarach wskazanych jako priorytetowe, w tym – w stosownych przypadkach – minimalny poziom kontroli przewidziany dla kategorii produktów, które wykazują znaczny poziom niezgodności; </w:t>
            </w:r>
          </w:p>
          <w:p w14:paraId="52176084" w14:textId="77777777" w:rsidR="00503B58" w:rsidRPr="00A51D93" w:rsidRDefault="00503B58" w:rsidP="00FD5CD5">
            <w:pPr>
              <w:spacing w:after="0" w:line="240" w:lineRule="auto"/>
              <w:rPr>
                <w:rFonts w:ascii="Times New Roman" w:hAnsi="Times New Roman" w:cs="Times New Roman"/>
                <w:sz w:val="24"/>
                <w:szCs w:val="24"/>
                <w:lang w:eastAsia="pl-PL"/>
              </w:rPr>
            </w:pPr>
            <w:r w:rsidRPr="00A51D93">
              <w:rPr>
                <w:rFonts w:ascii="Times New Roman" w:hAnsi="Times New Roman" w:cs="Times New Roman"/>
                <w:sz w:val="24"/>
                <w:szCs w:val="24"/>
                <w:lang w:eastAsia="pl-PL"/>
              </w:rPr>
              <w:t xml:space="preserve">d) ocenę współpracy z organami nadzoru rynku w innych państwach członkowskich, o której mowa w art. 11 ust. 8 i rozdziale VI. </w:t>
            </w:r>
          </w:p>
          <w:p w14:paraId="65DE963F" w14:textId="77777777" w:rsidR="00503B58" w:rsidRPr="00A51D93" w:rsidRDefault="00503B58" w:rsidP="00FD5CD5">
            <w:pPr>
              <w:spacing w:after="0" w:line="240" w:lineRule="auto"/>
              <w:rPr>
                <w:rFonts w:ascii="Times New Roman" w:hAnsi="Times New Roman" w:cs="Times New Roman"/>
                <w:sz w:val="24"/>
                <w:szCs w:val="24"/>
                <w:lang w:eastAsia="pl-PL"/>
              </w:rPr>
            </w:pPr>
            <w:r w:rsidRPr="00A51D93">
              <w:rPr>
                <w:rFonts w:ascii="Times New Roman" w:hAnsi="Times New Roman" w:cs="Times New Roman"/>
                <w:sz w:val="24"/>
                <w:szCs w:val="24"/>
                <w:lang w:eastAsia="pl-PL"/>
              </w:rPr>
              <w:t>3.Państwa członkowskie przedstawiają swoją krajową strategię nadzoru rynku Komisji i innym państwom członkowskim za pośrednictwem systemu informacyjnego i komunikacyjnego, o którym mowa w art. 34. Każde państwo członkowskie publikuje podsumowanie swojej strategii.”</w:t>
            </w:r>
          </w:p>
          <w:p w14:paraId="2736D71D" w14:textId="77777777" w:rsidR="00503B58" w:rsidRPr="00A51D93" w:rsidRDefault="00503B58" w:rsidP="00FD5CD5">
            <w:pPr>
              <w:spacing w:after="0" w:line="240" w:lineRule="auto"/>
              <w:rPr>
                <w:rFonts w:ascii="Times New Roman" w:hAnsi="Times New Roman" w:cs="Times New Roman"/>
                <w:sz w:val="24"/>
                <w:szCs w:val="24"/>
                <w:lang w:eastAsia="pl-PL"/>
              </w:rPr>
            </w:pPr>
          </w:p>
          <w:p w14:paraId="7DE74068" w14:textId="77777777" w:rsidR="00503B58" w:rsidRPr="00A51D93" w:rsidRDefault="00503B58" w:rsidP="00FD5CD5">
            <w:pPr>
              <w:spacing w:after="0" w:line="240" w:lineRule="auto"/>
              <w:rPr>
                <w:rFonts w:ascii="Times New Roman" w:hAnsi="Times New Roman" w:cs="Times New Roman"/>
                <w:sz w:val="24"/>
                <w:szCs w:val="24"/>
                <w:lang w:eastAsia="pl-PL"/>
              </w:rPr>
            </w:pPr>
          </w:p>
          <w:p w14:paraId="2B9EE3EC" w14:textId="77777777" w:rsidR="00781078" w:rsidRPr="00A51D93" w:rsidRDefault="00781078" w:rsidP="00FD5CD5">
            <w:pPr>
              <w:shd w:val="clear" w:color="auto" w:fill="FFFFFF"/>
              <w:spacing w:after="0" w:line="240" w:lineRule="auto"/>
              <w:rPr>
                <w:rFonts w:ascii="Times New Roman" w:eastAsia="Times New Roman" w:hAnsi="Times New Roman" w:cs="Times New Roman"/>
                <w:sz w:val="24"/>
                <w:szCs w:val="24"/>
                <w:lang w:eastAsia="pl-PL"/>
              </w:rPr>
            </w:pPr>
            <w:r w:rsidRPr="00A51D93">
              <w:rPr>
                <w:rFonts w:ascii="Times New Roman" w:eastAsia="Times New Roman" w:hAnsi="Times New Roman" w:cs="Times New Roman"/>
                <w:bCs/>
                <w:sz w:val="24"/>
                <w:szCs w:val="24"/>
                <w:lang w:eastAsia="pl-PL"/>
              </w:rPr>
              <w:t>„Art. 14</w:t>
            </w:r>
            <w:r w:rsidRPr="00A51D93">
              <w:rPr>
                <w:rFonts w:ascii="Times New Roman" w:eastAsia="Times New Roman" w:hAnsi="Times New Roman" w:cs="Times New Roman"/>
                <w:b/>
                <w:bCs/>
                <w:sz w:val="24"/>
                <w:szCs w:val="24"/>
                <w:lang w:eastAsia="pl-PL"/>
              </w:rPr>
              <w:t xml:space="preserve"> </w:t>
            </w:r>
            <w:r w:rsidRPr="00A51D93">
              <w:rPr>
                <w:rFonts w:ascii="Times New Roman" w:eastAsia="Times New Roman" w:hAnsi="Times New Roman" w:cs="Times New Roman"/>
                <w:sz w:val="24"/>
                <w:szCs w:val="24"/>
                <w:lang w:eastAsia="pl-PL"/>
              </w:rPr>
              <w:t>1. Państwa członkowskie nadają swoim organom nadzoru rynku uprawnienia do nadzorowania rynku, prowadzenia postępowań i egzekwowania przepisów, które są niezbędne do stosowania niniejszego rozporządzenia oraz do stosowania unijnego prawodawstwa harmonizacyjnego.</w:t>
            </w:r>
          </w:p>
          <w:p w14:paraId="099A9E3E" w14:textId="77777777" w:rsidR="00781078" w:rsidRPr="00A51D93" w:rsidRDefault="00781078" w:rsidP="00FD5CD5">
            <w:pPr>
              <w:pStyle w:val="ZPKTzmpktartykuempunktem"/>
              <w:keepNext/>
              <w:spacing w:line="240" w:lineRule="auto"/>
              <w:ind w:left="0" w:firstLine="0"/>
              <w:jc w:val="left"/>
              <w:rPr>
                <w:rFonts w:ascii="Times New Roman" w:hAnsi="Times New Roman" w:cs="Times New Roman"/>
                <w:szCs w:val="24"/>
              </w:rPr>
            </w:pPr>
            <w:r w:rsidRPr="00A51D93">
              <w:rPr>
                <w:rFonts w:ascii="Times New Roman" w:hAnsi="Times New Roman" w:cs="Times New Roman"/>
                <w:szCs w:val="24"/>
              </w:rPr>
              <w:t xml:space="preserve">2. Organy nadzoru rynku wykonują uprawnienia określone w niniejszym artykule w sposób skuteczny i efektywny, zgodnie z zasadą proporcjonalności, w takim zakresie, w jakim takie wykonywanie uprawnień dotyczy danej kwestii oraz celu środków oraz charakteru i ogólnej rzeczywistej lub potencjalnej szkody spowodowanej danym przypadkiem niezgodności. Uprawnienia są nadawane i wykonywane zgodnie z prawem Unii i prawem krajowym, w tym z zasadami Karty praw podstawowych Unii Europejskiej, a także z zasadami prawa krajowego dotyczącymi wolności wypowiedzi oraz wolności i pluralizmu mediów, obowiązującymi gwarancjami proceduralnymi i unijnymi przepisami w zakresie ochrony danych, w szczególności z rozporządzeniem (UE) 2016/679. </w:t>
            </w:r>
          </w:p>
          <w:p w14:paraId="0BB56B45" w14:textId="77777777" w:rsidR="00781078" w:rsidRPr="00A51D93" w:rsidRDefault="00781078" w:rsidP="00FD5CD5">
            <w:pPr>
              <w:pStyle w:val="ZPKTzmpktartykuempunktem"/>
              <w:keepNext/>
              <w:spacing w:line="240" w:lineRule="auto"/>
              <w:ind w:left="264" w:hanging="283"/>
              <w:jc w:val="left"/>
              <w:rPr>
                <w:rFonts w:ascii="Times New Roman" w:hAnsi="Times New Roman" w:cs="Times New Roman"/>
                <w:szCs w:val="24"/>
              </w:rPr>
            </w:pPr>
            <w:r w:rsidRPr="00A51D93">
              <w:rPr>
                <w:rFonts w:ascii="Times New Roman" w:hAnsi="Times New Roman" w:cs="Times New Roman"/>
                <w:szCs w:val="24"/>
              </w:rPr>
              <w:t xml:space="preserve">3. Nadając uprawnienia na podstawie ust. 1, państwa członkowskie mogą określić, że uprawnienie mogą być wykonywane odpowiednio w jeden z następujących sposobów: </w:t>
            </w:r>
          </w:p>
          <w:p w14:paraId="49E0F920" w14:textId="77777777" w:rsidR="00781078" w:rsidRPr="00A51D93" w:rsidRDefault="00781078" w:rsidP="00FD5CD5">
            <w:pPr>
              <w:pStyle w:val="ZPKTzmpktartykuempunktem"/>
              <w:keepNext/>
              <w:spacing w:line="240" w:lineRule="auto"/>
              <w:ind w:left="264" w:hanging="283"/>
              <w:jc w:val="left"/>
              <w:rPr>
                <w:rFonts w:ascii="Times New Roman" w:hAnsi="Times New Roman" w:cs="Times New Roman"/>
                <w:szCs w:val="24"/>
              </w:rPr>
            </w:pPr>
            <w:r w:rsidRPr="00A51D93">
              <w:rPr>
                <w:rFonts w:ascii="Times New Roman" w:hAnsi="Times New Roman" w:cs="Times New Roman"/>
                <w:szCs w:val="24"/>
              </w:rPr>
              <w:t xml:space="preserve">a) bezpośrednio przez organy nadzoru rynku na mocy własnych uprawnień; </w:t>
            </w:r>
          </w:p>
          <w:p w14:paraId="56C23044" w14:textId="77777777" w:rsidR="00781078" w:rsidRPr="00A51D93" w:rsidRDefault="00781078" w:rsidP="00FD5CD5">
            <w:pPr>
              <w:pStyle w:val="ZPKTzmpktartykuempunktem"/>
              <w:keepNext/>
              <w:spacing w:line="240" w:lineRule="auto"/>
              <w:ind w:left="264" w:hanging="283"/>
              <w:jc w:val="left"/>
              <w:rPr>
                <w:rFonts w:ascii="Times New Roman" w:hAnsi="Times New Roman" w:cs="Times New Roman"/>
                <w:szCs w:val="24"/>
              </w:rPr>
            </w:pPr>
            <w:r w:rsidRPr="00A51D93">
              <w:rPr>
                <w:rFonts w:ascii="Times New Roman" w:hAnsi="Times New Roman" w:cs="Times New Roman"/>
                <w:szCs w:val="24"/>
              </w:rPr>
              <w:t xml:space="preserve">b) poprzez odwołanie się do innych organów publicznych zgodnie z zasadą podziału władz i instytucjonalną i administracyjną strukturą danego państwa członkowskiego; </w:t>
            </w:r>
          </w:p>
          <w:p w14:paraId="72C29344" w14:textId="77777777" w:rsidR="00781078" w:rsidRPr="00A51D93" w:rsidRDefault="00781078" w:rsidP="00FD5CD5">
            <w:pPr>
              <w:pStyle w:val="ZPKTzmpktartykuempunktem"/>
              <w:keepNext/>
              <w:spacing w:line="240" w:lineRule="auto"/>
              <w:ind w:left="264" w:hanging="283"/>
              <w:jc w:val="left"/>
              <w:rPr>
                <w:rFonts w:ascii="Times New Roman" w:hAnsi="Times New Roman" w:cs="Times New Roman"/>
                <w:szCs w:val="24"/>
              </w:rPr>
            </w:pPr>
            <w:r w:rsidRPr="00A51D93">
              <w:rPr>
                <w:rFonts w:ascii="Times New Roman" w:hAnsi="Times New Roman" w:cs="Times New Roman"/>
                <w:szCs w:val="24"/>
              </w:rPr>
              <w:t xml:space="preserve">c) przez wniesienie środka prawnego do sądów właściwych do wydania niezbędnej decyzji dotyczącej zatwierdzenia wykonania danego uprawnienia, w tym, w stosownych przypadkach, przez wniesienie środka odwoławczego, jeżeli wniosek o wydanie niezbędnej decyzji został załatwiony negatywnie. </w:t>
            </w:r>
          </w:p>
          <w:p w14:paraId="2D988D7E" w14:textId="77777777" w:rsidR="00781078" w:rsidRPr="00A51D93" w:rsidRDefault="00781078" w:rsidP="00FD5CD5">
            <w:pPr>
              <w:pStyle w:val="ZPKTzmpktartykuempunktem"/>
              <w:keepNext/>
              <w:spacing w:line="240" w:lineRule="auto"/>
              <w:ind w:left="264" w:hanging="283"/>
              <w:jc w:val="left"/>
              <w:rPr>
                <w:rFonts w:ascii="Times New Roman" w:hAnsi="Times New Roman" w:cs="Times New Roman"/>
                <w:szCs w:val="24"/>
              </w:rPr>
            </w:pPr>
            <w:r w:rsidRPr="00A51D93">
              <w:rPr>
                <w:rFonts w:ascii="Times New Roman" w:hAnsi="Times New Roman" w:cs="Times New Roman"/>
                <w:szCs w:val="24"/>
              </w:rPr>
              <w:t xml:space="preserve">4. Uprawnienia nadane organom nadzoru rynku na mocy ust. 1 obejmują co najmniej następujące uprawnienia: </w:t>
            </w:r>
          </w:p>
          <w:p w14:paraId="5078E2EE" w14:textId="77777777" w:rsidR="00781078" w:rsidRPr="00A51D93" w:rsidRDefault="00781078" w:rsidP="00FD5CD5">
            <w:pPr>
              <w:pStyle w:val="ZPKTzmpktartykuempunktem"/>
              <w:keepNext/>
              <w:spacing w:line="240" w:lineRule="auto"/>
              <w:ind w:left="264" w:hanging="283"/>
              <w:jc w:val="left"/>
              <w:rPr>
                <w:rFonts w:ascii="Times New Roman" w:hAnsi="Times New Roman" w:cs="Times New Roman"/>
                <w:szCs w:val="24"/>
              </w:rPr>
            </w:pPr>
            <w:r w:rsidRPr="00A51D93">
              <w:rPr>
                <w:rFonts w:ascii="Times New Roman" w:hAnsi="Times New Roman" w:cs="Times New Roman"/>
                <w:szCs w:val="24"/>
              </w:rPr>
              <w:t xml:space="preserve">a) uprawnienia do wymagania od podmiotów gospodarczych przedstawienia odpowiednich dokumentów, specyfikacji technicznych, danych lub informacji dotyczących zgodności i aspektów technicznych produktu, w tym udzielenia dostępu do wbudowanego oprogramowania w zakresie, w jakim taki dostęp jest niezbędny do celów oceny zgodności produktu z obowiązującym unijnym prawodawstwem harmonizacyjnym, w każdej formie lub formacie i niezależnie od nośnika danych lub miejsca, w którym takie dokumenty, specyfikacje techniczne, dane lub informacje są przechowywane, oraz uprawnienia do przyjęcia lub pozyskania kopii tych dokumentów, specyfikacji technicznych, danych lub informacji; </w:t>
            </w:r>
          </w:p>
          <w:p w14:paraId="48A69B3A" w14:textId="77777777" w:rsidR="00781078" w:rsidRPr="00A51D93" w:rsidRDefault="00781078" w:rsidP="00FD5CD5">
            <w:pPr>
              <w:pStyle w:val="ZPKTzmpktartykuempunktem"/>
              <w:keepNext/>
              <w:spacing w:line="240" w:lineRule="auto"/>
              <w:ind w:left="123" w:firstLine="0"/>
              <w:jc w:val="left"/>
              <w:rPr>
                <w:rFonts w:ascii="Times New Roman" w:hAnsi="Times New Roman" w:cs="Times New Roman"/>
                <w:szCs w:val="24"/>
              </w:rPr>
            </w:pPr>
            <w:r w:rsidRPr="00A51D93">
              <w:rPr>
                <w:rFonts w:ascii="Times New Roman" w:hAnsi="Times New Roman" w:cs="Times New Roman"/>
                <w:szCs w:val="24"/>
              </w:rPr>
              <w:t xml:space="preserve">b) uprawnienia do wymagania od podmiotów gospodarczych przedstawienia odpowiednich informacji na temat łańcucha dostaw, szczegółów sieci dystrybucji, ilości produktów na rynku oraz innych modeli produktu o takich samych właściwościach technicznych jak dany produkt, o ile ma to znaczenie dla zgodności z mającymi zastosowanie wymaganiami określonymi w unijnym prawodawstwie harmonizacyjnym; </w:t>
            </w:r>
          </w:p>
          <w:p w14:paraId="3A9DE6F3" w14:textId="77777777" w:rsidR="00781078" w:rsidRPr="00A51D93" w:rsidRDefault="00781078" w:rsidP="00FD5CD5">
            <w:pPr>
              <w:pStyle w:val="ZPKTzmpktartykuempunktem"/>
              <w:keepNext/>
              <w:spacing w:line="240" w:lineRule="auto"/>
              <w:ind w:left="123" w:firstLine="0"/>
              <w:jc w:val="left"/>
              <w:rPr>
                <w:rFonts w:ascii="Times New Roman" w:hAnsi="Times New Roman" w:cs="Times New Roman"/>
                <w:szCs w:val="24"/>
              </w:rPr>
            </w:pPr>
            <w:r w:rsidRPr="00A51D93">
              <w:rPr>
                <w:rFonts w:ascii="Times New Roman" w:hAnsi="Times New Roman" w:cs="Times New Roman"/>
                <w:szCs w:val="24"/>
              </w:rPr>
              <w:t xml:space="preserve">c) uprawnienia do wymagania od podmiotów gospodarczych przedstawienia istotnych informacji niezbędnych do ustalenia własności stron internetowych, jeżeli te informacje dotyczą przedmiotu postępowania; </w:t>
            </w:r>
          </w:p>
          <w:p w14:paraId="56B1BAD0" w14:textId="77777777" w:rsidR="00781078" w:rsidRPr="00A51D93" w:rsidRDefault="00781078" w:rsidP="00FD5CD5">
            <w:pPr>
              <w:pStyle w:val="ZPKTzmpktartykuempunktem"/>
              <w:keepNext/>
              <w:spacing w:line="240" w:lineRule="auto"/>
              <w:ind w:left="123" w:firstLine="0"/>
              <w:jc w:val="left"/>
              <w:rPr>
                <w:rFonts w:ascii="Times New Roman" w:hAnsi="Times New Roman" w:cs="Times New Roman"/>
                <w:szCs w:val="24"/>
              </w:rPr>
            </w:pPr>
            <w:r w:rsidRPr="00A51D93">
              <w:rPr>
                <w:rFonts w:ascii="Times New Roman" w:hAnsi="Times New Roman" w:cs="Times New Roman"/>
                <w:szCs w:val="24"/>
              </w:rPr>
              <w:t xml:space="preserve">d) uprawnienia do przeprowadzenia niezapowiedzianych kontroli na miejscu i kontroli fizycznych produktów; </w:t>
            </w:r>
          </w:p>
          <w:p w14:paraId="7B58A2CA" w14:textId="77777777" w:rsidR="00781078" w:rsidRPr="00A51D93" w:rsidRDefault="00781078" w:rsidP="00FD5CD5">
            <w:pPr>
              <w:pStyle w:val="ZPKTzmpktartykuempunktem"/>
              <w:keepNext/>
              <w:spacing w:line="240" w:lineRule="auto"/>
              <w:ind w:left="123" w:firstLine="0"/>
              <w:jc w:val="left"/>
              <w:rPr>
                <w:rFonts w:ascii="Times New Roman" w:hAnsi="Times New Roman" w:cs="Times New Roman"/>
                <w:szCs w:val="24"/>
              </w:rPr>
            </w:pPr>
            <w:r w:rsidRPr="00A51D93">
              <w:rPr>
                <w:rFonts w:ascii="Times New Roman" w:hAnsi="Times New Roman" w:cs="Times New Roman"/>
                <w:szCs w:val="24"/>
              </w:rPr>
              <w:t xml:space="preserve">e) uprawnienia do wizytowania wszelkich obiektów, terenów lub środków transportu, które dany podmiot gospodarczy wykorzystuje do swojej działalności handlowej, gospodarczej, rzemieślniczej lub zawodowej, w celu wykrycia niezgodności i uzyskania dowodów; </w:t>
            </w:r>
          </w:p>
          <w:p w14:paraId="126A086F" w14:textId="77777777" w:rsidR="00781078" w:rsidRPr="00A51D93" w:rsidRDefault="00781078" w:rsidP="00FD5CD5">
            <w:pPr>
              <w:pStyle w:val="ZPKTzmpktartykuempunktem"/>
              <w:keepNext/>
              <w:spacing w:line="240" w:lineRule="auto"/>
              <w:ind w:left="123" w:firstLine="0"/>
              <w:jc w:val="left"/>
              <w:rPr>
                <w:rFonts w:ascii="Times New Roman" w:hAnsi="Times New Roman" w:cs="Times New Roman"/>
                <w:szCs w:val="24"/>
              </w:rPr>
            </w:pPr>
            <w:r w:rsidRPr="00A51D93">
              <w:rPr>
                <w:rFonts w:ascii="Times New Roman" w:hAnsi="Times New Roman" w:cs="Times New Roman"/>
                <w:szCs w:val="24"/>
              </w:rPr>
              <w:t xml:space="preserve">f) uprawnienia do wszczynania postępowań z własnej inicjatywy organów nadzoru rynku w celu wykrycia przypadków niezgodności i usunięcia ich; </w:t>
            </w:r>
          </w:p>
          <w:p w14:paraId="08D25747" w14:textId="77777777" w:rsidR="00781078" w:rsidRPr="00A51D93" w:rsidRDefault="00781078" w:rsidP="00FD5CD5">
            <w:pPr>
              <w:pStyle w:val="ZPKTzmpktartykuempunktem"/>
              <w:keepNext/>
              <w:spacing w:line="240" w:lineRule="auto"/>
              <w:ind w:left="123" w:firstLine="0"/>
              <w:jc w:val="left"/>
              <w:rPr>
                <w:rFonts w:ascii="Times New Roman" w:hAnsi="Times New Roman" w:cs="Times New Roman"/>
                <w:szCs w:val="24"/>
              </w:rPr>
            </w:pPr>
            <w:r w:rsidRPr="00A51D93">
              <w:rPr>
                <w:rFonts w:ascii="Times New Roman" w:hAnsi="Times New Roman" w:cs="Times New Roman"/>
                <w:szCs w:val="24"/>
              </w:rPr>
              <w:t xml:space="preserve">g) uprawnienia do żądania od podmiotów gospodarczych podjęcia odpowiednich działań w celu usunięcia przypadków niezgodności lub wyeliminowania ryzyka; </w:t>
            </w:r>
          </w:p>
          <w:p w14:paraId="086B072D" w14:textId="77777777" w:rsidR="00781078" w:rsidRPr="00A51D93" w:rsidRDefault="00781078" w:rsidP="00FD5CD5">
            <w:pPr>
              <w:pStyle w:val="ZPKTzmpktartykuempunktem"/>
              <w:keepNext/>
              <w:spacing w:line="240" w:lineRule="auto"/>
              <w:ind w:left="123" w:firstLine="0"/>
              <w:jc w:val="left"/>
              <w:rPr>
                <w:rFonts w:ascii="Times New Roman" w:hAnsi="Times New Roman" w:cs="Times New Roman"/>
                <w:szCs w:val="24"/>
              </w:rPr>
            </w:pPr>
            <w:r w:rsidRPr="00A51D93">
              <w:rPr>
                <w:rFonts w:ascii="Times New Roman" w:hAnsi="Times New Roman" w:cs="Times New Roman"/>
                <w:szCs w:val="24"/>
              </w:rPr>
              <w:t xml:space="preserve">h) uprawnienia do podejmowania odpowiednich środków, w tym uprawnienia do zakazania lub ograniczenia udostępniania produktu na rynku lub do zarządzenia wycofania z obrotu lub odzyskania produktu, jeżeli podmiot gospodarczy nie podejmuje odpowiednich działań naprawczych lub gdy niezgodność lub ryzyko wciąż istnieją; </w:t>
            </w:r>
          </w:p>
          <w:p w14:paraId="0CFF0EA9" w14:textId="77777777" w:rsidR="00781078" w:rsidRPr="00A51D93" w:rsidRDefault="00781078" w:rsidP="00FD5CD5">
            <w:pPr>
              <w:pStyle w:val="ZPKTzmpktartykuempunktem"/>
              <w:keepNext/>
              <w:spacing w:line="240" w:lineRule="auto"/>
              <w:ind w:left="123" w:firstLine="0"/>
              <w:jc w:val="left"/>
              <w:rPr>
                <w:rFonts w:ascii="Times New Roman" w:hAnsi="Times New Roman" w:cs="Times New Roman"/>
                <w:szCs w:val="24"/>
              </w:rPr>
            </w:pPr>
            <w:r w:rsidRPr="00A51D93">
              <w:rPr>
                <w:rFonts w:ascii="Times New Roman" w:hAnsi="Times New Roman" w:cs="Times New Roman"/>
                <w:szCs w:val="24"/>
              </w:rPr>
              <w:t xml:space="preserve">i) uprawnienia do nakładania sankcji zgodnie z art. 41; </w:t>
            </w:r>
          </w:p>
          <w:p w14:paraId="2FE21D8C" w14:textId="77777777" w:rsidR="00781078" w:rsidRPr="00A51D93" w:rsidRDefault="00781078" w:rsidP="00FD5CD5">
            <w:pPr>
              <w:pStyle w:val="ZPKTzmpktartykuempunktem"/>
              <w:keepNext/>
              <w:spacing w:line="240" w:lineRule="auto"/>
              <w:ind w:left="123" w:firstLine="0"/>
              <w:jc w:val="left"/>
              <w:rPr>
                <w:rFonts w:ascii="Times New Roman" w:hAnsi="Times New Roman" w:cs="Times New Roman"/>
                <w:szCs w:val="24"/>
              </w:rPr>
            </w:pPr>
            <w:r w:rsidRPr="00A51D93">
              <w:rPr>
                <w:rFonts w:ascii="Times New Roman" w:hAnsi="Times New Roman" w:cs="Times New Roman"/>
                <w:szCs w:val="24"/>
              </w:rPr>
              <w:t xml:space="preserve">j) uprawnienia do pozyskiwania próbek produktów, w tym pod ukrytą tożsamością, aby je zbadać i poddać inżynierii odwrotnej w celu wykrycia niezgodności i uzyskania dowodów; </w:t>
            </w:r>
          </w:p>
          <w:p w14:paraId="10944786" w14:textId="77777777" w:rsidR="00781078" w:rsidRPr="00A51D93" w:rsidRDefault="00781078" w:rsidP="00FD5CD5">
            <w:pPr>
              <w:pStyle w:val="ZPKTzmpktartykuempunktem"/>
              <w:keepNext/>
              <w:spacing w:line="240" w:lineRule="auto"/>
              <w:ind w:left="123" w:firstLine="0"/>
              <w:jc w:val="left"/>
              <w:rPr>
                <w:rFonts w:ascii="Times New Roman" w:hAnsi="Times New Roman" w:cs="Times New Roman"/>
                <w:szCs w:val="24"/>
              </w:rPr>
            </w:pPr>
            <w:r w:rsidRPr="00A51D93">
              <w:rPr>
                <w:rFonts w:ascii="Times New Roman" w:hAnsi="Times New Roman" w:cs="Times New Roman"/>
                <w:szCs w:val="24"/>
              </w:rPr>
              <w:t xml:space="preserve">k) uprawnienia, w przypadku braku innych skutecznych środków umożliwiających wyeliminowanie poważnego ryzyka: </w:t>
            </w:r>
          </w:p>
          <w:p w14:paraId="238893FB" w14:textId="77777777" w:rsidR="00781078" w:rsidRPr="00A51D93" w:rsidRDefault="00781078" w:rsidP="00FD5CD5">
            <w:pPr>
              <w:pStyle w:val="ZPKTzmpktartykuempunktem"/>
              <w:keepNext/>
              <w:spacing w:line="240" w:lineRule="auto"/>
              <w:ind w:left="123" w:firstLine="0"/>
              <w:jc w:val="left"/>
              <w:rPr>
                <w:rFonts w:ascii="Times New Roman" w:hAnsi="Times New Roman" w:cs="Times New Roman"/>
                <w:szCs w:val="24"/>
              </w:rPr>
            </w:pPr>
            <w:r w:rsidRPr="00A51D93">
              <w:rPr>
                <w:rFonts w:ascii="Times New Roman" w:hAnsi="Times New Roman" w:cs="Times New Roman"/>
                <w:szCs w:val="24"/>
              </w:rPr>
              <w:t xml:space="preserve">(i) do żądania usunięcia z interfejsu online treści odnoszących się do produktów powiązanych lub zażądania umieszczenia wyraźnego ostrzeżenia dla użytkowników końcowych kiedy uzyskują oni dostęp do interfejsu online; lub </w:t>
            </w:r>
          </w:p>
          <w:p w14:paraId="49A1D5C8" w14:textId="77777777" w:rsidR="00781078" w:rsidRPr="00A51D93" w:rsidRDefault="00781078" w:rsidP="00FD5CD5">
            <w:pPr>
              <w:pStyle w:val="ZPKTzmpktartykuempunktem"/>
              <w:keepNext/>
              <w:spacing w:line="240" w:lineRule="auto"/>
              <w:ind w:left="123" w:firstLine="0"/>
              <w:jc w:val="left"/>
              <w:rPr>
                <w:rFonts w:ascii="Times New Roman" w:hAnsi="Times New Roman" w:cs="Times New Roman"/>
                <w:szCs w:val="24"/>
              </w:rPr>
            </w:pPr>
            <w:r w:rsidRPr="00A51D93">
              <w:rPr>
                <w:rFonts w:ascii="Times New Roman" w:hAnsi="Times New Roman" w:cs="Times New Roman"/>
                <w:szCs w:val="24"/>
              </w:rPr>
              <w:t xml:space="preserve">(ii) jeżeli żądanie, o którym mowa w ppkt (i), nie jest spełnione, do żądania od dostawców usług społeczeństwa informacyjnego ograniczenia dostępu do interfejsu online, w tym do żądania wykonania takiego środka przez odpowiednią stronę trzecią. </w:t>
            </w:r>
          </w:p>
          <w:p w14:paraId="60932C13" w14:textId="77777777" w:rsidR="00781078" w:rsidRPr="00A51D93" w:rsidRDefault="00781078" w:rsidP="00FD5CD5">
            <w:pPr>
              <w:pStyle w:val="ZPKTzmpktartykuempunktem"/>
              <w:keepNext/>
              <w:spacing w:line="240" w:lineRule="auto"/>
              <w:ind w:left="123"/>
              <w:jc w:val="left"/>
              <w:rPr>
                <w:rFonts w:ascii="Times New Roman" w:hAnsi="Times New Roman" w:cs="Times New Roman"/>
                <w:szCs w:val="24"/>
              </w:rPr>
            </w:pPr>
            <w:r w:rsidRPr="00A51D93">
              <w:rPr>
                <w:rFonts w:ascii="Times New Roman" w:hAnsi="Times New Roman" w:cs="Times New Roman"/>
                <w:szCs w:val="24"/>
              </w:rPr>
              <w:t>5. Do celów prowadzonych postępowań organy nadzoru rynku mogą wykorzystywać jako dowody wszelkie informacje, dokumenty, ustalenia, oświadczenia lub inne pozyskane informacje, niezależnie od formatu i nośnika, na którym są przechowywane.”</w:t>
            </w:r>
          </w:p>
        </w:tc>
        <w:tc>
          <w:tcPr>
            <w:tcW w:w="850" w:type="dxa"/>
            <w:gridSpan w:val="2"/>
            <w:vMerge w:val="restart"/>
            <w:tcBorders>
              <w:top w:val="single" w:sz="4" w:space="0" w:color="auto"/>
              <w:left w:val="single" w:sz="4" w:space="0" w:color="auto"/>
              <w:right w:val="single" w:sz="4" w:space="0" w:color="auto"/>
            </w:tcBorders>
          </w:tcPr>
          <w:p w14:paraId="090ECD9E" w14:textId="77777777" w:rsidR="00781078" w:rsidRPr="00A51D93" w:rsidRDefault="00781078" w:rsidP="00FD5CD5">
            <w:pPr>
              <w:spacing w:after="0" w:line="240" w:lineRule="auto"/>
              <w:rPr>
                <w:rFonts w:ascii="Times New Roman" w:eastAsia="Times New Roman" w:hAnsi="Times New Roman" w:cs="Times New Roman"/>
                <w:sz w:val="24"/>
                <w:szCs w:val="24"/>
                <w:lang w:eastAsia="pl-PL"/>
              </w:rPr>
            </w:pPr>
            <w:r w:rsidRPr="00A51D93">
              <w:rPr>
                <w:rFonts w:ascii="Times New Roman" w:eastAsia="Times New Roman" w:hAnsi="Times New Roman" w:cs="Times New Roman"/>
                <w:sz w:val="24"/>
                <w:szCs w:val="24"/>
                <w:lang w:eastAsia="pl-PL"/>
              </w:rPr>
              <w:t>T</w:t>
            </w:r>
          </w:p>
          <w:p w14:paraId="17F2CB6A" w14:textId="77777777" w:rsidR="00781078" w:rsidRPr="00A51D93" w:rsidRDefault="00781078" w:rsidP="00FD5CD5">
            <w:pPr>
              <w:spacing w:after="0" w:line="240" w:lineRule="auto"/>
              <w:rPr>
                <w:rFonts w:ascii="Times New Roman" w:eastAsia="Times New Roman" w:hAnsi="Times New Roman" w:cs="Times New Roman"/>
                <w:sz w:val="24"/>
                <w:szCs w:val="24"/>
                <w:lang w:eastAsia="pl-PL"/>
              </w:rPr>
            </w:pPr>
          </w:p>
        </w:tc>
        <w:tc>
          <w:tcPr>
            <w:tcW w:w="851" w:type="dxa"/>
            <w:gridSpan w:val="2"/>
            <w:vMerge w:val="restart"/>
            <w:tcBorders>
              <w:top w:val="single" w:sz="4" w:space="0" w:color="auto"/>
              <w:left w:val="single" w:sz="4" w:space="0" w:color="auto"/>
              <w:right w:val="single" w:sz="4" w:space="0" w:color="auto"/>
            </w:tcBorders>
          </w:tcPr>
          <w:p w14:paraId="58727101" w14:textId="77777777" w:rsidR="00781078" w:rsidRPr="00A51D93" w:rsidRDefault="00781078" w:rsidP="00FD5CD5">
            <w:pPr>
              <w:spacing w:after="0" w:line="240" w:lineRule="auto"/>
              <w:rPr>
                <w:rFonts w:ascii="Times New Roman" w:eastAsia="Times New Roman" w:hAnsi="Times New Roman" w:cs="Times New Roman"/>
                <w:sz w:val="24"/>
                <w:szCs w:val="24"/>
                <w:lang w:eastAsia="pl-PL"/>
              </w:rPr>
            </w:pPr>
            <w:r w:rsidRPr="00A51D93">
              <w:rPr>
                <w:rFonts w:ascii="Times New Roman" w:eastAsia="Times New Roman" w:hAnsi="Times New Roman" w:cs="Times New Roman"/>
                <w:sz w:val="24"/>
                <w:szCs w:val="24"/>
                <w:lang w:eastAsia="pl-PL"/>
              </w:rPr>
              <w:t xml:space="preserve">Art. 1 pkt 21 </w:t>
            </w:r>
          </w:p>
          <w:p w14:paraId="396628DA" w14:textId="77777777" w:rsidR="00781078" w:rsidRPr="00A51D93" w:rsidRDefault="00781078" w:rsidP="00FD5CD5">
            <w:pPr>
              <w:spacing w:after="0" w:line="240" w:lineRule="auto"/>
              <w:rPr>
                <w:rFonts w:ascii="Times New Roman" w:eastAsia="Times New Roman" w:hAnsi="Times New Roman" w:cs="Times New Roman"/>
                <w:sz w:val="24"/>
                <w:szCs w:val="24"/>
                <w:lang w:eastAsia="pl-PL"/>
              </w:rPr>
            </w:pPr>
          </w:p>
        </w:tc>
        <w:tc>
          <w:tcPr>
            <w:tcW w:w="5103" w:type="dxa"/>
            <w:gridSpan w:val="2"/>
            <w:vMerge w:val="restart"/>
            <w:tcBorders>
              <w:top w:val="single" w:sz="4" w:space="0" w:color="auto"/>
              <w:left w:val="single" w:sz="4" w:space="0" w:color="auto"/>
              <w:right w:val="single" w:sz="4" w:space="0" w:color="auto"/>
            </w:tcBorders>
          </w:tcPr>
          <w:p w14:paraId="1F3A05D8" w14:textId="77777777" w:rsidR="00781078" w:rsidRPr="00A51D93" w:rsidRDefault="00781078" w:rsidP="00FD5CD5">
            <w:pPr>
              <w:pStyle w:val="ZARTzmartartykuempunktem"/>
              <w:keepNext/>
              <w:spacing w:line="240" w:lineRule="auto"/>
              <w:ind w:left="0" w:firstLine="0"/>
              <w:jc w:val="left"/>
              <w:rPr>
                <w:rFonts w:ascii="Times New Roman" w:hAnsi="Times New Roman" w:cs="Times New Roman"/>
                <w:szCs w:val="24"/>
              </w:rPr>
            </w:pPr>
            <w:r w:rsidRPr="00A51D93">
              <w:rPr>
                <w:rFonts w:ascii="Times New Roman" w:hAnsi="Times New Roman" w:cs="Times New Roman"/>
                <w:szCs w:val="24"/>
              </w:rPr>
              <w:t>„Art. 68s. 1. Dyrektor TDT jako organ nadzoru rynku jest uprawniony do:</w:t>
            </w:r>
          </w:p>
          <w:p w14:paraId="0FFEF05C" w14:textId="77777777" w:rsidR="00781078" w:rsidRPr="00A51D93" w:rsidRDefault="00781078" w:rsidP="005E0F9D">
            <w:pPr>
              <w:pStyle w:val="ZPKTzmpktartykuempunktem"/>
              <w:numPr>
                <w:ilvl w:val="0"/>
                <w:numId w:val="12"/>
              </w:numPr>
              <w:spacing w:line="240" w:lineRule="auto"/>
              <w:jc w:val="left"/>
              <w:rPr>
                <w:rFonts w:ascii="Times New Roman" w:hAnsi="Times New Roman" w:cs="Times New Roman"/>
                <w:szCs w:val="24"/>
              </w:rPr>
            </w:pPr>
            <w:r w:rsidRPr="00A51D93">
              <w:rPr>
                <w:rFonts w:ascii="Times New Roman" w:hAnsi="Times New Roman" w:cs="Times New Roman"/>
                <w:szCs w:val="24"/>
              </w:rPr>
              <w:t>realizacji czynności, o których mowa w art. 14 ust. 4 rozporządzenia 2019/1020 względem podmiotu gospodarczego lub posiadacza pojazdu, przedmiotu wyposażenia lub części niebędącego użytkownikiem końcowym;</w:t>
            </w:r>
          </w:p>
          <w:p w14:paraId="4257B870" w14:textId="77777777" w:rsidR="00781078" w:rsidRPr="00A51D93" w:rsidRDefault="00781078" w:rsidP="005E0F9D">
            <w:pPr>
              <w:pStyle w:val="ZPKTzmpktartykuempunktem"/>
              <w:numPr>
                <w:ilvl w:val="0"/>
                <w:numId w:val="12"/>
              </w:numPr>
              <w:spacing w:line="240" w:lineRule="auto"/>
              <w:jc w:val="left"/>
              <w:rPr>
                <w:rFonts w:ascii="Times New Roman" w:hAnsi="Times New Roman" w:cs="Times New Roman"/>
                <w:szCs w:val="24"/>
              </w:rPr>
            </w:pPr>
            <w:r w:rsidRPr="00A51D93">
              <w:rPr>
                <w:rFonts w:ascii="Times New Roman" w:hAnsi="Times New Roman" w:cs="Times New Roman"/>
                <w:szCs w:val="24"/>
              </w:rPr>
              <w:t>realizacji zadań, o których mowa w art. 12, art. 22−24, rozdziale VII rozporządzenia 2019/1020;</w:t>
            </w:r>
          </w:p>
          <w:p w14:paraId="3A4B7150" w14:textId="77777777" w:rsidR="00781078" w:rsidRPr="00A51D93" w:rsidRDefault="00781078" w:rsidP="005E0F9D">
            <w:pPr>
              <w:pStyle w:val="ZPKTzmpktartykuempunktem"/>
              <w:numPr>
                <w:ilvl w:val="0"/>
                <w:numId w:val="12"/>
              </w:numPr>
              <w:spacing w:line="240" w:lineRule="auto"/>
              <w:jc w:val="left"/>
              <w:rPr>
                <w:rFonts w:ascii="Times New Roman" w:hAnsi="Times New Roman" w:cs="Times New Roman"/>
                <w:szCs w:val="24"/>
              </w:rPr>
            </w:pPr>
            <w:r w:rsidRPr="00A51D93">
              <w:rPr>
                <w:rFonts w:ascii="Times New Roman" w:hAnsi="Times New Roman" w:cs="Times New Roman"/>
                <w:szCs w:val="24"/>
              </w:rPr>
              <w:t>wymagania od operatora platformy lub dostawcy usług społeczeństwa informacyjnego przedstawienia informacji niezbędnych do ustalenia własności stron internetowych w toku prowadzenia czynności wyjaśniających, kontroli, badań lub postępowań administracyjnych;</w:t>
            </w:r>
          </w:p>
          <w:p w14:paraId="7B46CE9E" w14:textId="77777777" w:rsidR="00781078" w:rsidRPr="00A51D93" w:rsidRDefault="00781078" w:rsidP="005E0F9D">
            <w:pPr>
              <w:pStyle w:val="ZPKTzmpktartykuempunktem"/>
              <w:numPr>
                <w:ilvl w:val="0"/>
                <w:numId w:val="12"/>
              </w:numPr>
              <w:spacing w:line="240" w:lineRule="auto"/>
              <w:jc w:val="left"/>
              <w:rPr>
                <w:rFonts w:ascii="Times New Roman" w:hAnsi="Times New Roman" w:cs="Times New Roman"/>
                <w:szCs w:val="24"/>
              </w:rPr>
            </w:pPr>
            <w:r w:rsidRPr="00A51D93">
              <w:rPr>
                <w:rFonts w:ascii="Times New Roman" w:hAnsi="Times New Roman" w:cs="Times New Roman"/>
                <w:szCs w:val="24"/>
              </w:rPr>
              <w:t>wymagania od operatora platformy lub dostawcy usług społeczeństwa informacyjnego podjęcia działań w ramach interfejsu online, w tym usunięcia z interfejsu online treści odnoszących się do pojazdu, przedmiotu wyposażenia i części, wobec których stwierdzono niezgodność z wymaganiami technicznymi lub poważne ryzyko, zawieszenia konta podmiotu gospodarczego na platformie lub wyświetlenia wyraźnego ostrzeżenia dla użytkowników końcowych uzyskujących dostęp do oferty tego pojazdu, przedmiotu wyposażenia lub części;</w:t>
            </w:r>
          </w:p>
          <w:p w14:paraId="66718B51" w14:textId="77777777" w:rsidR="00781078" w:rsidRPr="00A51D93" w:rsidRDefault="00781078" w:rsidP="005E0F9D">
            <w:pPr>
              <w:pStyle w:val="ZPKTzmpktartykuempunktem"/>
              <w:numPr>
                <w:ilvl w:val="0"/>
                <w:numId w:val="12"/>
              </w:numPr>
              <w:spacing w:line="240" w:lineRule="auto"/>
              <w:jc w:val="left"/>
              <w:rPr>
                <w:rFonts w:ascii="Times New Roman" w:hAnsi="Times New Roman" w:cs="Times New Roman"/>
                <w:szCs w:val="24"/>
              </w:rPr>
            </w:pPr>
            <w:r w:rsidRPr="00A51D93">
              <w:rPr>
                <w:rFonts w:ascii="Times New Roman" w:hAnsi="Times New Roman" w:cs="Times New Roman"/>
                <w:szCs w:val="24"/>
              </w:rPr>
              <w:t>zasięgania z urzędu niezbędnych opinii eksperckich, w tym  w toku kontroli dokumentów, fizycznej lub laboratoryjnej kontroli pojazdów, przedmiotów wyposażenia lub części lub prowadzonych postępowań administracyjnych;</w:t>
            </w:r>
          </w:p>
          <w:p w14:paraId="2CFA8F73" w14:textId="77777777" w:rsidR="00781078" w:rsidRPr="00A51D93" w:rsidRDefault="00781078" w:rsidP="005E0F9D">
            <w:pPr>
              <w:pStyle w:val="ZPKTzmpktartykuempunktem"/>
              <w:numPr>
                <w:ilvl w:val="0"/>
                <w:numId w:val="12"/>
              </w:numPr>
              <w:spacing w:line="240" w:lineRule="auto"/>
              <w:jc w:val="left"/>
              <w:rPr>
                <w:rFonts w:ascii="Times New Roman" w:hAnsi="Times New Roman" w:cs="Times New Roman"/>
                <w:szCs w:val="24"/>
              </w:rPr>
            </w:pPr>
            <w:r w:rsidRPr="00A51D93">
              <w:rPr>
                <w:rFonts w:ascii="Times New Roman" w:hAnsi="Times New Roman" w:cs="Times New Roman"/>
                <w:szCs w:val="24"/>
              </w:rPr>
              <w:t>prowadzenia nieodpłatnych kampanii informacyjnych dla obywateli w mediach publicznych, komercyjnych i społecznościowych;</w:t>
            </w:r>
          </w:p>
          <w:p w14:paraId="235DED45" w14:textId="77777777" w:rsidR="00781078" w:rsidRPr="00A51D93" w:rsidRDefault="00781078" w:rsidP="005E0F9D">
            <w:pPr>
              <w:pStyle w:val="ZPKTzmpktartykuempunktem"/>
              <w:numPr>
                <w:ilvl w:val="0"/>
                <w:numId w:val="12"/>
              </w:numPr>
              <w:spacing w:line="240" w:lineRule="auto"/>
              <w:jc w:val="left"/>
              <w:rPr>
                <w:rFonts w:ascii="Times New Roman" w:hAnsi="Times New Roman" w:cs="Times New Roman"/>
                <w:szCs w:val="24"/>
              </w:rPr>
            </w:pPr>
            <w:r w:rsidRPr="00A51D93">
              <w:rPr>
                <w:rFonts w:ascii="Times New Roman" w:hAnsi="Times New Roman" w:cs="Times New Roman"/>
                <w:szCs w:val="24"/>
              </w:rPr>
              <w:t>opracowania i prowadzenia wykazu pojazdów, przedmiotów wyposażenia lub części niezgodnych z wymaganiami technicznymi lub stwarzających poważne ryzyko, który udostępnia na stronie podmiotowej Transportowego Dozoru Technicznego;</w:t>
            </w:r>
          </w:p>
          <w:p w14:paraId="65643646" w14:textId="77777777" w:rsidR="00781078" w:rsidRPr="00A51D93" w:rsidRDefault="00781078" w:rsidP="005E0F9D">
            <w:pPr>
              <w:pStyle w:val="ZPKTzmpktartykuempunktem"/>
              <w:numPr>
                <w:ilvl w:val="0"/>
                <w:numId w:val="12"/>
              </w:numPr>
              <w:spacing w:line="240" w:lineRule="auto"/>
              <w:jc w:val="left"/>
              <w:rPr>
                <w:rFonts w:ascii="Times New Roman" w:hAnsi="Times New Roman" w:cs="Times New Roman"/>
                <w:szCs w:val="24"/>
              </w:rPr>
            </w:pPr>
            <w:r w:rsidRPr="00A51D93">
              <w:rPr>
                <w:rFonts w:ascii="Times New Roman" w:hAnsi="Times New Roman" w:cs="Times New Roman"/>
                <w:szCs w:val="24"/>
              </w:rPr>
              <w:t>opracowania i prowadzenia wykazu akcji serwisowych, który udostępnia na stronie podmiotowej</w:t>
            </w:r>
            <w:r w:rsidRPr="00A51D93" w:rsidDel="007B42A7">
              <w:rPr>
                <w:rFonts w:ascii="Times New Roman" w:hAnsi="Times New Roman" w:cs="Times New Roman"/>
                <w:szCs w:val="24"/>
              </w:rPr>
              <w:t xml:space="preserve"> </w:t>
            </w:r>
            <w:r w:rsidRPr="00A51D93">
              <w:rPr>
                <w:rFonts w:ascii="Times New Roman" w:hAnsi="Times New Roman" w:cs="Times New Roman"/>
                <w:szCs w:val="24"/>
              </w:rPr>
              <w:t>Transportowego Dozoru Technicznego;</w:t>
            </w:r>
          </w:p>
          <w:p w14:paraId="5082FCD6" w14:textId="77777777" w:rsidR="00781078" w:rsidRPr="00A51D93" w:rsidRDefault="00781078" w:rsidP="005E0F9D">
            <w:pPr>
              <w:pStyle w:val="ZPKTzmpktartykuempunktem"/>
              <w:numPr>
                <w:ilvl w:val="0"/>
                <w:numId w:val="12"/>
              </w:numPr>
              <w:spacing w:line="240" w:lineRule="auto"/>
              <w:jc w:val="left"/>
              <w:rPr>
                <w:rFonts w:ascii="Times New Roman" w:hAnsi="Times New Roman" w:cs="Times New Roman"/>
                <w:szCs w:val="24"/>
              </w:rPr>
            </w:pPr>
            <w:r w:rsidRPr="00A51D93">
              <w:rPr>
                <w:rFonts w:ascii="Times New Roman" w:hAnsi="Times New Roman" w:cs="Times New Roman"/>
                <w:szCs w:val="24"/>
              </w:rPr>
              <w:t xml:space="preserve">pozyskiwania od podmiotu gospodarczego informacji o przeprowadzanej akcji serwisowej w formie powiadomienia, o którym mowa w art. 70 ust. </w:t>
            </w:r>
            <w:r w:rsidR="001038FF" w:rsidRPr="00A51D93">
              <w:rPr>
                <w:rFonts w:ascii="Times New Roman" w:hAnsi="Times New Roman" w:cs="Times New Roman"/>
                <w:szCs w:val="24"/>
              </w:rPr>
              <w:t>2</w:t>
            </w:r>
            <w:r w:rsidRPr="00A51D93">
              <w:rPr>
                <w:rFonts w:ascii="Times New Roman" w:hAnsi="Times New Roman" w:cs="Times New Roman"/>
                <w:szCs w:val="24"/>
              </w:rPr>
              <w:t xml:space="preserve"> lub art. 71 ust. </w:t>
            </w:r>
            <w:r w:rsidR="001038FF" w:rsidRPr="00A51D93">
              <w:rPr>
                <w:rFonts w:ascii="Times New Roman" w:hAnsi="Times New Roman" w:cs="Times New Roman"/>
                <w:szCs w:val="24"/>
              </w:rPr>
              <w:t>2</w:t>
            </w:r>
            <w:r w:rsidRPr="00A51D93">
              <w:rPr>
                <w:rFonts w:ascii="Times New Roman" w:hAnsi="Times New Roman" w:cs="Times New Roman"/>
                <w:szCs w:val="24"/>
              </w:rPr>
              <w:t xml:space="preserve">, w celu umieszczenia ich w systemie szybkiej wymiany informacji, o którym mowa w art. 20 ust. 4 rozporządzenia 2019/1020, zwanym dalej „systemem Safety Gate” i systemie informacyjnym i komunikacyjnym do celów nadzoru rynku, </w:t>
            </w:r>
            <w:r w:rsidRPr="00A51D93">
              <w:rPr>
                <w:rFonts w:ascii="Times New Roman" w:hAnsi="Times New Roman" w:cs="Times New Roman"/>
                <w:szCs w:val="24"/>
              </w:rPr>
              <w:br/>
              <w:t>o którym mowa w art. 34 ust. 1 rozporządzenia 2019/1020, zwanym dalej „systemem ICSMS” oraz na stronie podmiotowej</w:t>
            </w:r>
            <w:r w:rsidRPr="00A51D93" w:rsidDel="003014A1">
              <w:rPr>
                <w:rFonts w:ascii="Times New Roman" w:hAnsi="Times New Roman" w:cs="Times New Roman"/>
                <w:szCs w:val="24"/>
              </w:rPr>
              <w:t xml:space="preserve"> </w:t>
            </w:r>
            <w:r w:rsidRPr="00A51D93">
              <w:rPr>
                <w:rFonts w:ascii="Times New Roman" w:hAnsi="Times New Roman" w:cs="Times New Roman"/>
                <w:szCs w:val="24"/>
              </w:rPr>
              <w:t>Transportowego Dozoru Technicznego;</w:t>
            </w:r>
          </w:p>
          <w:p w14:paraId="4C2A7CAD" w14:textId="77777777" w:rsidR="00781078" w:rsidRPr="00A51D93" w:rsidRDefault="00781078" w:rsidP="005E0F9D">
            <w:pPr>
              <w:pStyle w:val="ZPKTzmpktartykuempunktem"/>
              <w:numPr>
                <w:ilvl w:val="0"/>
                <w:numId w:val="12"/>
              </w:numPr>
              <w:spacing w:line="240" w:lineRule="auto"/>
              <w:jc w:val="left"/>
              <w:rPr>
                <w:rFonts w:ascii="Times New Roman" w:hAnsi="Times New Roman" w:cs="Times New Roman"/>
                <w:szCs w:val="24"/>
              </w:rPr>
            </w:pPr>
            <w:r w:rsidRPr="00A51D93">
              <w:rPr>
                <w:rFonts w:ascii="Times New Roman" w:hAnsi="Times New Roman" w:cs="Times New Roman"/>
                <w:szCs w:val="24"/>
              </w:rPr>
              <w:t>przekazywania do ewidencji informacji o decyzji Dyrektora TDT, o której mowa w art. 68zj ust. 1 lub art. 68zk ust. 12, w zakresie wycofania pojazdu z obrotu lub użytkowania;</w:t>
            </w:r>
          </w:p>
          <w:p w14:paraId="14FDD802" w14:textId="77777777" w:rsidR="00781078" w:rsidRPr="00A51D93" w:rsidRDefault="00781078" w:rsidP="005E0F9D">
            <w:pPr>
              <w:pStyle w:val="ZPKTzmpktartykuempunktem"/>
              <w:numPr>
                <w:ilvl w:val="0"/>
                <w:numId w:val="12"/>
              </w:numPr>
              <w:spacing w:line="240" w:lineRule="auto"/>
              <w:jc w:val="left"/>
              <w:rPr>
                <w:rFonts w:ascii="Times New Roman" w:hAnsi="Times New Roman" w:cs="Times New Roman"/>
                <w:szCs w:val="24"/>
              </w:rPr>
            </w:pPr>
            <w:r w:rsidRPr="00A51D93">
              <w:rPr>
                <w:rFonts w:ascii="Times New Roman" w:hAnsi="Times New Roman" w:cs="Times New Roman"/>
                <w:szCs w:val="24"/>
              </w:rPr>
              <w:t>kontroli dokumentów związanych z ładunkiem oraz kontroli fizycznej tego ładunku, przewożonego na drogach publicznych,</w:t>
            </w:r>
            <w:r w:rsidRPr="00A51D93" w:rsidDel="009C0BFE">
              <w:rPr>
                <w:rFonts w:ascii="Times New Roman" w:hAnsi="Times New Roman" w:cs="Times New Roman"/>
                <w:szCs w:val="24"/>
              </w:rPr>
              <w:t xml:space="preserve"> </w:t>
            </w:r>
            <w:r w:rsidRPr="00A51D93">
              <w:rPr>
                <w:rFonts w:ascii="Times New Roman" w:hAnsi="Times New Roman" w:cs="Times New Roman"/>
                <w:szCs w:val="24"/>
              </w:rPr>
              <w:t>w zakresie przestrzegania zgodności z aktami prawnymi, dla których jest organem nadzoru rynku zgodnie z art. 3 ust. 3, w ramach wykonywania kontroli ruchu drogowego przez funkcjonariusza Policji, inspektora Inspekcji Transportu Drogowego lub funkcjonariusza Służby Celno-Skarbowej;</w:t>
            </w:r>
          </w:p>
          <w:p w14:paraId="6954926D" w14:textId="77777777" w:rsidR="00781078" w:rsidRPr="00A51D93" w:rsidRDefault="00781078" w:rsidP="005E0F9D">
            <w:pPr>
              <w:pStyle w:val="ZPKTzmpktartykuempunktem"/>
              <w:numPr>
                <w:ilvl w:val="0"/>
                <w:numId w:val="12"/>
              </w:numPr>
              <w:spacing w:line="240" w:lineRule="auto"/>
              <w:jc w:val="left"/>
              <w:rPr>
                <w:rFonts w:ascii="Times New Roman" w:hAnsi="Times New Roman" w:cs="Times New Roman"/>
                <w:szCs w:val="24"/>
              </w:rPr>
            </w:pPr>
          </w:p>
          <w:p w14:paraId="6C82474C" w14:textId="77777777" w:rsidR="00781078" w:rsidRPr="00A51D93" w:rsidRDefault="00781078" w:rsidP="00FD5CD5">
            <w:pPr>
              <w:pStyle w:val="ZPKTzmpktartykuempunktem"/>
              <w:spacing w:line="240" w:lineRule="auto"/>
              <w:jc w:val="left"/>
              <w:rPr>
                <w:rFonts w:ascii="Times New Roman" w:hAnsi="Times New Roman" w:cs="Times New Roman"/>
                <w:strike/>
                <w:szCs w:val="24"/>
              </w:rPr>
            </w:pPr>
            <w:r w:rsidRPr="00A51D93">
              <w:rPr>
                <w:rFonts w:ascii="Times New Roman" w:hAnsi="Times New Roman" w:cs="Times New Roman"/>
                <w:szCs w:val="24"/>
              </w:rPr>
              <w:t>nieodpłatnego uzyskiwania od organów Krajowej Administracji Skarbowej danych, o których mowa w art. 68zx ust. 2;</w:t>
            </w:r>
          </w:p>
          <w:p w14:paraId="5CF6176F" w14:textId="77777777" w:rsidR="00781078" w:rsidRPr="00A51D93" w:rsidRDefault="00781078" w:rsidP="005E0F9D">
            <w:pPr>
              <w:pStyle w:val="ZPKTzmpktartykuempunktem"/>
              <w:numPr>
                <w:ilvl w:val="0"/>
                <w:numId w:val="12"/>
              </w:numPr>
              <w:spacing w:line="240" w:lineRule="auto"/>
              <w:jc w:val="left"/>
              <w:rPr>
                <w:rFonts w:ascii="Times New Roman" w:hAnsi="Times New Roman" w:cs="Times New Roman"/>
                <w:szCs w:val="24"/>
              </w:rPr>
            </w:pPr>
            <w:r w:rsidRPr="00A51D93">
              <w:rPr>
                <w:rFonts w:ascii="Times New Roman" w:hAnsi="Times New Roman" w:cs="Times New Roman"/>
                <w:szCs w:val="24"/>
              </w:rPr>
              <w:t>nieodpłatnego dostępu do ewidencji w celu poinformowania użytkowników pojazdów zarejestrowanych na terytorium Rzeczypospolitej Polskiej o akcjach serwisowych;</w:t>
            </w:r>
          </w:p>
          <w:p w14:paraId="67EDDBA8" w14:textId="77777777" w:rsidR="00781078" w:rsidRPr="00A51D93" w:rsidRDefault="00781078" w:rsidP="005E0F9D">
            <w:pPr>
              <w:pStyle w:val="ZPKTzmpktartykuempunktem"/>
              <w:numPr>
                <w:ilvl w:val="0"/>
                <w:numId w:val="12"/>
              </w:numPr>
              <w:spacing w:line="240" w:lineRule="auto"/>
              <w:jc w:val="left"/>
              <w:rPr>
                <w:rFonts w:ascii="Times New Roman" w:hAnsi="Times New Roman" w:cs="Times New Roman"/>
                <w:szCs w:val="24"/>
              </w:rPr>
            </w:pPr>
            <w:r w:rsidRPr="00A51D93">
              <w:rPr>
                <w:rFonts w:ascii="Times New Roman" w:hAnsi="Times New Roman" w:cs="Times New Roman"/>
                <w:szCs w:val="24"/>
              </w:rPr>
              <w:t>udziału w badaniach wykonywanych przez laboratoria badawcze wykonujące badania na zlecenie Dyrektora TDT;</w:t>
            </w:r>
          </w:p>
          <w:p w14:paraId="2B10B02C" w14:textId="77777777" w:rsidR="00781078" w:rsidRPr="00A51D93" w:rsidRDefault="00781078" w:rsidP="005E0F9D">
            <w:pPr>
              <w:pStyle w:val="ZPKTzmpktartykuempunktem"/>
              <w:numPr>
                <w:ilvl w:val="0"/>
                <w:numId w:val="12"/>
              </w:numPr>
              <w:spacing w:line="240" w:lineRule="auto"/>
              <w:jc w:val="left"/>
              <w:rPr>
                <w:rFonts w:ascii="Times New Roman" w:hAnsi="Times New Roman" w:cs="Times New Roman"/>
                <w:szCs w:val="24"/>
              </w:rPr>
            </w:pPr>
            <w:r w:rsidRPr="00A51D93">
              <w:rPr>
                <w:rFonts w:ascii="Times New Roman" w:hAnsi="Times New Roman" w:cs="Times New Roman"/>
                <w:szCs w:val="24"/>
              </w:rPr>
              <w:t>przeprowadzenia badań, o których mowa w art. 7 rozporządzenia 167/2013, art. 8 rozporządzenia 168/2013 oraz art. 8 rozporządzenia 2018/858;</w:t>
            </w:r>
          </w:p>
          <w:p w14:paraId="3A43504A" w14:textId="77777777" w:rsidR="00781078" w:rsidRPr="00A51D93" w:rsidRDefault="00781078" w:rsidP="005E0F9D">
            <w:pPr>
              <w:pStyle w:val="ZPKTzmpktartykuempunktem"/>
              <w:numPr>
                <w:ilvl w:val="0"/>
                <w:numId w:val="12"/>
              </w:numPr>
              <w:spacing w:line="240" w:lineRule="auto"/>
              <w:jc w:val="left"/>
              <w:rPr>
                <w:rFonts w:ascii="Times New Roman" w:hAnsi="Times New Roman" w:cs="Times New Roman"/>
                <w:szCs w:val="24"/>
              </w:rPr>
            </w:pPr>
            <w:r w:rsidRPr="00A51D93">
              <w:rPr>
                <w:rFonts w:ascii="Times New Roman" w:hAnsi="Times New Roman" w:cs="Times New Roman"/>
                <w:szCs w:val="24"/>
              </w:rPr>
              <w:t xml:space="preserve">wymagania od podmiotu gospodarczego informowania użytkowników końcowych o konieczności sprawdzenia stanu technicznego pojazdu w warunkach serwisowych producenta zgodnie z art. 70 ust. </w:t>
            </w:r>
            <w:r w:rsidR="001038FF" w:rsidRPr="00A51D93">
              <w:rPr>
                <w:rFonts w:ascii="Times New Roman" w:hAnsi="Times New Roman" w:cs="Times New Roman"/>
                <w:szCs w:val="24"/>
              </w:rPr>
              <w:t>3</w:t>
            </w:r>
            <w:r w:rsidRPr="00A51D93">
              <w:rPr>
                <w:rFonts w:ascii="Times New Roman" w:hAnsi="Times New Roman" w:cs="Times New Roman"/>
                <w:szCs w:val="24"/>
              </w:rPr>
              <w:t xml:space="preserve"> i art. 71 ust. </w:t>
            </w:r>
            <w:r w:rsidR="001038FF" w:rsidRPr="00A51D93">
              <w:rPr>
                <w:rFonts w:ascii="Times New Roman" w:hAnsi="Times New Roman" w:cs="Times New Roman"/>
                <w:szCs w:val="24"/>
              </w:rPr>
              <w:t>3</w:t>
            </w:r>
            <w:r w:rsidRPr="00A51D93">
              <w:rPr>
                <w:rFonts w:ascii="Times New Roman" w:hAnsi="Times New Roman" w:cs="Times New Roman"/>
                <w:szCs w:val="24"/>
              </w:rPr>
              <w:t xml:space="preserve"> pkt 3; </w:t>
            </w:r>
          </w:p>
          <w:p w14:paraId="436C0B96" w14:textId="77777777" w:rsidR="00781078" w:rsidRPr="00A51D93" w:rsidRDefault="00781078" w:rsidP="005E0F9D">
            <w:pPr>
              <w:pStyle w:val="ZPKTzmpktartykuempunktem"/>
              <w:numPr>
                <w:ilvl w:val="0"/>
                <w:numId w:val="12"/>
              </w:numPr>
              <w:spacing w:line="240" w:lineRule="auto"/>
              <w:jc w:val="left"/>
              <w:rPr>
                <w:rFonts w:ascii="Times New Roman" w:hAnsi="Times New Roman" w:cs="Times New Roman"/>
                <w:szCs w:val="24"/>
              </w:rPr>
            </w:pPr>
            <w:r w:rsidRPr="00A51D93">
              <w:rPr>
                <w:rFonts w:ascii="Times New Roman" w:hAnsi="Times New Roman" w:cs="Times New Roman"/>
                <w:szCs w:val="24"/>
              </w:rPr>
              <w:t>wymagania od podmiotu gospodarczego informowania o postępie w realizacji akcji serwisowych co najmniej raz na kwartał;</w:t>
            </w:r>
          </w:p>
          <w:p w14:paraId="23055821" w14:textId="77777777" w:rsidR="00781078" w:rsidRPr="00A51D93" w:rsidRDefault="00781078" w:rsidP="005E0F9D">
            <w:pPr>
              <w:pStyle w:val="ZPKTzmpktartykuempunktem"/>
              <w:numPr>
                <w:ilvl w:val="0"/>
                <w:numId w:val="12"/>
              </w:numPr>
              <w:spacing w:line="240" w:lineRule="auto"/>
              <w:jc w:val="left"/>
              <w:rPr>
                <w:rFonts w:ascii="Times New Roman" w:hAnsi="Times New Roman" w:cs="Times New Roman"/>
                <w:szCs w:val="24"/>
              </w:rPr>
            </w:pPr>
            <w:r w:rsidRPr="00A51D93">
              <w:rPr>
                <w:rFonts w:ascii="Times New Roman" w:hAnsi="Times New Roman" w:cs="Times New Roman"/>
                <w:szCs w:val="24"/>
              </w:rPr>
              <w:t>wymagania przekazania tłumaczenia na język polski dokumentów albo ich części, mających stanowić dowód w sprawie niezbędny do weryfikacji zgodności pojazdu, przedmiotu wyposażenia lub części z wymaganiami technicznymi, sporządzonych w języku obcym w toku prowadzenia czynności wyjaśniających, kontroli, badań lub postępowań administracyjnych.”</w:t>
            </w:r>
          </w:p>
          <w:p w14:paraId="1F12AD47" w14:textId="77777777" w:rsidR="00A51D93" w:rsidRPr="00A51D93" w:rsidRDefault="00A51D93" w:rsidP="00A51D93">
            <w:pPr>
              <w:pStyle w:val="ZPKTzmpktartykuempunktem"/>
              <w:spacing w:line="240" w:lineRule="auto"/>
              <w:jc w:val="left"/>
              <w:rPr>
                <w:rFonts w:ascii="Times New Roman" w:hAnsi="Times New Roman" w:cs="Times New Roman"/>
                <w:szCs w:val="24"/>
              </w:rPr>
            </w:pPr>
          </w:p>
          <w:p w14:paraId="2A8E349E" w14:textId="77777777" w:rsidR="00A51D93" w:rsidRPr="00A51D93" w:rsidRDefault="00A51D93" w:rsidP="00A51D93">
            <w:pPr>
              <w:pStyle w:val="ZPKTzmpktartykuempunktem"/>
              <w:spacing w:line="240" w:lineRule="auto"/>
              <w:jc w:val="left"/>
              <w:rPr>
                <w:rFonts w:ascii="Times New Roman" w:hAnsi="Times New Roman" w:cs="Times New Roman"/>
                <w:szCs w:val="24"/>
              </w:rPr>
            </w:pPr>
          </w:p>
          <w:p w14:paraId="2C85513D" w14:textId="77777777" w:rsidR="00A51D93" w:rsidRPr="00A51D93" w:rsidRDefault="00A51D93" w:rsidP="00A51D93">
            <w:pPr>
              <w:pStyle w:val="ZPKTzmpktartykuempunktem"/>
              <w:spacing w:line="240" w:lineRule="auto"/>
              <w:jc w:val="left"/>
              <w:rPr>
                <w:rFonts w:ascii="Times New Roman" w:hAnsi="Times New Roman" w:cs="Times New Roman"/>
                <w:szCs w:val="24"/>
              </w:rPr>
            </w:pPr>
          </w:p>
          <w:p w14:paraId="118A61B6" w14:textId="77777777" w:rsidR="00A51D93" w:rsidRPr="00A51D93" w:rsidRDefault="00A51D93" w:rsidP="00A51D93">
            <w:pPr>
              <w:pStyle w:val="ZPKTzmpktartykuempunktem"/>
              <w:spacing w:line="240" w:lineRule="auto"/>
              <w:jc w:val="left"/>
              <w:rPr>
                <w:rFonts w:ascii="Times New Roman" w:hAnsi="Times New Roman" w:cs="Times New Roman"/>
                <w:szCs w:val="24"/>
              </w:rPr>
            </w:pPr>
          </w:p>
          <w:p w14:paraId="04D340B6" w14:textId="77777777" w:rsidR="00A51D93" w:rsidRPr="00A51D93" w:rsidRDefault="00A51D93" w:rsidP="00A51D93">
            <w:pPr>
              <w:pStyle w:val="ZPKTzmpktartykuempunktem"/>
              <w:spacing w:line="240" w:lineRule="auto"/>
              <w:jc w:val="left"/>
              <w:rPr>
                <w:rFonts w:ascii="Times New Roman" w:hAnsi="Times New Roman" w:cs="Times New Roman"/>
                <w:szCs w:val="24"/>
              </w:rPr>
            </w:pPr>
          </w:p>
          <w:p w14:paraId="3766456F" w14:textId="77777777" w:rsidR="00A51D93" w:rsidRPr="00A51D93" w:rsidRDefault="00A51D93" w:rsidP="00A51D93">
            <w:pPr>
              <w:pStyle w:val="ZPKTzmpktartykuempunktem"/>
              <w:spacing w:line="240" w:lineRule="auto"/>
              <w:jc w:val="left"/>
              <w:rPr>
                <w:rFonts w:ascii="Times New Roman" w:hAnsi="Times New Roman" w:cs="Times New Roman"/>
                <w:szCs w:val="24"/>
              </w:rPr>
            </w:pPr>
          </w:p>
          <w:p w14:paraId="69827974" w14:textId="77777777" w:rsidR="00A51D93" w:rsidRPr="00A51D93" w:rsidRDefault="00A51D93" w:rsidP="00A51D93">
            <w:pPr>
              <w:pStyle w:val="ZPKTzmpktartykuempunktem"/>
              <w:spacing w:line="240" w:lineRule="auto"/>
              <w:jc w:val="left"/>
              <w:rPr>
                <w:rFonts w:ascii="Times New Roman" w:hAnsi="Times New Roman" w:cs="Times New Roman"/>
                <w:szCs w:val="24"/>
              </w:rPr>
            </w:pPr>
          </w:p>
          <w:p w14:paraId="4D7A57F1" w14:textId="77777777" w:rsidR="00A51D93" w:rsidRPr="00A51D93" w:rsidRDefault="00A51D93" w:rsidP="00A51D93">
            <w:pPr>
              <w:pStyle w:val="ZPKTzmpktartykuempunktem"/>
              <w:spacing w:line="240" w:lineRule="auto"/>
              <w:jc w:val="left"/>
              <w:rPr>
                <w:rFonts w:ascii="Times New Roman" w:hAnsi="Times New Roman" w:cs="Times New Roman"/>
                <w:szCs w:val="24"/>
              </w:rPr>
            </w:pPr>
          </w:p>
          <w:p w14:paraId="698C9B9B" w14:textId="77777777" w:rsidR="00A51D93" w:rsidRPr="00A51D93" w:rsidRDefault="00A51D93" w:rsidP="00A51D93">
            <w:pPr>
              <w:pStyle w:val="ZPKTzmpktartykuempunktem"/>
              <w:spacing w:line="240" w:lineRule="auto"/>
              <w:jc w:val="left"/>
              <w:rPr>
                <w:rFonts w:ascii="Times New Roman" w:hAnsi="Times New Roman" w:cs="Times New Roman"/>
                <w:szCs w:val="24"/>
              </w:rPr>
            </w:pPr>
          </w:p>
          <w:p w14:paraId="523A6818" w14:textId="77777777" w:rsidR="00A51D93" w:rsidRPr="00A51D93" w:rsidRDefault="00A51D93" w:rsidP="00A51D93">
            <w:pPr>
              <w:pStyle w:val="ZPKTzmpktartykuempunktem"/>
              <w:spacing w:line="240" w:lineRule="auto"/>
              <w:jc w:val="left"/>
              <w:rPr>
                <w:rFonts w:ascii="Times New Roman" w:hAnsi="Times New Roman" w:cs="Times New Roman"/>
                <w:szCs w:val="24"/>
              </w:rPr>
            </w:pPr>
          </w:p>
          <w:p w14:paraId="25B831F1" w14:textId="77777777" w:rsidR="00A51D93" w:rsidRPr="00A51D93" w:rsidRDefault="00A51D93" w:rsidP="00A51D93">
            <w:pPr>
              <w:pStyle w:val="ZPKTzmpktartykuempunktem"/>
              <w:spacing w:line="240" w:lineRule="auto"/>
              <w:jc w:val="left"/>
              <w:rPr>
                <w:rFonts w:ascii="Times New Roman" w:hAnsi="Times New Roman" w:cs="Times New Roman"/>
                <w:szCs w:val="24"/>
              </w:rPr>
            </w:pPr>
          </w:p>
          <w:p w14:paraId="2660C07F" w14:textId="77777777" w:rsidR="00A51D93" w:rsidRPr="00A51D93" w:rsidRDefault="00A51D93" w:rsidP="00A51D93">
            <w:pPr>
              <w:pStyle w:val="ZPKTzmpktartykuempunktem"/>
              <w:spacing w:line="240" w:lineRule="auto"/>
              <w:jc w:val="left"/>
              <w:rPr>
                <w:rFonts w:ascii="Times New Roman" w:hAnsi="Times New Roman" w:cs="Times New Roman"/>
                <w:szCs w:val="24"/>
              </w:rPr>
            </w:pPr>
          </w:p>
          <w:p w14:paraId="68C588B9" w14:textId="77777777" w:rsidR="00A51D93" w:rsidRPr="00A51D93" w:rsidRDefault="00A51D93" w:rsidP="00A51D93">
            <w:pPr>
              <w:pStyle w:val="ZPKTzmpktartykuempunktem"/>
              <w:spacing w:line="240" w:lineRule="auto"/>
              <w:jc w:val="left"/>
              <w:rPr>
                <w:rFonts w:ascii="Times New Roman" w:hAnsi="Times New Roman" w:cs="Times New Roman"/>
                <w:szCs w:val="24"/>
              </w:rPr>
            </w:pPr>
          </w:p>
          <w:p w14:paraId="7D1B1112" w14:textId="77777777" w:rsidR="00A51D93" w:rsidRPr="00A51D93" w:rsidRDefault="00A51D93" w:rsidP="00A51D93">
            <w:pPr>
              <w:pStyle w:val="ZPKTzmpktartykuempunktem"/>
              <w:spacing w:line="240" w:lineRule="auto"/>
              <w:jc w:val="left"/>
              <w:rPr>
                <w:rFonts w:ascii="Times New Roman" w:hAnsi="Times New Roman" w:cs="Times New Roman"/>
                <w:szCs w:val="24"/>
              </w:rPr>
            </w:pPr>
          </w:p>
          <w:p w14:paraId="126AE703" w14:textId="77777777" w:rsidR="00A51D93" w:rsidRPr="00A51D93" w:rsidRDefault="00A51D93" w:rsidP="00A51D93">
            <w:pPr>
              <w:pStyle w:val="ZPKTzmpktartykuempunktem"/>
              <w:spacing w:line="240" w:lineRule="auto"/>
              <w:ind w:firstLine="51"/>
              <w:jc w:val="left"/>
              <w:rPr>
                <w:rFonts w:ascii="Times New Roman" w:hAnsi="Times New Roman" w:cs="Times New Roman"/>
                <w:b/>
                <w:szCs w:val="24"/>
              </w:rPr>
            </w:pPr>
          </w:p>
          <w:p w14:paraId="2A2D2127" w14:textId="77777777" w:rsidR="00A51D93" w:rsidRPr="00A51D93" w:rsidRDefault="00A51D93" w:rsidP="00A51D93">
            <w:pPr>
              <w:pStyle w:val="ZPKTzmpktartykuempunktem"/>
              <w:spacing w:line="240" w:lineRule="auto"/>
              <w:ind w:left="79" w:firstLine="51"/>
              <w:jc w:val="left"/>
              <w:rPr>
                <w:b/>
              </w:rPr>
            </w:pPr>
            <w:r w:rsidRPr="00A51D93">
              <w:rPr>
                <w:rFonts w:ascii="Times New Roman" w:hAnsi="Times New Roman" w:cs="Times New Roman"/>
                <w:b/>
                <w:szCs w:val="24"/>
              </w:rPr>
              <w:t xml:space="preserve">W zakresie art. 13 rozporządzenia (UE) - </w:t>
            </w:r>
            <w:r w:rsidRPr="00A51D93">
              <w:rPr>
                <w:b/>
              </w:rPr>
              <w:t>art. 59a ustawy o systemach oceny zgodności i nadzoru rynku (Dz.U. z 2025 r. poz. 568):</w:t>
            </w:r>
          </w:p>
          <w:p w14:paraId="205D9E73" w14:textId="77777777" w:rsidR="00A51D93" w:rsidRPr="00A51D93" w:rsidRDefault="00A51D93" w:rsidP="00A51D93">
            <w:pPr>
              <w:pStyle w:val="ZPKTzmpktartykuempunktem"/>
              <w:spacing w:line="240" w:lineRule="auto"/>
              <w:ind w:left="79" w:firstLine="51"/>
              <w:jc w:val="left"/>
              <w:rPr>
                <w:rFonts w:ascii="Times New Roman" w:hAnsi="Times New Roman" w:cs="Times New Roman"/>
                <w:szCs w:val="24"/>
              </w:rPr>
            </w:pPr>
          </w:p>
          <w:p w14:paraId="42946DFB" w14:textId="77777777" w:rsidR="00A51D93" w:rsidRPr="00A51D93" w:rsidRDefault="00A51D93" w:rsidP="00A51D93">
            <w:pPr>
              <w:pStyle w:val="ZPKTzmpktartykuempunktem"/>
              <w:spacing w:line="240" w:lineRule="auto"/>
              <w:jc w:val="left"/>
              <w:rPr>
                <w:rFonts w:ascii="Times New Roman" w:hAnsi="Times New Roman" w:cs="Times New Roman"/>
                <w:szCs w:val="24"/>
              </w:rPr>
            </w:pPr>
          </w:p>
          <w:p w14:paraId="534C059B" w14:textId="77777777" w:rsidR="00A51D93" w:rsidRPr="00A51D93" w:rsidRDefault="00A51D93" w:rsidP="00A51D93">
            <w:pPr>
              <w:rPr>
                <w:rFonts w:ascii="Times New Roman" w:eastAsia="Times New Roman" w:hAnsi="Times New Roman" w:cs="Times New Roman"/>
                <w:b/>
                <w:bCs/>
                <w:sz w:val="24"/>
                <w:szCs w:val="24"/>
                <w:lang w:eastAsia="pl-PL"/>
              </w:rPr>
            </w:pPr>
            <w:r w:rsidRPr="00A51D93">
              <w:rPr>
                <w:rFonts w:ascii="Times New Roman" w:eastAsia="Times New Roman" w:hAnsi="Times New Roman" w:cs="Times New Roman"/>
                <w:b/>
                <w:bCs/>
                <w:sz w:val="24"/>
                <w:szCs w:val="24"/>
                <w:lang w:eastAsia="pl-PL"/>
              </w:rPr>
              <w:t xml:space="preserve">„Art. 59a. 1. Prezes UOKiK pełni rolę jednolitego urzędu łącznikowego, o którym mowa w </w:t>
            </w:r>
            <w:hyperlink r:id="rId9" w:history="1">
              <w:r w:rsidRPr="00A51D93">
                <w:rPr>
                  <w:rFonts w:ascii="Times New Roman" w:eastAsia="Times New Roman" w:hAnsi="Times New Roman" w:cs="Times New Roman"/>
                  <w:b/>
                  <w:bCs/>
                  <w:sz w:val="24"/>
                  <w:szCs w:val="24"/>
                  <w:lang w:eastAsia="pl-PL"/>
                </w:rPr>
                <w:t>art. 10 ust. 3</w:t>
              </w:r>
            </w:hyperlink>
            <w:r w:rsidRPr="00A51D93">
              <w:rPr>
                <w:rFonts w:ascii="Times New Roman" w:eastAsia="Times New Roman" w:hAnsi="Times New Roman" w:cs="Times New Roman"/>
                <w:b/>
                <w:bCs/>
                <w:sz w:val="24"/>
                <w:szCs w:val="24"/>
                <w:lang w:eastAsia="pl-PL"/>
              </w:rPr>
              <w:t xml:space="preserve"> rozporządzenia Parlamentu Europejskiego i Rady (UE) </w:t>
            </w:r>
            <w:hyperlink r:id="rId10" w:history="1">
              <w:r w:rsidRPr="00A51D93">
                <w:rPr>
                  <w:rFonts w:ascii="Times New Roman" w:eastAsia="Times New Roman" w:hAnsi="Times New Roman" w:cs="Times New Roman"/>
                  <w:b/>
                  <w:bCs/>
                  <w:sz w:val="24"/>
                  <w:szCs w:val="24"/>
                  <w:lang w:eastAsia="pl-PL"/>
                </w:rPr>
                <w:t>2019/1020</w:t>
              </w:r>
            </w:hyperlink>
            <w:r w:rsidRPr="00A51D93">
              <w:rPr>
                <w:rFonts w:ascii="Times New Roman" w:eastAsia="Times New Roman" w:hAnsi="Times New Roman" w:cs="Times New Roman"/>
                <w:b/>
                <w:bCs/>
                <w:sz w:val="24"/>
                <w:szCs w:val="24"/>
                <w:lang w:eastAsia="pl-PL"/>
              </w:rPr>
              <w:t xml:space="preserve"> z dnia 20 czerwca 2019 r. w sprawie nadzoru rynku i zgodności produktów oraz zmieniającego dyrektywę </w:t>
            </w:r>
            <w:hyperlink r:id="rId11" w:history="1">
              <w:r w:rsidRPr="00A51D93">
                <w:rPr>
                  <w:rFonts w:ascii="Times New Roman" w:eastAsia="Times New Roman" w:hAnsi="Times New Roman" w:cs="Times New Roman"/>
                  <w:b/>
                  <w:bCs/>
                  <w:sz w:val="24"/>
                  <w:szCs w:val="24"/>
                  <w:lang w:eastAsia="pl-PL"/>
                </w:rPr>
                <w:t>2004/42/WE</w:t>
              </w:r>
            </w:hyperlink>
            <w:r w:rsidRPr="00A51D93">
              <w:rPr>
                <w:rFonts w:ascii="Times New Roman" w:eastAsia="Times New Roman" w:hAnsi="Times New Roman" w:cs="Times New Roman"/>
                <w:b/>
                <w:bCs/>
                <w:sz w:val="24"/>
                <w:szCs w:val="24"/>
                <w:lang w:eastAsia="pl-PL"/>
              </w:rPr>
              <w:t xml:space="preserve"> oraz rozporządzenia (WE) nr </w:t>
            </w:r>
            <w:hyperlink r:id="rId12" w:history="1">
              <w:r w:rsidRPr="00A51D93">
                <w:rPr>
                  <w:rFonts w:ascii="Times New Roman" w:eastAsia="Times New Roman" w:hAnsi="Times New Roman" w:cs="Times New Roman"/>
                  <w:b/>
                  <w:bCs/>
                  <w:sz w:val="24"/>
                  <w:szCs w:val="24"/>
                  <w:lang w:eastAsia="pl-PL"/>
                </w:rPr>
                <w:t>765/2008</w:t>
              </w:r>
            </w:hyperlink>
            <w:r w:rsidRPr="00A51D93">
              <w:rPr>
                <w:rFonts w:ascii="Times New Roman" w:eastAsia="Times New Roman" w:hAnsi="Times New Roman" w:cs="Times New Roman"/>
                <w:b/>
                <w:bCs/>
                <w:sz w:val="24"/>
                <w:szCs w:val="24"/>
                <w:lang w:eastAsia="pl-PL"/>
              </w:rPr>
              <w:t xml:space="preserve"> i (UE) nr 305/2011 (Dz.Urz. UE L 169 z 25.06.2019, </w:t>
            </w:r>
            <w:hyperlink r:id="rId13" w:history="1">
              <w:r w:rsidRPr="00A51D93">
                <w:rPr>
                  <w:rFonts w:ascii="Times New Roman" w:eastAsia="Times New Roman" w:hAnsi="Times New Roman" w:cs="Times New Roman"/>
                  <w:b/>
                  <w:bCs/>
                  <w:sz w:val="24"/>
                  <w:szCs w:val="24"/>
                  <w:lang w:eastAsia="pl-PL"/>
                </w:rPr>
                <w:t>str. 1</w:t>
              </w:r>
            </w:hyperlink>
            <w:r w:rsidRPr="00A51D93">
              <w:rPr>
                <w:rFonts w:ascii="Times New Roman" w:eastAsia="Times New Roman" w:hAnsi="Times New Roman" w:cs="Times New Roman"/>
                <w:b/>
                <w:bCs/>
                <w:sz w:val="24"/>
                <w:szCs w:val="24"/>
                <w:lang w:eastAsia="pl-PL"/>
              </w:rPr>
              <w:t xml:space="preserve"> ).</w:t>
            </w:r>
          </w:p>
          <w:p w14:paraId="267FF9D4" w14:textId="77777777" w:rsidR="00A51D93" w:rsidRPr="00A51D93" w:rsidRDefault="00A51D93" w:rsidP="00A51D93">
            <w:pPr>
              <w:rPr>
                <w:rFonts w:ascii="Times New Roman" w:eastAsia="Times New Roman" w:hAnsi="Times New Roman" w:cs="Times New Roman"/>
                <w:b/>
                <w:bCs/>
                <w:sz w:val="24"/>
                <w:szCs w:val="24"/>
                <w:lang w:eastAsia="pl-PL"/>
              </w:rPr>
            </w:pPr>
            <w:r w:rsidRPr="00A51D93">
              <w:rPr>
                <w:rFonts w:ascii="Times New Roman" w:eastAsia="Times New Roman" w:hAnsi="Times New Roman" w:cs="Times New Roman"/>
                <w:b/>
                <w:bCs/>
                <w:sz w:val="24"/>
                <w:szCs w:val="24"/>
                <w:lang w:eastAsia="pl-PL"/>
              </w:rPr>
              <w:t>2. Prezes UOKiK sporządza krajową strategię nadzoru rynku, o której mowa w art. 13 rozporządzenia, o którym mowa w ust. 1.</w:t>
            </w:r>
          </w:p>
          <w:p w14:paraId="16A010C9" w14:textId="77777777" w:rsidR="00A51D93" w:rsidRPr="00A51D93" w:rsidRDefault="00A51D93" w:rsidP="00A51D93">
            <w:pPr>
              <w:rPr>
                <w:rFonts w:ascii="Times New Roman" w:eastAsia="Times New Roman" w:hAnsi="Times New Roman" w:cs="Times New Roman"/>
                <w:b/>
                <w:bCs/>
                <w:sz w:val="24"/>
                <w:szCs w:val="24"/>
                <w:lang w:eastAsia="pl-PL"/>
              </w:rPr>
            </w:pPr>
            <w:r w:rsidRPr="00A51D93">
              <w:rPr>
                <w:rFonts w:ascii="Times New Roman" w:eastAsia="Times New Roman" w:hAnsi="Times New Roman" w:cs="Times New Roman"/>
                <w:b/>
                <w:bCs/>
                <w:sz w:val="24"/>
                <w:szCs w:val="24"/>
                <w:lang w:eastAsia="pl-PL"/>
              </w:rPr>
              <w:t>3. Prezes UOKiK sporządza podsumowanie krajowej strategii nadzoru rynku i publikuje je na stronie internetowej urzędu, który go obsługuje.</w:t>
            </w:r>
          </w:p>
          <w:p w14:paraId="15B0AF89" w14:textId="77777777" w:rsidR="00A51D93" w:rsidRPr="00A51D93" w:rsidRDefault="00A51D93" w:rsidP="00A51D93">
            <w:pPr>
              <w:rPr>
                <w:rFonts w:ascii="Times New Roman" w:eastAsia="Times New Roman" w:hAnsi="Times New Roman" w:cs="Times New Roman"/>
                <w:b/>
                <w:bCs/>
                <w:sz w:val="24"/>
                <w:szCs w:val="24"/>
                <w:lang w:eastAsia="pl-PL"/>
              </w:rPr>
            </w:pPr>
            <w:r w:rsidRPr="00A51D93">
              <w:rPr>
                <w:rFonts w:ascii="Times New Roman" w:eastAsia="Times New Roman" w:hAnsi="Times New Roman" w:cs="Times New Roman"/>
                <w:b/>
                <w:bCs/>
                <w:sz w:val="24"/>
                <w:szCs w:val="24"/>
                <w:lang w:eastAsia="pl-PL"/>
              </w:rPr>
              <w:t>4. Na wniosek Prezesa UOKiK organy nadzoru rynku przekazują informacje niezbędne do sporządzenia krajowej strategii nadzoru rynku.”</w:t>
            </w:r>
          </w:p>
          <w:p w14:paraId="364ADD4F" w14:textId="77777777" w:rsidR="00A51D93" w:rsidRPr="00A51D93" w:rsidRDefault="00A51D93" w:rsidP="00A51D93">
            <w:pPr>
              <w:pStyle w:val="ZPKTzmpktartykuempunktem"/>
              <w:spacing w:line="240" w:lineRule="auto"/>
              <w:ind w:left="79" w:firstLine="51"/>
              <w:jc w:val="left"/>
              <w:rPr>
                <w:rFonts w:ascii="Times New Roman" w:hAnsi="Times New Roman" w:cs="Times New Roman"/>
                <w:szCs w:val="24"/>
              </w:rPr>
            </w:pPr>
          </w:p>
        </w:tc>
        <w:tc>
          <w:tcPr>
            <w:tcW w:w="2268" w:type="dxa"/>
            <w:tcBorders>
              <w:top w:val="single" w:sz="4" w:space="0" w:color="auto"/>
              <w:left w:val="single" w:sz="4" w:space="0" w:color="auto"/>
              <w:bottom w:val="single" w:sz="4" w:space="0" w:color="auto"/>
              <w:right w:val="single" w:sz="4" w:space="0" w:color="auto"/>
            </w:tcBorders>
          </w:tcPr>
          <w:p w14:paraId="7118DE90" w14:textId="77777777" w:rsidR="00781078" w:rsidRPr="00FB76A9" w:rsidRDefault="00781078" w:rsidP="00FD5CD5">
            <w:pPr>
              <w:pStyle w:val="ZARTzmartartykuempunktem"/>
              <w:keepNext/>
              <w:spacing w:line="240" w:lineRule="auto"/>
              <w:ind w:left="0" w:right="3104" w:firstLine="0"/>
              <w:jc w:val="left"/>
              <w:rPr>
                <w:rFonts w:ascii="Times New Roman" w:eastAsia="Times New Roman" w:hAnsi="Times New Roman" w:cs="Times New Roman"/>
                <w:szCs w:val="24"/>
              </w:rPr>
            </w:pPr>
          </w:p>
        </w:tc>
      </w:tr>
      <w:tr w:rsidR="00781078" w:rsidRPr="00FB76A9" w14:paraId="4BCC7D4E" w14:textId="77777777" w:rsidTr="00B923FC">
        <w:trPr>
          <w:trHeight w:val="470"/>
        </w:trPr>
        <w:tc>
          <w:tcPr>
            <w:tcW w:w="988" w:type="dxa"/>
            <w:vMerge/>
            <w:tcBorders>
              <w:left w:val="single" w:sz="4" w:space="0" w:color="auto"/>
              <w:bottom w:val="single" w:sz="4" w:space="0" w:color="auto"/>
              <w:right w:val="single" w:sz="4" w:space="0" w:color="auto"/>
            </w:tcBorders>
          </w:tcPr>
          <w:p w14:paraId="5F9C73BC" w14:textId="77777777" w:rsidR="00781078" w:rsidRPr="00FB76A9" w:rsidRDefault="00781078" w:rsidP="00FD5CD5">
            <w:pPr>
              <w:spacing w:after="0" w:line="240" w:lineRule="auto"/>
              <w:rPr>
                <w:rFonts w:ascii="Times New Roman" w:eastAsia="Times New Roman" w:hAnsi="Times New Roman" w:cs="Times New Roman"/>
                <w:b/>
                <w:sz w:val="24"/>
                <w:szCs w:val="24"/>
                <w:lang w:eastAsia="pl-PL"/>
              </w:rPr>
            </w:pPr>
          </w:p>
        </w:tc>
        <w:tc>
          <w:tcPr>
            <w:tcW w:w="4961" w:type="dxa"/>
            <w:vMerge/>
            <w:tcBorders>
              <w:left w:val="single" w:sz="4" w:space="0" w:color="auto"/>
              <w:bottom w:val="single" w:sz="4" w:space="0" w:color="auto"/>
              <w:right w:val="single" w:sz="4" w:space="0" w:color="auto"/>
            </w:tcBorders>
          </w:tcPr>
          <w:p w14:paraId="1010E20B" w14:textId="77777777" w:rsidR="00781078" w:rsidRPr="00FB76A9" w:rsidRDefault="00781078" w:rsidP="00FD5CD5">
            <w:pPr>
              <w:pStyle w:val="ZPKTzmpktartykuempunktem"/>
              <w:keepNext/>
              <w:spacing w:line="240" w:lineRule="auto"/>
              <w:ind w:left="123" w:firstLine="0"/>
              <w:jc w:val="left"/>
              <w:rPr>
                <w:rFonts w:ascii="Times New Roman" w:hAnsi="Times New Roman" w:cs="Times New Roman"/>
                <w:szCs w:val="24"/>
              </w:rPr>
            </w:pPr>
          </w:p>
        </w:tc>
        <w:tc>
          <w:tcPr>
            <w:tcW w:w="850" w:type="dxa"/>
            <w:gridSpan w:val="2"/>
            <w:vMerge/>
            <w:tcBorders>
              <w:left w:val="single" w:sz="4" w:space="0" w:color="auto"/>
              <w:bottom w:val="single" w:sz="4" w:space="0" w:color="auto"/>
              <w:right w:val="single" w:sz="4" w:space="0" w:color="auto"/>
            </w:tcBorders>
          </w:tcPr>
          <w:p w14:paraId="72BC854D" w14:textId="77777777" w:rsidR="00781078" w:rsidRPr="00FB76A9" w:rsidRDefault="00781078" w:rsidP="00FD5CD5">
            <w:pPr>
              <w:spacing w:after="0" w:line="240" w:lineRule="auto"/>
              <w:rPr>
                <w:rFonts w:ascii="Times New Roman" w:eastAsia="Times New Roman" w:hAnsi="Times New Roman" w:cs="Times New Roman"/>
                <w:sz w:val="24"/>
                <w:szCs w:val="24"/>
                <w:lang w:eastAsia="pl-PL"/>
              </w:rPr>
            </w:pPr>
          </w:p>
        </w:tc>
        <w:tc>
          <w:tcPr>
            <w:tcW w:w="851" w:type="dxa"/>
            <w:gridSpan w:val="2"/>
            <w:vMerge/>
            <w:tcBorders>
              <w:left w:val="single" w:sz="4" w:space="0" w:color="auto"/>
              <w:bottom w:val="single" w:sz="4" w:space="0" w:color="auto"/>
              <w:right w:val="single" w:sz="4" w:space="0" w:color="auto"/>
            </w:tcBorders>
          </w:tcPr>
          <w:p w14:paraId="4552DBD9" w14:textId="77777777" w:rsidR="00781078" w:rsidRPr="00FB76A9" w:rsidRDefault="00781078" w:rsidP="00FD5CD5">
            <w:pPr>
              <w:spacing w:after="0" w:line="240" w:lineRule="auto"/>
              <w:rPr>
                <w:rFonts w:ascii="Times New Roman" w:eastAsia="Times New Roman" w:hAnsi="Times New Roman" w:cs="Times New Roman"/>
                <w:sz w:val="24"/>
                <w:szCs w:val="24"/>
                <w:lang w:eastAsia="pl-PL"/>
              </w:rPr>
            </w:pPr>
          </w:p>
        </w:tc>
        <w:tc>
          <w:tcPr>
            <w:tcW w:w="5103" w:type="dxa"/>
            <w:gridSpan w:val="2"/>
            <w:vMerge/>
            <w:tcBorders>
              <w:left w:val="single" w:sz="4" w:space="0" w:color="auto"/>
              <w:bottom w:val="single" w:sz="4" w:space="0" w:color="auto"/>
              <w:right w:val="single" w:sz="4" w:space="0" w:color="auto"/>
            </w:tcBorders>
          </w:tcPr>
          <w:p w14:paraId="16C8FDDC" w14:textId="77777777" w:rsidR="00781078" w:rsidRPr="00FB76A9" w:rsidRDefault="00781078" w:rsidP="00FD5CD5">
            <w:pPr>
              <w:spacing w:after="0" w:line="240" w:lineRule="auto"/>
              <w:rPr>
                <w:rFonts w:ascii="Times New Roman" w:eastAsia="Times New Roman" w:hAnsi="Times New Roman" w:cs="Times New Roman"/>
                <w:sz w:val="24"/>
                <w:szCs w:val="24"/>
                <w:lang w:eastAsia="pl-PL"/>
              </w:rPr>
            </w:pPr>
          </w:p>
        </w:tc>
        <w:tc>
          <w:tcPr>
            <w:tcW w:w="2268" w:type="dxa"/>
            <w:tcBorders>
              <w:top w:val="single" w:sz="4" w:space="0" w:color="auto"/>
              <w:left w:val="single" w:sz="4" w:space="0" w:color="auto"/>
              <w:bottom w:val="single" w:sz="4" w:space="0" w:color="auto"/>
              <w:right w:val="single" w:sz="4" w:space="0" w:color="auto"/>
            </w:tcBorders>
          </w:tcPr>
          <w:p w14:paraId="37BF9539" w14:textId="77777777" w:rsidR="00781078" w:rsidRPr="00FB76A9" w:rsidRDefault="00781078" w:rsidP="00FD5CD5">
            <w:pPr>
              <w:pStyle w:val="ZARTzmartartykuempunktem"/>
              <w:keepNext/>
              <w:spacing w:line="240" w:lineRule="auto"/>
              <w:ind w:left="0" w:right="3104" w:firstLine="0"/>
              <w:jc w:val="left"/>
              <w:rPr>
                <w:rFonts w:ascii="Times New Roman" w:eastAsia="Times New Roman" w:hAnsi="Times New Roman" w:cs="Times New Roman"/>
                <w:szCs w:val="24"/>
              </w:rPr>
            </w:pPr>
          </w:p>
        </w:tc>
      </w:tr>
      <w:tr w:rsidR="00A54745" w:rsidRPr="00FB76A9" w14:paraId="3908855F" w14:textId="77777777" w:rsidTr="007A584D">
        <w:trPr>
          <w:trHeight w:val="470"/>
        </w:trPr>
        <w:tc>
          <w:tcPr>
            <w:tcW w:w="988" w:type="dxa"/>
            <w:tcBorders>
              <w:top w:val="single" w:sz="4" w:space="0" w:color="auto"/>
              <w:left w:val="single" w:sz="4" w:space="0" w:color="auto"/>
              <w:bottom w:val="single" w:sz="4" w:space="0" w:color="auto"/>
              <w:right w:val="single" w:sz="4" w:space="0" w:color="auto"/>
            </w:tcBorders>
          </w:tcPr>
          <w:p w14:paraId="7EEFEBC1" w14:textId="77777777" w:rsidR="00A54745" w:rsidRPr="00FB76A9" w:rsidRDefault="00A54745"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Art. 15</w:t>
            </w:r>
          </w:p>
        </w:tc>
        <w:tc>
          <w:tcPr>
            <w:tcW w:w="4961" w:type="dxa"/>
            <w:tcBorders>
              <w:top w:val="single" w:sz="4" w:space="0" w:color="auto"/>
              <w:left w:val="single" w:sz="4" w:space="0" w:color="auto"/>
              <w:bottom w:val="single" w:sz="4" w:space="0" w:color="auto"/>
              <w:right w:val="single" w:sz="4" w:space="0" w:color="auto"/>
            </w:tcBorders>
          </w:tcPr>
          <w:p w14:paraId="553443D2" w14:textId="77777777" w:rsidR="00A54745" w:rsidRPr="00FB76A9" w:rsidRDefault="00A54745" w:rsidP="00FD5CD5">
            <w:pPr>
              <w:pStyle w:val="oj-normal"/>
              <w:shd w:val="clear" w:color="auto" w:fill="FFFFFF"/>
              <w:spacing w:before="0" w:beforeAutospacing="0" w:after="0" w:afterAutospacing="0"/>
            </w:pPr>
            <w:r w:rsidRPr="00FB76A9">
              <w:t>„Art. 15 1.  Państwa członkowskie mogą upoważnić swoje organy nadzoru rynku do odzyskiwania od właściwego podmiotu gospodarczego całości kosztów ich działań podejmowanych w związku z przypadkami niezgodności.</w:t>
            </w:r>
          </w:p>
          <w:p w14:paraId="511AC11B" w14:textId="77777777" w:rsidR="00A54745" w:rsidRPr="00FB76A9" w:rsidRDefault="00A54745" w:rsidP="00FD5CD5">
            <w:pPr>
              <w:pStyle w:val="oj-normal"/>
              <w:shd w:val="clear" w:color="auto" w:fill="FFFFFF"/>
              <w:spacing w:before="0" w:beforeAutospacing="0" w:after="0" w:afterAutospacing="0"/>
            </w:pPr>
            <w:r w:rsidRPr="00FB76A9">
              <w:t>2.   Koszty, o których mowa w ust. 1 niniejszego artykułu, mogą obejmować koszty przeprowadzenia badania, koszty podejmowania środków zgodnie z art. 28 ust. 1 i 2 oraz koszty przechowywania i działań, jakie organy podjęły w związku z produktami uznanymi za niezgodne z wymaganiami i objętymi działaniem naprawczym przed dopuszczeniem ich do obrotu lub wprowadzeniem ich do obrotu.”</w:t>
            </w:r>
          </w:p>
          <w:p w14:paraId="0A6EFF48" w14:textId="77777777" w:rsidR="00A54745" w:rsidRPr="00FB76A9" w:rsidRDefault="00A54745" w:rsidP="00FD5CD5">
            <w:pPr>
              <w:spacing w:after="0" w:line="240" w:lineRule="auto"/>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14:paraId="5F4411CB"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851" w:type="dxa"/>
            <w:gridSpan w:val="2"/>
            <w:tcBorders>
              <w:top w:val="single" w:sz="4" w:space="0" w:color="auto"/>
              <w:left w:val="single" w:sz="4" w:space="0" w:color="auto"/>
              <w:bottom w:val="single" w:sz="4" w:space="0" w:color="auto"/>
              <w:right w:val="single" w:sz="4" w:space="0" w:color="auto"/>
            </w:tcBorders>
          </w:tcPr>
          <w:p w14:paraId="516B9221"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w:t>
            </w:r>
            <w:r w:rsidR="002F6312" w:rsidRPr="00FB76A9">
              <w:rPr>
                <w:rFonts w:ascii="Times New Roman" w:eastAsia="Times New Roman" w:hAnsi="Times New Roman" w:cs="Times New Roman"/>
                <w:sz w:val="24"/>
                <w:szCs w:val="24"/>
                <w:lang w:eastAsia="pl-PL"/>
              </w:rPr>
              <w:t>21</w:t>
            </w:r>
          </w:p>
        </w:tc>
        <w:tc>
          <w:tcPr>
            <w:tcW w:w="5103" w:type="dxa"/>
            <w:gridSpan w:val="2"/>
            <w:tcBorders>
              <w:top w:val="single" w:sz="4" w:space="0" w:color="auto"/>
              <w:left w:val="single" w:sz="4" w:space="0" w:color="auto"/>
              <w:bottom w:val="single" w:sz="4" w:space="0" w:color="auto"/>
              <w:right w:val="single" w:sz="4" w:space="0" w:color="auto"/>
            </w:tcBorders>
          </w:tcPr>
          <w:p w14:paraId="26D1DFB8" w14:textId="77777777" w:rsidR="001A3487" w:rsidRPr="00FB76A9" w:rsidRDefault="00A54745" w:rsidP="00FD5CD5">
            <w:pPr>
              <w:pStyle w:val="ZARTzmartartykuempunktem"/>
              <w:spacing w:line="240" w:lineRule="auto"/>
              <w:ind w:left="0" w:firstLine="0"/>
              <w:jc w:val="left"/>
              <w:rPr>
                <w:rFonts w:ascii="Times New Roman" w:hAnsi="Times New Roman" w:cs="Times New Roman"/>
                <w:szCs w:val="24"/>
              </w:rPr>
            </w:pPr>
            <w:r w:rsidRPr="007A610C">
              <w:rPr>
                <w:rFonts w:ascii="Times New Roman" w:hAnsi="Times New Roman" w:cs="Times New Roman"/>
                <w:szCs w:val="24"/>
              </w:rPr>
              <w:t>„</w:t>
            </w:r>
            <w:r w:rsidR="001A3487" w:rsidRPr="007A610C">
              <w:rPr>
                <w:rFonts w:ascii="Times New Roman" w:hAnsi="Times New Roman" w:cs="Times New Roman"/>
                <w:szCs w:val="24"/>
              </w:rPr>
              <w:t xml:space="preserve">Art. 68ze. 1. Dyrektor TDT jako organ nadzoru rynku w ramach kontroli laboratoryjnej poddaje badaniom pojazdy, przedmioty wyposażenia </w:t>
            </w:r>
            <w:r w:rsidR="001A3487" w:rsidRPr="00FB76A9">
              <w:rPr>
                <w:rFonts w:ascii="Times New Roman" w:hAnsi="Times New Roman" w:cs="Times New Roman"/>
                <w:szCs w:val="24"/>
              </w:rPr>
              <w:t>lub części lub zleca przeprowadzenie tych badań w laboratoriach, o których mowa w art. 68zi, w celu stwierdzenia czy te pojazdy, przedmioty wyposażenia lub części spełniają wymagania techniczne lub stwarzają poważne ryzyko.</w:t>
            </w:r>
          </w:p>
          <w:p w14:paraId="5C80669D" w14:textId="77777777" w:rsidR="001A3487" w:rsidRPr="00FB76A9" w:rsidRDefault="001A348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2. W celu poddania pojazdu, przedmiotu wyposażenia lub części badaniom w ramach kontroli laboratoryjnej, o której mowa w ust. 1, Dyrektor TDT jako organ nadzoru rynku pobiera nieodpłatnie pojazdy, przedmioty wyposażenia lub części </w:t>
            </w:r>
            <w:r w:rsidRPr="00FB76A9">
              <w:rPr>
                <w:rFonts w:ascii="Times New Roman" w:hAnsi="Times New Roman" w:cs="Times New Roman"/>
                <w:szCs w:val="24"/>
              </w:rPr>
              <w:tab/>
              <w:t>nej do przeprowadzenia tych badań.</w:t>
            </w:r>
          </w:p>
          <w:p w14:paraId="44ED8DE5" w14:textId="77777777" w:rsidR="001A3487" w:rsidRPr="00FB76A9" w:rsidRDefault="001A348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3. W celu poddania pojazdu, przedmiotu wyposażenia lub części oferowanych do sprzedaży na odległość, badaniom w ramach kontroli laboratoryjnej, o której mowa w ust. 1, Dyrektor TDT jako organ nadzoru rynku pobiera nieodpłatnie pojazdy przedmioty wyposażenia lub części lub dokonuje ich zakupu, w liczbie niezbędnej do przeprowadzenia tych badań, z uwzględnieniem przepisów art. 68zg.</w:t>
            </w:r>
          </w:p>
          <w:p w14:paraId="68696381" w14:textId="77777777" w:rsidR="001A3487" w:rsidRPr="00FB76A9" w:rsidRDefault="001A348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4. Z badań pojazdu, przedmiotu wyposażenia lub części w ramach kontroli laboratoryjnej, o której mowa w ust. 1, sporządza się sprawozdanie. </w:t>
            </w:r>
          </w:p>
          <w:p w14:paraId="2E1B397C" w14:textId="77777777" w:rsidR="001A3487" w:rsidRPr="00FB76A9" w:rsidRDefault="001A348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5. Koszty badań w ramach kontroli laboratoryjnej, o której mowa w ust. 1, ponosi Dyrektor TDT jako organ nadzoru rynku i pokrywa je z opłaty, o której mowa w art. 68zu ust.1.</w:t>
            </w:r>
          </w:p>
          <w:p w14:paraId="657919EB" w14:textId="77777777" w:rsidR="001A3487" w:rsidRPr="00FB76A9" w:rsidRDefault="001A348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6. Do kosztów badań w ramach kontroli laboratoryjnej, o której mowa w ust. 1, zalicza się koszty przeprowadzenia tych badań, koszty transportu do laboratorium oraz koszty przechowywania pojazdu, przedmiotu wyposażenia lub części objętego badaniami.</w:t>
            </w:r>
          </w:p>
          <w:p w14:paraId="71E43E56" w14:textId="77777777" w:rsidR="001A3487" w:rsidRPr="00FB76A9" w:rsidRDefault="001A348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7. Dyrektor TDT jako organ nadzoru rynku wraz z pobraniem pojazdu, przedmiotu wyposażenia lub części pobiera i zabezpiecza, o ile jest to możliwe, dodatkowy pojazd, przedmiot wyposażenia lub część w liczbie odpowiadającej liczbie pobranej do badań w ramach kontroli laboratoryjnej, o której mowa w ust. 1, zwany dalej „próbką kontrolną”.</w:t>
            </w:r>
          </w:p>
          <w:p w14:paraId="5C384DA5" w14:textId="77777777" w:rsidR="001A3487" w:rsidRPr="00FB76A9" w:rsidRDefault="001A348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8. Podmiot gospodarczy lub posiadacz pojazdu, przedmiotu wyposażenia lub części niebędący użytkownikiem końcowym, jest obowiązany przechowywać próbkę kontrolną w warunkach uniemożliwiających zmianę jakości lub cech charakterystycznych tego pojazdu, przedmiotu wyposażenia lub części, do czasu zwolnienia z tego obowiązku przez Dyrektora TDT jako organu nadzoru rynku.</w:t>
            </w:r>
          </w:p>
          <w:p w14:paraId="77079C10" w14:textId="77777777" w:rsidR="001A3487" w:rsidRPr="00FB76A9" w:rsidRDefault="001A348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 xml:space="preserve">9. Badanie próbki kontrolnej w ramach kontroli laboratoryjnej, o której mowa w ust. 1, przeprowadza Dyrektor TDT jako organ nadzoru rynku z urzędu albo na wniosek podmiotu gospodarczego, o którym mowa w art. 68zc ust. 4 pkt 1 lit. b. </w:t>
            </w:r>
          </w:p>
          <w:p w14:paraId="79FB0BF1" w14:textId="77777777" w:rsidR="001A3487" w:rsidRPr="00FB76A9" w:rsidRDefault="001A348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10. W przypadku, gdy podmiot gospodarczy złożył wniosek, o którym mowa w ust. 9, koszty badania próbki kontrolnej w ramach kontroli laboratoryjnej, o której mowa w ust. 1, ponosi ten podmiot gospodarczy, w wysokości i terminie określonym w drodze decyzji administracyjnej wydanej przez Dyrektora TDT jako organu nadzoru rynku.</w:t>
            </w:r>
          </w:p>
          <w:p w14:paraId="2F061FC0" w14:textId="77777777" w:rsidR="001A3487" w:rsidRPr="00FB76A9" w:rsidRDefault="001A348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11. W przypadku, gdy badanie próbki kontrolnej w ramach kontroli laboratoryjnej, o której mowa w ust. 1, zostało przeprowadzone przez Dyrektora TDT jako organ nadzoru rynku z urzędu, koszty tego badania ponosi Dyrektor TDT jako organ nadzoru rynku i pokrywa je z opłaty, o której mowa w art. 68zu ust. 1.</w:t>
            </w:r>
          </w:p>
          <w:p w14:paraId="18FCE4B1" w14:textId="77777777" w:rsidR="00A54745" w:rsidRPr="00FB76A9" w:rsidRDefault="001A3487"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12. Z badań próbki kontrolnej w ramach kontroli laboratoryjnej, o której mowa w ust. 1, sporządza się sprawozdanie.”</w:t>
            </w:r>
          </w:p>
        </w:tc>
        <w:tc>
          <w:tcPr>
            <w:tcW w:w="2268" w:type="dxa"/>
            <w:tcBorders>
              <w:top w:val="single" w:sz="4" w:space="0" w:color="auto"/>
              <w:left w:val="single" w:sz="4" w:space="0" w:color="auto"/>
              <w:bottom w:val="single" w:sz="4" w:space="0" w:color="auto"/>
              <w:right w:val="single" w:sz="4" w:space="0" w:color="auto"/>
            </w:tcBorders>
          </w:tcPr>
          <w:p w14:paraId="38DE08E8" w14:textId="77777777" w:rsidR="00A54745" w:rsidRPr="00FB76A9" w:rsidRDefault="00A54745" w:rsidP="00FD5CD5">
            <w:pPr>
              <w:pStyle w:val="ZARTzmartartykuempunktem"/>
              <w:keepNext/>
              <w:spacing w:line="240" w:lineRule="auto"/>
              <w:ind w:left="0" w:right="3104" w:firstLine="0"/>
              <w:jc w:val="left"/>
              <w:rPr>
                <w:rFonts w:ascii="Times New Roman" w:hAnsi="Times New Roman" w:cs="Times New Roman"/>
                <w:szCs w:val="24"/>
              </w:rPr>
            </w:pPr>
          </w:p>
        </w:tc>
      </w:tr>
      <w:tr w:rsidR="00A54745" w:rsidRPr="00FB76A9" w14:paraId="4889B67C" w14:textId="77777777" w:rsidTr="007A584D">
        <w:trPr>
          <w:trHeight w:val="470"/>
        </w:trPr>
        <w:tc>
          <w:tcPr>
            <w:tcW w:w="988" w:type="dxa"/>
            <w:tcBorders>
              <w:top w:val="single" w:sz="4" w:space="0" w:color="auto"/>
              <w:left w:val="single" w:sz="4" w:space="0" w:color="auto"/>
              <w:bottom w:val="single" w:sz="4" w:space="0" w:color="auto"/>
              <w:right w:val="single" w:sz="4" w:space="0" w:color="auto"/>
            </w:tcBorders>
          </w:tcPr>
          <w:p w14:paraId="16F1663B" w14:textId="77777777" w:rsidR="00A54745" w:rsidRPr="00FB76A9" w:rsidRDefault="00A54745"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Art. 16</w:t>
            </w:r>
          </w:p>
        </w:tc>
        <w:tc>
          <w:tcPr>
            <w:tcW w:w="4961" w:type="dxa"/>
            <w:tcBorders>
              <w:top w:val="single" w:sz="4" w:space="0" w:color="auto"/>
              <w:left w:val="single" w:sz="4" w:space="0" w:color="auto"/>
              <w:bottom w:val="single" w:sz="4" w:space="0" w:color="auto"/>
              <w:right w:val="single" w:sz="4" w:space="0" w:color="auto"/>
            </w:tcBorders>
          </w:tcPr>
          <w:p w14:paraId="45EB9B4F" w14:textId="77777777" w:rsidR="007A584D" w:rsidRPr="00FB76A9" w:rsidRDefault="007A584D" w:rsidP="00FD5CD5">
            <w:pPr>
              <w:autoSpaceDE w:val="0"/>
              <w:autoSpaceDN w:val="0"/>
              <w:adjustRightInd w:val="0"/>
              <w:spacing w:before="60" w:after="60" w:line="240" w:lineRule="auto"/>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„Art. 16.1. Organy nadzoru rynku podejmują odpowiednie środki, jeżeli objęty unijnym prawodawstwem harmonizacyjnym produkt stosowany zgodnie z przeznaczeniem lub w warunkach dających się racjonalnie przewidzieć oraz prawidłowo zainstalowany i konserwowany: </w:t>
            </w:r>
          </w:p>
          <w:p w14:paraId="7AB1F02D" w14:textId="77777777" w:rsidR="007A584D" w:rsidRPr="00FB76A9" w:rsidRDefault="007A584D" w:rsidP="00FD5CD5">
            <w:pPr>
              <w:autoSpaceDE w:val="0"/>
              <w:autoSpaceDN w:val="0"/>
              <w:adjustRightInd w:val="0"/>
              <w:spacing w:before="60" w:after="60" w:line="240" w:lineRule="auto"/>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a) może stwarzać ryzyko dla zdrowia lub bezpieczeństwa użytkowników; lub </w:t>
            </w:r>
          </w:p>
          <w:p w14:paraId="1757DD52" w14:textId="77777777" w:rsidR="007A584D" w:rsidRPr="00FB76A9" w:rsidRDefault="007A584D" w:rsidP="00FD5CD5">
            <w:pPr>
              <w:autoSpaceDE w:val="0"/>
              <w:autoSpaceDN w:val="0"/>
              <w:adjustRightInd w:val="0"/>
              <w:spacing w:before="60" w:after="60" w:line="240" w:lineRule="auto"/>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b) nie jest zgodny z mającym zastosowanie unijnym prawodawstwem harmonizacyjnym. </w:t>
            </w:r>
          </w:p>
          <w:p w14:paraId="20D246B7" w14:textId="77777777" w:rsidR="007A584D" w:rsidRPr="00FB76A9" w:rsidRDefault="007A584D" w:rsidP="00FD5CD5">
            <w:pPr>
              <w:autoSpaceDE w:val="0"/>
              <w:autoSpaceDN w:val="0"/>
              <w:adjustRightInd w:val="0"/>
              <w:spacing w:before="60" w:after="60" w:line="240" w:lineRule="auto"/>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2. W przypadku, gdy organy nadzoru rynku dokonają ustaleń, o których mowa w ust. 1 lit. a) lub b), żądają niezwłocznie od właściwego podmiotu gospodarczego podjęcia odpowiednich i proporcjonalnych działań naprawczych w celu doprowadzenia do usunięcia niezgodności lub wyeliminowania ryzyka w określonym przez te organy terminie. </w:t>
            </w:r>
          </w:p>
          <w:p w14:paraId="3DEFAF99" w14:textId="77777777" w:rsidR="007A584D" w:rsidRPr="00FB76A9" w:rsidRDefault="007A584D" w:rsidP="00FD5CD5">
            <w:pPr>
              <w:autoSpaceDE w:val="0"/>
              <w:autoSpaceDN w:val="0"/>
              <w:adjustRightInd w:val="0"/>
              <w:spacing w:before="60" w:after="60" w:line="240" w:lineRule="auto"/>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3. Do celów ust. 2 działanie naprawcze wymagane od podmiotu gospodarczego może obejmować między innymi: </w:t>
            </w:r>
          </w:p>
          <w:p w14:paraId="2F30679C" w14:textId="77777777" w:rsidR="007A584D" w:rsidRPr="00FB76A9" w:rsidRDefault="007A584D" w:rsidP="00FD5CD5">
            <w:pPr>
              <w:autoSpaceDE w:val="0"/>
              <w:autoSpaceDN w:val="0"/>
              <w:adjustRightInd w:val="0"/>
              <w:spacing w:before="60" w:after="60" w:line="240" w:lineRule="auto"/>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a) zapewnienie zgodności produktu z przepisami, w tym poprzez skorygowanie formalnej niezgodności, jak określono w obowiązującym unijnym prawodawstwie harmonizacyjnym, lub poprzez zapewnienie, aby produkt nie stwarzał już ryzyka; </w:t>
            </w:r>
          </w:p>
          <w:p w14:paraId="6F039C24" w14:textId="77777777" w:rsidR="007A584D" w:rsidRPr="00FB76A9" w:rsidRDefault="007A584D" w:rsidP="00FD5CD5">
            <w:pPr>
              <w:autoSpaceDE w:val="0"/>
              <w:autoSpaceDN w:val="0"/>
              <w:adjustRightInd w:val="0"/>
              <w:spacing w:before="60" w:after="60" w:line="240" w:lineRule="auto"/>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b) uniemożliwienie udostępniania produktu na rynku; </w:t>
            </w:r>
          </w:p>
          <w:p w14:paraId="788A146D" w14:textId="77777777" w:rsidR="007A584D" w:rsidRPr="00FB76A9" w:rsidRDefault="007A584D" w:rsidP="00FD5CD5">
            <w:pPr>
              <w:autoSpaceDE w:val="0"/>
              <w:autoSpaceDN w:val="0"/>
              <w:adjustRightInd w:val="0"/>
              <w:spacing w:before="60" w:after="60" w:line="240" w:lineRule="auto"/>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c) natychmiastowe wycofanie produktu z obrotu lub odzyskanie produktu oraz powiadomienie opinii publicznej o stwarzanym przez ten produkt ryzyku; </w:t>
            </w:r>
          </w:p>
          <w:p w14:paraId="643E8378" w14:textId="77777777" w:rsidR="007A584D" w:rsidRPr="00FB76A9" w:rsidRDefault="007A584D" w:rsidP="00FD5CD5">
            <w:pPr>
              <w:autoSpaceDE w:val="0"/>
              <w:autoSpaceDN w:val="0"/>
              <w:adjustRightInd w:val="0"/>
              <w:spacing w:before="60" w:after="60" w:line="240" w:lineRule="auto"/>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d) zniszczenie produktu lub uczynienie go niezdatnym do użytku w inny sposób; </w:t>
            </w:r>
          </w:p>
          <w:p w14:paraId="4D4685C2" w14:textId="77777777" w:rsidR="007A584D" w:rsidRPr="00FB76A9" w:rsidRDefault="007A584D" w:rsidP="00FD5CD5">
            <w:pPr>
              <w:autoSpaceDE w:val="0"/>
              <w:autoSpaceDN w:val="0"/>
              <w:adjustRightInd w:val="0"/>
              <w:spacing w:before="60" w:after="60" w:line="240" w:lineRule="auto"/>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e) umieszczenie na produkcie odpowiednich, jasno sformułowanych i zrozumiałych ostrzeżeń o ryzyku, jakie może on stwarzać, w języku lub językach określonych przez państwo członkowskie, w którym dany produkt jest udostępniany na rynku; </w:t>
            </w:r>
          </w:p>
          <w:p w14:paraId="25864449" w14:textId="77777777" w:rsidR="007A584D" w:rsidRPr="00FB76A9" w:rsidRDefault="007A584D" w:rsidP="00FD5CD5">
            <w:pPr>
              <w:autoSpaceDE w:val="0"/>
              <w:autoSpaceDN w:val="0"/>
              <w:adjustRightInd w:val="0"/>
              <w:spacing w:before="60" w:after="60" w:line="240" w:lineRule="auto"/>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f) określenie z góry warunków, na jakich dany produkt może być udostępniany na rynku; </w:t>
            </w:r>
          </w:p>
          <w:p w14:paraId="2AF67212" w14:textId="77777777" w:rsidR="007A584D" w:rsidRPr="00FB76A9" w:rsidRDefault="007A584D" w:rsidP="00FD5CD5">
            <w:pPr>
              <w:autoSpaceDE w:val="0"/>
              <w:autoSpaceDN w:val="0"/>
              <w:adjustRightInd w:val="0"/>
              <w:spacing w:before="60" w:after="60" w:line="240" w:lineRule="auto"/>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g) natychmiastowe powiadomienie narażonych na ryzyko użytkowników końcowych w stosownej formie, w tym za pomocą specjalnych ostrzeżeń w języku lub językach określonych przez państwo członkowskie, w którym dany produkt jest udostępniany na rynku. </w:t>
            </w:r>
          </w:p>
          <w:p w14:paraId="4B82F64E" w14:textId="77777777" w:rsidR="007A584D" w:rsidRPr="00FB76A9" w:rsidRDefault="007A584D" w:rsidP="00FD5CD5">
            <w:pPr>
              <w:autoSpaceDE w:val="0"/>
              <w:autoSpaceDN w:val="0"/>
              <w:adjustRightInd w:val="0"/>
              <w:spacing w:before="60" w:after="60" w:line="240" w:lineRule="auto"/>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4. Działań naprawczych, o których mowa w ust. 3 lit. e), f) i g), można wymagać jedynie wtedy, gdy produkt może stwarzać ryzyko tylko w określonych warunkach lub tylko dla niektórych użytkowników końcowych. </w:t>
            </w:r>
          </w:p>
          <w:p w14:paraId="7A2FD909" w14:textId="77777777" w:rsidR="007A584D" w:rsidRPr="00FB76A9" w:rsidRDefault="007A584D" w:rsidP="00FD5CD5">
            <w:pPr>
              <w:autoSpaceDE w:val="0"/>
              <w:autoSpaceDN w:val="0"/>
              <w:adjustRightInd w:val="0"/>
              <w:spacing w:before="60" w:after="60" w:line="240" w:lineRule="auto"/>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5. Jeżeli podmiot gospodarczy nie podejmie działań naprawczych, o których mowa w ust. 3, lub gdy niezgodność lub ryzyko, o których mowa w ust. 1, nadal się utrzymują, organy nadzoru rynku zapewniają, aby produkt został wycofany z obrotu lub odzyskany bądź by udostępnienie go na rynku zostało zakazane lub ograniczone, oraz aby odpowiednio poinformowano opinię publiczną, Komisję i inne państwa członkowskie. </w:t>
            </w:r>
          </w:p>
          <w:p w14:paraId="18A63225" w14:textId="77777777" w:rsidR="007A584D" w:rsidRPr="00FB76A9" w:rsidRDefault="007A584D" w:rsidP="00FD5CD5">
            <w:pPr>
              <w:autoSpaceDE w:val="0"/>
              <w:autoSpaceDN w:val="0"/>
              <w:adjustRightInd w:val="0"/>
              <w:spacing w:before="60" w:after="60" w:line="240" w:lineRule="auto"/>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 xml:space="preserve">6. Informacje, o których mowa w ust. 5 niniejszego artykułu, przekazuje się Komisji i innym państwom członkowskim za pośrednictwem systemu informacyjnego i komunikacyjnego, o którym mowa w art. 34. Uznaje się, że takie przekazywanie informacji spełnia również wymagania dotyczące powiadamiania obowiązujące w przypadku mających zastosowanie procedur ochronnych przewidzianych w unijnym prawodawstwie harmonizacyjnym. </w:t>
            </w:r>
          </w:p>
          <w:p w14:paraId="3ADE834B" w14:textId="77777777" w:rsidR="00A54745" w:rsidRPr="00FB76A9" w:rsidRDefault="007A584D" w:rsidP="00FD5CD5">
            <w:pPr>
              <w:shd w:val="clear" w:color="auto" w:fill="FFFFFF"/>
              <w:spacing w:after="0" w:line="240" w:lineRule="auto"/>
              <w:rPr>
                <w:rFonts w:ascii="Times New Roman" w:eastAsiaTheme="minorEastAsia" w:hAnsi="Times New Roman" w:cs="Times New Roman"/>
                <w:sz w:val="24"/>
                <w:szCs w:val="24"/>
                <w:lang w:eastAsia="pl-PL"/>
              </w:rPr>
            </w:pPr>
            <w:r w:rsidRPr="00FB76A9">
              <w:rPr>
                <w:rFonts w:ascii="Times New Roman" w:eastAsiaTheme="minorEastAsia" w:hAnsi="Times New Roman" w:cs="Times New Roman"/>
                <w:sz w:val="24"/>
                <w:szCs w:val="24"/>
                <w:lang w:eastAsia="pl-PL"/>
              </w:rPr>
              <w:t>7. Jeżeli krajowy środek uznaje się za uzasadniony zgodnie z mającą zastosowanie procedurą ochronną lub jeżeli żaden organ nadzoru rynku innego państwa członkowskiego nie stwierdził inaczej zgodnie z art. 11 ust. 9, właściwe organy nadzoru rynku w innych państwach członkowskich podejmują niezbędne środki w odniesieniu do produktu niezgodnego z wymaganiami i wprowadzają odpowiednie informacje do systemu informacyjnego i komunikacyjnego, o którym mowa w art. 34.”</w:t>
            </w:r>
          </w:p>
        </w:tc>
        <w:tc>
          <w:tcPr>
            <w:tcW w:w="850" w:type="dxa"/>
            <w:gridSpan w:val="2"/>
            <w:tcBorders>
              <w:top w:val="single" w:sz="4" w:space="0" w:color="auto"/>
              <w:left w:val="single" w:sz="4" w:space="0" w:color="auto"/>
              <w:bottom w:val="single" w:sz="4" w:space="0" w:color="auto"/>
              <w:right w:val="single" w:sz="4" w:space="0" w:color="auto"/>
            </w:tcBorders>
          </w:tcPr>
          <w:p w14:paraId="055FA386"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851" w:type="dxa"/>
            <w:gridSpan w:val="2"/>
            <w:tcBorders>
              <w:top w:val="single" w:sz="4" w:space="0" w:color="auto"/>
              <w:left w:val="single" w:sz="4" w:space="0" w:color="auto"/>
              <w:bottom w:val="single" w:sz="4" w:space="0" w:color="auto"/>
              <w:right w:val="single" w:sz="4" w:space="0" w:color="auto"/>
            </w:tcBorders>
          </w:tcPr>
          <w:p w14:paraId="411105E6" w14:textId="77777777" w:rsidR="00A54745" w:rsidRPr="00FB76A9" w:rsidRDefault="00A5474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w:t>
            </w:r>
            <w:r w:rsidR="002F6312" w:rsidRPr="00FB76A9">
              <w:rPr>
                <w:rFonts w:ascii="Times New Roman" w:eastAsia="Times New Roman" w:hAnsi="Times New Roman" w:cs="Times New Roman"/>
                <w:sz w:val="24"/>
                <w:szCs w:val="24"/>
                <w:lang w:eastAsia="pl-PL"/>
              </w:rPr>
              <w:t>21</w:t>
            </w:r>
          </w:p>
        </w:tc>
        <w:tc>
          <w:tcPr>
            <w:tcW w:w="5103" w:type="dxa"/>
            <w:gridSpan w:val="2"/>
            <w:tcBorders>
              <w:top w:val="single" w:sz="4" w:space="0" w:color="auto"/>
              <w:left w:val="single" w:sz="4" w:space="0" w:color="auto"/>
              <w:bottom w:val="single" w:sz="4" w:space="0" w:color="auto"/>
              <w:right w:val="single" w:sz="4" w:space="0" w:color="auto"/>
            </w:tcBorders>
          </w:tcPr>
          <w:p w14:paraId="451C2790" w14:textId="77777777" w:rsidR="003B6ED9" w:rsidRPr="007A610C" w:rsidRDefault="003B6ED9" w:rsidP="00FD5CD5">
            <w:pPr>
              <w:pStyle w:val="ZARTzmartartykuempunktem"/>
              <w:keepNext/>
              <w:spacing w:line="240" w:lineRule="auto"/>
              <w:ind w:left="0" w:firstLine="0"/>
              <w:jc w:val="left"/>
              <w:rPr>
                <w:rFonts w:ascii="Times New Roman" w:hAnsi="Times New Roman" w:cs="Times New Roman"/>
                <w:szCs w:val="24"/>
              </w:rPr>
            </w:pPr>
            <w:r w:rsidRPr="007A610C">
              <w:rPr>
                <w:rFonts w:ascii="Times New Roman" w:hAnsi="Times New Roman" w:cs="Times New Roman"/>
                <w:szCs w:val="24"/>
              </w:rPr>
              <w:t>Art. 68s. 1. Dyrektor TDT jako organ nadzoru rynku jest uprawniony do:</w:t>
            </w:r>
          </w:p>
          <w:p w14:paraId="6426A570" w14:textId="77777777" w:rsidR="003B6ED9" w:rsidRPr="00FB76A9" w:rsidRDefault="003B6ED9"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w:t>
            </w:r>
          </w:p>
          <w:p w14:paraId="39A5A9A2" w14:textId="77777777" w:rsidR="003B6ED9" w:rsidRPr="00FB76A9" w:rsidRDefault="003B6ED9"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4) wymagania od operatora platformy lub dostawcy usług społeczeństwa informacyjnego podjęcia działań w ramach interfejsu online, w tym usunięcia z interfejsu online treści odnoszących się do pojazdu, przedmiotu wyposażenia i części, wobec których stwierdzono niezgodność z wymaganiami technicznymi lub poważne ryzyko, zawieszenia konta podmiotu gospodarczego na platformie lub wyświetlenia wyraźnego ostrzeżenia dla użytkowników końcowych uzyskujących dostęp do oferty tego pojazdu, przedmiotu wyposażenia lub części;</w:t>
            </w:r>
          </w:p>
          <w:p w14:paraId="23696D91" w14:textId="77777777" w:rsidR="003B6ED9" w:rsidRPr="00FB76A9" w:rsidRDefault="003B6ED9"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w:t>
            </w:r>
          </w:p>
          <w:p w14:paraId="1E9D129E" w14:textId="77777777" w:rsidR="003B6ED9" w:rsidRPr="00FB76A9" w:rsidRDefault="003B6ED9"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7)</w:t>
            </w:r>
            <w:r w:rsidRPr="00FB76A9">
              <w:rPr>
                <w:rFonts w:ascii="Times New Roman" w:hAnsi="Times New Roman" w:cs="Times New Roman"/>
                <w:szCs w:val="24"/>
              </w:rPr>
              <w:tab/>
              <w:t>opracowania i prowadzenia wykazu pojazdów, przedmiotów wyposażenia lub części niezgodnych z wymaganiami technicznymi lub stwarzających poważne ryzyko, który udostępnia na stronie podmiotowej Transportowego Dozoru Technicznego;”</w:t>
            </w:r>
          </w:p>
          <w:p w14:paraId="0AE0010E" w14:textId="77777777" w:rsidR="003B6ED9" w:rsidRPr="00FB76A9" w:rsidRDefault="003B6ED9" w:rsidP="00FD5CD5">
            <w:pPr>
              <w:pStyle w:val="ZARTzmartartykuempunktem"/>
              <w:keepNext/>
              <w:spacing w:line="240" w:lineRule="auto"/>
              <w:jc w:val="left"/>
              <w:rPr>
                <w:rFonts w:ascii="Times New Roman" w:hAnsi="Times New Roman" w:cs="Times New Roman"/>
                <w:szCs w:val="24"/>
              </w:rPr>
            </w:pPr>
          </w:p>
          <w:p w14:paraId="4E953EC4" w14:textId="77777777" w:rsidR="00AA78B9" w:rsidRPr="00FB76A9" w:rsidRDefault="00AA78B9"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„Art. 68zk. 1. Dyrektor TDT jako organ nadzoru rynku w decyzji, o której mowa w art. 68zj ust. 1, nakazuje podmiotowi gospodarczemu w określonym terminie:</w:t>
            </w:r>
          </w:p>
          <w:p w14:paraId="4E95C662" w14:textId="77777777" w:rsidR="00AA78B9" w:rsidRPr="00FB76A9" w:rsidRDefault="00AA78B9"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podać do publicznej wiadomości w sposób wskazany w decyzji informację o pojeździe, przedmiocie wyposażenia lub części objętych obowiązkiem wycofania z obrotu lub użytkowania oraz</w:t>
            </w:r>
          </w:p>
          <w:p w14:paraId="62E88DFE" w14:textId="77777777" w:rsidR="00AA78B9" w:rsidRPr="00FB76A9" w:rsidRDefault="00AA78B9"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usunięcie niezgodności z wymaganiami technicznymi lub usunięcie ryzyka, a w przypadku gdy ich usunięcie nie jest możliwe, zakazuje udostępniania na rynku pojazdu, przedmiotu wyposażenia lub części; w przypadku gdy pojazd, przedmiot wyposażenia lub część zostały już udostępnione, nakazuje ich wycofanie z obrotu lub użytkowania oraz nakazuje odkupienie pojazdu, przedmiotu wyposażenia lub części od użytkowników końcowych albo wymianę na nowy pojazd, przedmiot wyposażenia lub część zgodne z wymaganiami technicznymi.</w:t>
            </w:r>
          </w:p>
          <w:p w14:paraId="0E9C34CD" w14:textId="77777777" w:rsidR="00AA78B9" w:rsidRPr="00FB76A9" w:rsidRDefault="00AA78B9"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8. Jeżeli podmiot gospodarczy nie wykonał decyzji, o której mowa w art. 68zj ust. 1 w zakresie określonym w art. 68zk ust. 2 pkt 4, oraz jeżeli jest konieczne podjęcie natychmiastowego działania mającego na celu usunięcie poważnego ryzyka stwarzanego przez pojazd, przedmiot wyposażenia lub część objętego decyzją lub doprowadzenie ich do stanu zgodności z wymaganiami technicznymi, Dyrektor TDT jako organ nadzoru rynku w drodze decyzji administracyjnej, nakazuje dostawcy usług społeczeństwa informacyjnego nieodpłatne ograniczenie temu podmiotowi, dostępu do interfejsu online lub wyłączenie dostępu do interfejsu online.</w:t>
            </w:r>
          </w:p>
          <w:p w14:paraId="19A242B0" w14:textId="77777777" w:rsidR="00AA78B9" w:rsidRPr="00FB76A9" w:rsidRDefault="00AA78B9" w:rsidP="00FD5CD5">
            <w:pPr>
              <w:pStyle w:val="ZARTzmartartykuempunktem"/>
              <w:spacing w:line="240" w:lineRule="auto"/>
              <w:ind w:left="0" w:firstLine="0"/>
              <w:jc w:val="left"/>
              <w:rPr>
                <w:rFonts w:ascii="Times New Roman" w:hAnsi="Times New Roman" w:cs="Times New Roman"/>
                <w:szCs w:val="24"/>
              </w:rPr>
            </w:pPr>
          </w:p>
          <w:p w14:paraId="00E525D8" w14:textId="77777777" w:rsidR="003B6ED9" w:rsidRPr="00FB76A9" w:rsidRDefault="003B6ED9" w:rsidP="00FD5CD5">
            <w:pPr>
              <w:pStyle w:val="ZUSTzmus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Art. 68zl. 2. Dyrektor TDT jako organ nadzoru rynku powiadamia o wydaniu decyzji, o której mowa w art. 68zj ust. 1 lub art. 68zk ust. 12, w tym podjętych środków naprawczych, opinię publiczną w trybie określonym w art. 68zt oraz przekazuje informację o wydaniu decyzji Komisji Europejskiej oraz organom nadzoru rynku w państwach członkowskich Unii Europejskiej za pomocą systemu Safety Gate oraz systemu ICSMS.</w:t>
            </w:r>
          </w:p>
          <w:p w14:paraId="71E98304" w14:textId="77777777" w:rsidR="003B6ED9" w:rsidRPr="00FB76A9" w:rsidRDefault="003B6ED9"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3. Dyrektor TDT jako organ nadzoru rynku przekazuje do ewidencji informacje, o wydaniu decyzji, o której mowa w art. 68zj ust. 1 lub art. 68zk ust. 12, w zakresie wycofania pojazdu z obrotu lub użytkowania.</w:t>
            </w:r>
          </w:p>
          <w:p w14:paraId="26542F76" w14:textId="77777777" w:rsidR="00A54745" w:rsidRPr="00FB76A9" w:rsidRDefault="00A54745" w:rsidP="00FD5CD5">
            <w:pPr>
              <w:pStyle w:val="ZPKTzmpktartykuempunktem"/>
              <w:spacing w:line="240" w:lineRule="auto"/>
              <w:jc w:val="left"/>
              <w:rPr>
                <w:rFonts w:ascii="Times New Roman" w:hAnsi="Times New Roman" w:cs="Times New Roman"/>
                <w:szCs w:val="24"/>
              </w:rPr>
            </w:pPr>
          </w:p>
        </w:tc>
        <w:tc>
          <w:tcPr>
            <w:tcW w:w="2268" w:type="dxa"/>
            <w:tcBorders>
              <w:top w:val="single" w:sz="4" w:space="0" w:color="auto"/>
              <w:left w:val="single" w:sz="4" w:space="0" w:color="auto"/>
              <w:bottom w:val="single" w:sz="4" w:space="0" w:color="auto"/>
              <w:right w:val="single" w:sz="4" w:space="0" w:color="auto"/>
            </w:tcBorders>
          </w:tcPr>
          <w:p w14:paraId="06AD7C64" w14:textId="77777777" w:rsidR="00A54745" w:rsidRPr="00FB76A9" w:rsidRDefault="00A54745" w:rsidP="00FD5CD5">
            <w:pPr>
              <w:pStyle w:val="ZARTzmartartykuempunktem"/>
              <w:spacing w:line="240" w:lineRule="auto"/>
              <w:ind w:left="0" w:right="3104" w:firstLine="0"/>
              <w:jc w:val="left"/>
              <w:rPr>
                <w:rFonts w:ascii="Times New Roman" w:hAnsi="Times New Roman" w:cs="Times New Roman"/>
                <w:szCs w:val="24"/>
              </w:rPr>
            </w:pPr>
          </w:p>
        </w:tc>
      </w:tr>
      <w:tr w:rsidR="00A54745" w:rsidRPr="00FB76A9" w14:paraId="49631801" w14:textId="77777777" w:rsidTr="007A584D">
        <w:trPr>
          <w:trHeight w:val="470"/>
        </w:trPr>
        <w:tc>
          <w:tcPr>
            <w:tcW w:w="988" w:type="dxa"/>
            <w:tcBorders>
              <w:top w:val="single" w:sz="4" w:space="0" w:color="auto"/>
              <w:left w:val="single" w:sz="4" w:space="0" w:color="auto"/>
              <w:bottom w:val="single" w:sz="4" w:space="0" w:color="auto"/>
              <w:right w:val="single" w:sz="4" w:space="0" w:color="auto"/>
            </w:tcBorders>
          </w:tcPr>
          <w:p w14:paraId="662A88B0" w14:textId="77777777" w:rsidR="00A54745" w:rsidRPr="00FB76A9" w:rsidRDefault="007A584D"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Art. 17</w:t>
            </w:r>
          </w:p>
        </w:tc>
        <w:tc>
          <w:tcPr>
            <w:tcW w:w="4961" w:type="dxa"/>
            <w:tcBorders>
              <w:top w:val="single" w:sz="4" w:space="0" w:color="auto"/>
              <w:left w:val="single" w:sz="4" w:space="0" w:color="auto"/>
              <w:bottom w:val="single" w:sz="4" w:space="0" w:color="auto"/>
              <w:right w:val="single" w:sz="4" w:space="0" w:color="auto"/>
            </w:tcBorders>
          </w:tcPr>
          <w:p w14:paraId="08CAB962" w14:textId="77777777" w:rsidR="00A54745" w:rsidRPr="00FB76A9" w:rsidRDefault="007A584D" w:rsidP="00FD5CD5">
            <w:pPr>
              <w:pStyle w:val="oj-normal"/>
              <w:shd w:val="clear" w:color="auto" w:fill="FFFFFF"/>
              <w:spacing w:before="0" w:beforeAutospacing="0" w:after="0" w:afterAutospacing="0"/>
            </w:pPr>
            <w:r w:rsidRPr="00FB76A9">
              <w:t>„</w:t>
            </w:r>
            <w:r w:rsidR="00A54745" w:rsidRPr="00FB76A9">
              <w:t xml:space="preserve">Art. 17 Organy nadzoru rynku prowadzą </w:t>
            </w:r>
            <w:r w:rsidRPr="00FB76A9">
              <w:t>„</w:t>
            </w:r>
            <w:r w:rsidR="00A54745" w:rsidRPr="00FB76A9">
              <w:t>działalność przy zapewnieniu wysokiego stopnia przejrzystości oraz udostępniają publicznie wszelkie informacje, które uznają za istotne dla ochrony interesów użytkowników końcowych. Organy nadzoru rynku przestrzegają zasad poufności i tajemnicy służbowej i handlowej oraz chronią dane osobowe zgodnie z prawem Unii i prawem krajowym.</w:t>
            </w:r>
            <w:r w:rsidRPr="00FB76A9">
              <w:t>”</w:t>
            </w:r>
          </w:p>
          <w:p w14:paraId="6436983A" w14:textId="77777777" w:rsidR="00A54745" w:rsidRPr="00FB76A9" w:rsidRDefault="00A54745" w:rsidP="00FD5CD5">
            <w:pPr>
              <w:shd w:val="clear" w:color="auto" w:fill="FFFFFF"/>
              <w:spacing w:after="0" w:line="240" w:lineRule="auto"/>
              <w:rPr>
                <w:rFonts w:ascii="Times New Roman" w:eastAsia="Times New Roman" w:hAnsi="Times New Roman" w:cs="Times New Roman"/>
                <w:sz w:val="24"/>
                <w:szCs w:val="24"/>
                <w:lang w:eastAsia="pl-PL"/>
              </w:rPr>
            </w:pPr>
          </w:p>
        </w:tc>
        <w:tc>
          <w:tcPr>
            <w:tcW w:w="850" w:type="dxa"/>
            <w:gridSpan w:val="2"/>
            <w:tcBorders>
              <w:top w:val="single" w:sz="4" w:space="0" w:color="auto"/>
              <w:left w:val="single" w:sz="4" w:space="0" w:color="auto"/>
              <w:bottom w:val="single" w:sz="4" w:space="0" w:color="auto"/>
              <w:right w:val="single" w:sz="4" w:space="0" w:color="auto"/>
            </w:tcBorders>
          </w:tcPr>
          <w:p w14:paraId="1D7AC8AE" w14:textId="77777777" w:rsidR="00A54745" w:rsidRPr="00FB76A9" w:rsidRDefault="007A584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851" w:type="dxa"/>
            <w:gridSpan w:val="2"/>
            <w:tcBorders>
              <w:top w:val="single" w:sz="4" w:space="0" w:color="auto"/>
              <w:left w:val="single" w:sz="4" w:space="0" w:color="auto"/>
              <w:bottom w:val="single" w:sz="4" w:space="0" w:color="auto"/>
              <w:right w:val="single" w:sz="4" w:space="0" w:color="auto"/>
            </w:tcBorders>
          </w:tcPr>
          <w:p w14:paraId="0A718C5D" w14:textId="77777777" w:rsidR="00A54745" w:rsidRPr="00FB76A9" w:rsidRDefault="00D35A4B"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 1 pkt 21</w:t>
            </w:r>
          </w:p>
        </w:tc>
        <w:tc>
          <w:tcPr>
            <w:tcW w:w="5103" w:type="dxa"/>
            <w:gridSpan w:val="2"/>
            <w:tcBorders>
              <w:top w:val="single" w:sz="4" w:space="0" w:color="auto"/>
              <w:left w:val="single" w:sz="4" w:space="0" w:color="auto"/>
              <w:bottom w:val="single" w:sz="4" w:space="0" w:color="auto"/>
              <w:right w:val="single" w:sz="4" w:space="0" w:color="auto"/>
            </w:tcBorders>
          </w:tcPr>
          <w:p w14:paraId="41227466" w14:textId="77777777" w:rsidR="00D35A4B" w:rsidRPr="007A610C" w:rsidRDefault="00D35A4B" w:rsidP="00FD5CD5">
            <w:pPr>
              <w:pStyle w:val="ZROZDZODDZOZNzmoznrozdzoddzartykuempunktem"/>
              <w:spacing w:line="240" w:lineRule="auto"/>
              <w:ind w:left="0"/>
              <w:jc w:val="left"/>
              <w:rPr>
                <w:rFonts w:ascii="Times New Roman" w:hAnsi="Times New Roman" w:cs="Times New Roman"/>
              </w:rPr>
            </w:pPr>
            <w:r w:rsidRPr="007A610C">
              <w:rPr>
                <w:rFonts w:ascii="Times New Roman" w:hAnsi="Times New Roman" w:cs="Times New Roman"/>
              </w:rPr>
              <w:t>Rozdział 4b</w:t>
            </w:r>
          </w:p>
          <w:p w14:paraId="61D831C3" w14:textId="77777777" w:rsidR="00D35A4B" w:rsidRPr="007A610C" w:rsidRDefault="00D35A4B" w:rsidP="00FD5CD5">
            <w:pPr>
              <w:pStyle w:val="ZROZDZODDZPRZEDMzmprzedmrozdzoddzartykuempunktem"/>
              <w:spacing w:before="0" w:after="0" w:line="240" w:lineRule="auto"/>
              <w:ind w:left="0"/>
              <w:jc w:val="left"/>
              <w:rPr>
                <w:rFonts w:ascii="Times New Roman" w:hAnsi="Times New Roman"/>
              </w:rPr>
            </w:pPr>
            <w:r w:rsidRPr="007A610C">
              <w:rPr>
                <w:rFonts w:ascii="Times New Roman" w:hAnsi="Times New Roman"/>
              </w:rPr>
              <w:t>„Nadzór rynku</w:t>
            </w:r>
          </w:p>
          <w:p w14:paraId="3DF9F555" w14:textId="77777777" w:rsidR="00D35A4B" w:rsidRPr="00FB76A9" w:rsidRDefault="00D35A4B"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Art. 68s. 1. Dyrektor TDT jako organ nadzoru rynku jest uprawniony do:</w:t>
            </w:r>
          </w:p>
          <w:p w14:paraId="3945A282" w14:textId="77777777" w:rsidR="00D35A4B" w:rsidRPr="00FB76A9" w:rsidRDefault="00D35A4B" w:rsidP="005E0F9D">
            <w:pPr>
              <w:pStyle w:val="ZPKTzmpktartykuempunktem"/>
              <w:numPr>
                <w:ilvl w:val="0"/>
                <w:numId w:val="13"/>
              </w:numPr>
              <w:spacing w:line="240" w:lineRule="auto"/>
              <w:jc w:val="left"/>
              <w:rPr>
                <w:rFonts w:ascii="Times New Roman" w:hAnsi="Times New Roman" w:cs="Times New Roman"/>
                <w:szCs w:val="24"/>
              </w:rPr>
            </w:pPr>
            <w:r w:rsidRPr="00FB76A9">
              <w:rPr>
                <w:rFonts w:ascii="Times New Roman" w:hAnsi="Times New Roman" w:cs="Times New Roman"/>
                <w:szCs w:val="24"/>
              </w:rPr>
              <w:t>realizacji czynności, o których mowa w art. 14 ust. 4 rozporządzenia 2019/1020 względem podmiotu gospodarczego lub posiadacza pojazdu, przedmiotu wyposażenia lub części niebędącego użytkownikiem końcowym;</w:t>
            </w:r>
          </w:p>
          <w:p w14:paraId="3F782CE5" w14:textId="77777777" w:rsidR="00D35A4B" w:rsidRPr="00FB76A9" w:rsidRDefault="00D35A4B" w:rsidP="005E0F9D">
            <w:pPr>
              <w:pStyle w:val="ZPKTzmpktartykuempunktem"/>
              <w:numPr>
                <w:ilvl w:val="0"/>
                <w:numId w:val="13"/>
              </w:numPr>
              <w:spacing w:line="240" w:lineRule="auto"/>
              <w:jc w:val="left"/>
              <w:rPr>
                <w:rFonts w:ascii="Times New Roman" w:hAnsi="Times New Roman" w:cs="Times New Roman"/>
                <w:szCs w:val="24"/>
              </w:rPr>
            </w:pPr>
            <w:r w:rsidRPr="00FB76A9">
              <w:rPr>
                <w:rFonts w:ascii="Times New Roman" w:hAnsi="Times New Roman" w:cs="Times New Roman"/>
                <w:szCs w:val="24"/>
              </w:rPr>
              <w:t>realizacji zadań, o których mowa w art. 12, art. 22−24, rozdziale VII rozporządzenia 2019/1020;</w:t>
            </w:r>
          </w:p>
          <w:p w14:paraId="005F149A" w14:textId="77777777" w:rsidR="00D35A4B" w:rsidRPr="00FB76A9" w:rsidRDefault="00D35A4B" w:rsidP="005E0F9D">
            <w:pPr>
              <w:pStyle w:val="ZPKTzmpktartykuempunktem"/>
              <w:numPr>
                <w:ilvl w:val="0"/>
                <w:numId w:val="13"/>
              </w:numPr>
              <w:spacing w:line="240" w:lineRule="auto"/>
              <w:jc w:val="left"/>
              <w:rPr>
                <w:rFonts w:ascii="Times New Roman" w:hAnsi="Times New Roman" w:cs="Times New Roman"/>
                <w:szCs w:val="24"/>
              </w:rPr>
            </w:pPr>
            <w:r w:rsidRPr="00FB76A9">
              <w:rPr>
                <w:rFonts w:ascii="Times New Roman" w:hAnsi="Times New Roman" w:cs="Times New Roman"/>
                <w:szCs w:val="24"/>
              </w:rPr>
              <w:t>wymagania od operatora platformy lub dostawcy usług społeczeństwa informacyjnego przedstawienia informacji niezbędnych do ustalenia własności stron internetowych w toku prowadzenia czynności wyjaśniających, kontroli, badań lub postępowań administracyjnych;</w:t>
            </w:r>
          </w:p>
          <w:p w14:paraId="5AA60F64" w14:textId="77777777" w:rsidR="00D35A4B" w:rsidRPr="00FB76A9" w:rsidRDefault="00D35A4B" w:rsidP="005E0F9D">
            <w:pPr>
              <w:pStyle w:val="ZPKTzmpktartykuempunktem"/>
              <w:numPr>
                <w:ilvl w:val="0"/>
                <w:numId w:val="13"/>
              </w:numPr>
              <w:spacing w:line="240" w:lineRule="auto"/>
              <w:jc w:val="left"/>
              <w:rPr>
                <w:rFonts w:ascii="Times New Roman" w:hAnsi="Times New Roman" w:cs="Times New Roman"/>
                <w:szCs w:val="24"/>
              </w:rPr>
            </w:pPr>
            <w:r w:rsidRPr="00FB76A9">
              <w:rPr>
                <w:rFonts w:ascii="Times New Roman" w:hAnsi="Times New Roman" w:cs="Times New Roman"/>
                <w:szCs w:val="24"/>
              </w:rPr>
              <w:t>wymagania od operatora platformy lub dostawcy usług społeczeństwa informacyjnego podjęcia działań w ramach interfejsu online, w tym usunięcia z interfejsu online treści odnoszących się do pojazdu, przedmiotu wyposażenia i części, wobec których stwierdzono niezgodność z wymaganiami technicznymi lub poważne ryzyko, zawieszenia konta podmiotu gospodarczego na platformie lub wyświetlenia wyraźnego ostrzeżenia dla użytkowników końcowych uzyskujących dostęp do oferty tego pojazdu, przedmiotu wyposażenia lub części;</w:t>
            </w:r>
          </w:p>
          <w:p w14:paraId="2FA9590E" w14:textId="77777777" w:rsidR="00D35A4B" w:rsidRPr="00FB76A9" w:rsidRDefault="00D35A4B" w:rsidP="005E0F9D">
            <w:pPr>
              <w:pStyle w:val="ZPKTzmpktartykuempunktem"/>
              <w:numPr>
                <w:ilvl w:val="0"/>
                <w:numId w:val="13"/>
              </w:numPr>
              <w:spacing w:line="240" w:lineRule="auto"/>
              <w:jc w:val="left"/>
              <w:rPr>
                <w:rFonts w:ascii="Times New Roman" w:hAnsi="Times New Roman" w:cs="Times New Roman"/>
                <w:szCs w:val="24"/>
              </w:rPr>
            </w:pPr>
            <w:r w:rsidRPr="00FB76A9">
              <w:rPr>
                <w:rFonts w:ascii="Times New Roman" w:hAnsi="Times New Roman" w:cs="Times New Roman"/>
                <w:szCs w:val="24"/>
              </w:rPr>
              <w:t>zasięgania z urzędu niezbędnych opinii eksperckich, w tym  w toku kontroli dokumentów, fizycznej lub laboratoryjnej kontroli pojazdów, przedmiotów wyposażenia lub części lub prowadzonych postępowań administracyjnych;</w:t>
            </w:r>
          </w:p>
          <w:p w14:paraId="0ECA3B44" w14:textId="77777777" w:rsidR="00D35A4B" w:rsidRPr="00FB76A9" w:rsidRDefault="00D35A4B" w:rsidP="005E0F9D">
            <w:pPr>
              <w:pStyle w:val="ZPKTzmpktartykuempunktem"/>
              <w:numPr>
                <w:ilvl w:val="0"/>
                <w:numId w:val="13"/>
              </w:numPr>
              <w:spacing w:line="240" w:lineRule="auto"/>
              <w:jc w:val="left"/>
              <w:rPr>
                <w:rFonts w:ascii="Times New Roman" w:hAnsi="Times New Roman" w:cs="Times New Roman"/>
                <w:szCs w:val="24"/>
              </w:rPr>
            </w:pPr>
            <w:r w:rsidRPr="00FB76A9">
              <w:rPr>
                <w:rFonts w:ascii="Times New Roman" w:hAnsi="Times New Roman" w:cs="Times New Roman"/>
                <w:szCs w:val="24"/>
              </w:rPr>
              <w:t>prowadzenia nieodpłatnych kampanii informacyjnych dla obywateli w mediach publicznych, komercyjnych i społecznościowych;</w:t>
            </w:r>
          </w:p>
          <w:p w14:paraId="7F50569F" w14:textId="77777777" w:rsidR="00D35A4B" w:rsidRPr="00FB76A9" w:rsidRDefault="00D35A4B" w:rsidP="005E0F9D">
            <w:pPr>
              <w:pStyle w:val="ZPKTzmpktartykuempunktem"/>
              <w:numPr>
                <w:ilvl w:val="0"/>
                <w:numId w:val="13"/>
              </w:numPr>
              <w:spacing w:line="240" w:lineRule="auto"/>
              <w:jc w:val="left"/>
              <w:rPr>
                <w:rFonts w:ascii="Times New Roman" w:hAnsi="Times New Roman" w:cs="Times New Roman"/>
                <w:szCs w:val="24"/>
              </w:rPr>
            </w:pPr>
            <w:r w:rsidRPr="00FB76A9">
              <w:rPr>
                <w:rFonts w:ascii="Times New Roman" w:hAnsi="Times New Roman" w:cs="Times New Roman"/>
                <w:szCs w:val="24"/>
              </w:rPr>
              <w:t>opracowania i prowadzenia wykazu pojazdów, przedmiotów wyposażenia lub części niezgodnych z wymaganiami technicznymi lub stwarzających poważne ryzyko, który udostępnia na stronie podmiotowej Transportowego Dozoru Technicznego;</w:t>
            </w:r>
          </w:p>
          <w:p w14:paraId="4818176F" w14:textId="77777777" w:rsidR="00D35A4B" w:rsidRPr="00FB76A9" w:rsidRDefault="00D35A4B" w:rsidP="005E0F9D">
            <w:pPr>
              <w:pStyle w:val="ZPKTzmpktartykuempunktem"/>
              <w:numPr>
                <w:ilvl w:val="0"/>
                <w:numId w:val="13"/>
              </w:numPr>
              <w:spacing w:line="240" w:lineRule="auto"/>
              <w:jc w:val="left"/>
              <w:rPr>
                <w:rFonts w:ascii="Times New Roman" w:hAnsi="Times New Roman" w:cs="Times New Roman"/>
                <w:szCs w:val="24"/>
              </w:rPr>
            </w:pPr>
            <w:r w:rsidRPr="00FB76A9">
              <w:rPr>
                <w:rFonts w:ascii="Times New Roman" w:hAnsi="Times New Roman" w:cs="Times New Roman"/>
                <w:szCs w:val="24"/>
              </w:rPr>
              <w:t>opracowania i prowadzenia wykazu akcji serwisowych, który udostępnia na stronie podmiotowej</w:t>
            </w:r>
            <w:r w:rsidRPr="00FB76A9" w:rsidDel="007B42A7">
              <w:rPr>
                <w:rFonts w:ascii="Times New Roman" w:hAnsi="Times New Roman" w:cs="Times New Roman"/>
                <w:szCs w:val="24"/>
              </w:rPr>
              <w:t xml:space="preserve"> </w:t>
            </w:r>
            <w:r w:rsidRPr="00FB76A9">
              <w:rPr>
                <w:rFonts w:ascii="Times New Roman" w:hAnsi="Times New Roman" w:cs="Times New Roman"/>
                <w:szCs w:val="24"/>
              </w:rPr>
              <w:t>Transportowego Dozoru Technicznego;</w:t>
            </w:r>
          </w:p>
          <w:p w14:paraId="5F47D8F6" w14:textId="77777777" w:rsidR="00D35A4B" w:rsidRPr="00FB76A9" w:rsidRDefault="00D35A4B" w:rsidP="005E0F9D">
            <w:pPr>
              <w:pStyle w:val="ZPKTzmpktartykuempunktem"/>
              <w:numPr>
                <w:ilvl w:val="0"/>
                <w:numId w:val="13"/>
              </w:numPr>
              <w:spacing w:line="240" w:lineRule="auto"/>
              <w:jc w:val="left"/>
              <w:rPr>
                <w:rFonts w:ascii="Times New Roman" w:hAnsi="Times New Roman" w:cs="Times New Roman"/>
                <w:szCs w:val="24"/>
              </w:rPr>
            </w:pPr>
            <w:r w:rsidRPr="00FB76A9">
              <w:rPr>
                <w:rFonts w:ascii="Times New Roman" w:hAnsi="Times New Roman" w:cs="Times New Roman"/>
                <w:szCs w:val="24"/>
              </w:rPr>
              <w:t xml:space="preserve">pozyskiwania od podmiotu gospodarczego informacji o przeprowadzanej akcji serwisowej w formie powiadomienia, o którym mowa w art. 70 ust. </w:t>
            </w:r>
            <w:r w:rsidR="001038FF">
              <w:rPr>
                <w:rFonts w:ascii="Times New Roman" w:hAnsi="Times New Roman" w:cs="Times New Roman"/>
                <w:szCs w:val="24"/>
              </w:rPr>
              <w:t>2</w:t>
            </w:r>
            <w:r w:rsidRPr="00FB76A9">
              <w:rPr>
                <w:rFonts w:ascii="Times New Roman" w:hAnsi="Times New Roman" w:cs="Times New Roman"/>
                <w:szCs w:val="24"/>
              </w:rPr>
              <w:t xml:space="preserve"> lub art. 71 ust. </w:t>
            </w:r>
            <w:r w:rsidR="001038FF">
              <w:rPr>
                <w:rFonts w:ascii="Times New Roman" w:hAnsi="Times New Roman" w:cs="Times New Roman"/>
                <w:szCs w:val="24"/>
              </w:rPr>
              <w:t>2</w:t>
            </w:r>
            <w:r w:rsidRPr="00FB76A9">
              <w:rPr>
                <w:rFonts w:ascii="Times New Roman" w:hAnsi="Times New Roman" w:cs="Times New Roman"/>
                <w:szCs w:val="24"/>
              </w:rPr>
              <w:t xml:space="preserve">, w celu umieszczenia ich w systemie szybkiej wymiany informacji, o którym mowa w art. 20 ust. 4 rozporządzenia 2019/1020, zwanym dalej „systemem Safety Gate” i systemie informacyjnym i komunikacyjnym do celów nadzoru rynku, </w:t>
            </w:r>
            <w:r w:rsidRPr="00FB76A9">
              <w:rPr>
                <w:rFonts w:ascii="Times New Roman" w:hAnsi="Times New Roman" w:cs="Times New Roman"/>
                <w:szCs w:val="24"/>
              </w:rPr>
              <w:br/>
              <w:t>o którym mowa w art. 34 ust. 1 rozporządzenia 2019/1020, zwanym dalej „systemem ICSMS” oraz na stronie podmiotowej</w:t>
            </w:r>
            <w:r w:rsidRPr="00FB76A9" w:rsidDel="003014A1">
              <w:rPr>
                <w:rFonts w:ascii="Times New Roman" w:hAnsi="Times New Roman" w:cs="Times New Roman"/>
                <w:szCs w:val="24"/>
              </w:rPr>
              <w:t xml:space="preserve"> </w:t>
            </w:r>
            <w:r w:rsidRPr="00FB76A9">
              <w:rPr>
                <w:rFonts w:ascii="Times New Roman" w:hAnsi="Times New Roman" w:cs="Times New Roman"/>
                <w:szCs w:val="24"/>
              </w:rPr>
              <w:t>Transportowego Dozoru Technicznego;</w:t>
            </w:r>
          </w:p>
          <w:p w14:paraId="625B34D3" w14:textId="77777777" w:rsidR="00D35A4B" w:rsidRPr="00FB76A9" w:rsidRDefault="00D35A4B" w:rsidP="005E0F9D">
            <w:pPr>
              <w:pStyle w:val="ZPKTzmpktartykuempunktem"/>
              <w:numPr>
                <w:ilvl w:val="0"/>
                <w:numId w:val="13"/>
              </w:numPr>
              <w:spacing w:line="240" w:lineRule="auto"/>
              <w:jc w:val="left"/>
              <w:rPr>
                <w:rFonts w:ascii="Times New Roman" w:hAnsi="Times New Roman" w:cs="Times New Roman"/>
                <w:szCs w:val="24"/>
              </w:rPr>
            </w:pPr>
            <w:r w:rsidRPr="00FB76A9">
              <w:rPr>
                <w:rFonts w:ascii="Times New Roman" w:hAnsi="Times New Roman" w:cs="Times New Roman"/>
                <w:szCs w:val="24"/>
              </w:rPr>
              <w:t>przekazywania do ewidencji informacji o decyzji Dyrektora TDT, o której mowa w art. 68zj ust. 1 lub art. 68zk ust. 12, w zakresie wycofania pojazdu z obrotu lub użytkowania;</w:t>
            </w:r>
          </w:p>
          <w:p w14:paraId="60066C3A" w14:textId="77777777" w:rsidR="00D35A4B" w:rsidRPr="00FB76A9" w:rsidRDefault="00D35A4B" w:rsidP="005E0F9D">
            <w:pPr>
              <w:pStyle w:val="ZPKTzmpktartykuempunktem"/>
              <w:numPr>
                <w:ilvl w:val="0"/>
                <w:numId w:val="13"/>
              </w:numPr>
              <w:spacing w:line="240" w:lineRule="auto"/>
              <w:jc w:val="left"/>
              <w:rPr>
                <w:rFonts w:ascii="Times New Roman" w:hAnsi="Times New Roman" w:cs="Times New Roman"/>
                <w:szCs w:val="24"/>
              </w:rPr>
            </w:pPr>
            <w:r w:rsidRPr="00FB76A9">
              <w:rPr>
                <w:rFonts w:ascii="Times New Roman" w:hAnsi="Times New Roman" w:cs="Times New Roman"/>
                <w:szCs w:val="24"/>
              </w:rPr>
              <w:t>kontroli dokumentów związanych z ładunkiem oraz kontroli fizycznej tego ładunku, przewożonego na drogach publicznych,</w:t>
            </w:r>
            <w:r w:rsidRPr="00FB76A9" w:rsidDel="009C0BFE">
              <w:rPr>
                <w:rFonts w:ascii="Times New Roman" w:hAnsi="Times New Roman" w:cs="Times New Roman"/>
                <w:szCs w:val="24"/>
              </w:rPr>
              <w:t xml:space="preserve"> </w:t>
            </w:r>
            <w:r w:rsidRPr="00FB76A9">
              <w:rPr>
                <w:rFonts w:ascii="Times New Roman" w:hAnsi="Times New Roman" w:cs="Times New Roman"/>
                <w:szCs w:val="24"/>
              </w:rPr>
              <w:t>w zakresie przestrzegania zgodności z aktami prawnymi, dla których jest organem nadzoru rynku zgodnie z art. 3 ust. 3, w ramach wykonywania kontroli ruchu drogowego przez funkcjonariusza Policji, inspektora Inspekcji Transportu Drogowego lub funkcjonariusza Służby Celno-Skarbowej;</w:t>
            </w:r>
          </w:p>
          <w:p w14:paraId="7172C449" w14:textId="77777777" w:rsidR="00D35A4B" w:rsidRPr="00FB76A9" w:rsidRDefault="00D35A4B" w:rsidP="005E0F9D">
            <w:pPr>
              <w:pStyle w:val="ZPKTzmpktartykuempunktem"/>
              <w:numPr>
                <w:ilvl w:val="0"/>
                <w:numId w:val="13"/>
              </w:numPr>
              <w:spacing w:line="240" w:lineRule="auto"/>
              <w:jc w:val="left"/>
              <w:rPr>
                <w:rFonts w:ascii="Times New Roman" w:hAnsi="Times New Roman" w:cs="Times New Roman"/>
                <w:strike/>
                <w:szCs w:val="24"/>
              </w:rPr>
            </w:pPr>
            <w:r w:rsidRPr="00FB76A9">
              <w:rPr>
                <w:rFonts w:ascii="Times New Roman" w:hAnsi="Times New Roman" w:cs="Times New Roman"/>
                <w:szCs w:val="24"/>
              </w:rPr>
              <w:t>nieodpłatnego uzyskiwania od organów Krajowej Administracji Skarbowej danych, o których mowa w art. 68zx ust. 2;</w:t>
            </w:r>
          </w:p>
          <w:p w14:paraId="5AE10ED7" w14:textId="77777777" w:rsidR="00D35A4B" w:rsidRPr="00FB76A9" w:rsidRDefault="00D35A4B" w:rsidP="005E0F9D">
            <w:pPr>
              <w:pStyle w:val="ZPKTzmpktartykuempunktem"/>
              <w:numPr>
                <w:ilvl w:val="0"/>
                <w:numId w:val="13"/>
              </w:numPr>
              <w:spacing w:line="240" w:lineRule="auto"/>
              <w:jc w:val="left"/>
              <w:rPr>
                <w:rFonts w:ascii="Times New Roman" w:hAnsi="Times New Roman" w:cs="Times New Roman"/>
                <w:szCs w:val="24"/>
              </w:rPr>
            </w:pPr>
            <w:r w:rsidRPr="00FB76A9">
              <w:rPr>
                <w:rFonts w:ascii="Times New Roman" w:hAnsi="Times New Roman" w:cs="Times New Roman"/>
                <w:szCs w:val="24"/>
              </w:rPr>
              <w:t>nieodpłatnego dostępu do ewidencji w celu poinformowania użytkowników pojazdów zarejestrowanych na terytorium Rzeczypospolitej Polskiej o akcjach serwisowych;</w:t>
            </w:r>
          </w:p>
          <w:p w14:paraId="070344B9" w14:textId="77777777" w:rsidR="00D35A4B" w:rsidRPr="00FB76A9" w:rsidRDefault="00D35A4B" w:rsidP="005E0F9D">
            <w:pPr>
              <w:pStyle w:val="ZPKTzmpktartykuempunktem"/>
              <w:numPr>
                <w:ilvl w:val="0"/>
                <w:numId w:val="13"/>
              </w:numPr>
              <w:spacing w:line="240" w:lineRule="auto"/>
              <w:jc w:val="left"/>
              <w:rPr>
                <w:rFonts w:ascii="Times New Roman" w:hAnsi="Times New Roman" w:cs="Times New Roman"/>
                <w:szCs w:val="24"/>
              </w:rPr>
            </w:pPr>
            <w:r w:rsidRPr="00FB76A9">
              <w:rPr>
                <w:rFonts w:ascii="Times New Roman" w:hAnsi="Times New Roman" w:cs="Times New Roman"/>
                <w:szCs w:val="24"/>
              </w:rPr>
              <w:t>udziału w badaniach wykonywanych przez laboratoria badawcze wykonujące badania na zlecenie Dyrektora TDT;</w:t>
            </w:r>
          </w:p>
          <w:p w14:paraId="23700EED" w14:textId="77777777" w:rsidR="00D35A4B" w:rsidRPr="00FB76A9" w:rsidRDefault="00D35A4B" w:rsidP="005E0F9D">
            <w:pPr>
              <w:pStyle w:val="ZPKTzmpktartykuempunktem"/>
              <w:numPr>
                <w:ilvl w:val="0"/>
                <w:numId w:val="13"/>
              </w:numPr>
              <w:spacing w:line="240" w:lineRule="auto"/>
              <w:jc w:val="left"/>
              <w:rPr>
                <w:rFonts w:ascii="Times New Roman" w:hAnsi="Times New Roman" w:cs="Times New Roman"/>
                <w:szCs w:val="24"/>
              </w:rPr>
            </w:pPr>
            <w:r w:rsidRPr="00FB76A9">
              <w:rPr>
                <w:rFonts w:ascii="Times New Roman" w:hAnsi="Times New Roman" w:cs="Times New Roman"/>
                <w:szCs w:val="24"/>
              </w:rPr>
              <w:t>przeprowadzenia badań, o których mowa w art. 7 rozporządzenia 167/2013, art. 8 rozporządzenia 168/2013 oraz art. 8 rozporządzenia 2018/858;</w:t>
            </w:r>
          </w:p>
          <w:p w14:paraId="1CF969E6" w14:textId="77777777" w:rsidR="00D35A4B" w:rsidRPr="00FB76A9" w:rsidRDefault="00D35A4B" w:rsidP="005E0F9D">
            <w:pPr>
              <w:pStyle w:val="ZPKTzmpktartykuempunktem"/>
              <w:numPr>
                <w:ilvl w:val="0"/>
                <w:numId w:val="13"/>
              </w:numPr>
              <w:spacing w:line="240" w:lineRule="auto"/>
              <w:jc w:val="left"/>
              <w:rPr>
                <w:rFonts w:ascii="Times New Roman" w:hAnsi="Times New Roman" w:cs="Times New Roman"/>
                <w:szCs w:val="24"/>
              </w:rPr>
            </w:pPr>
            <w:r w:rsidRPr="00FB76A9">
              <w:rPr>
                <w:rFonts w:ascii="Times New Roman" w:hAnsi="Times New Roman" w:cs="Times New Roman"/>
                <w:szCs w:val="24"/>
              </w:rPr>
              <w:t xml:space="preserve">wymagania od podmiotu gospodarczego informowania użytkowników końcowych o konieczności sprawdzenia stanu technicznego pojazdu w warunkach serwisowych producenta zgodnie z art. 70 ust. </w:t>
            </w:r>
            <w:r w:rsidR="001038FF">
              <w:rPr>
                <w:rFonts w:ascii="Times New Roman" w:hAnsi="Times New Roman" w:cs="Times New Roman"/>
                <w:szCs w:val="24"/>
              </w:rPr>
              <w:t>3</w:t>
            </w:r>
            <w:r w:rsidRPr="00FB76A9">
              <w:rPr>
                <w:rFonts w:ascii="Times New Roman" w:hAnsi="Times New Roman" w:cs="Times New Roman"/>
                <w:szCs w:val="24"/>
              </w:rPr>
              <w:t xml:space="preserve"> i art. 71 ust. </w:t>
            </w:r>
            <w:r w:rsidR="001038FF">
              <w:rPr>
                <w:rFonts w:ascii="Times New Roman" w:hAnsi="Times New Roman" w:cs="Times New Roman"/>
                <w:szCs w:val="24"/>
              </w:rPr>
              <w:t>3</w:t>
            </w:r>
            <w:r w:rsidRPr="00FB76A9">
              <w:rPr>
                <w:rFonts w:ascii="Times New Roman" w:hAnsi="Times New Roman" w:cs="Times New Roman"/>
                <w:szCs w:val="24"/>
              </w:rPr>
              <w:t xml:space="preserve"> pkt 3; </w:t>
            </w:r>
          </w:p>
          <w:p w14:paraId="27606131" w14:textId="77777777" w:rsidR="00D35A4B" w:rsidRPr="00FB76A9" w:rsidRDefault="00D35A4B" w:rsidP="005E0F9D">
            <w:pPr>
              <w:pStyle w:val="ZPKTzmpktartykuempunktem"/>
              <w:numPr>
                <w:ilvl w:val="0"/>
                <w:numId w:val="13"/>
              </w:numPr>
              <w:spacing w:line="240" w:lineRule="auto"/>
              <w:jc w:val="left"/>
              <w:rPr>
                <w:rFonts w:ascii="Times New Roman" w:hAnsi="Times New Roman" w:cs="Times New Roman"/>
                <w:szCs w:val="24"/>
              </w:rPr>
            </w:pPr>
            <w:r w:rsidRPr="00FB76A9">
              <w:rPr>
                <w:rFonts w:ascii="Times New Roman" w:hAnsi="Times New Roman" w:cs="Times New Roman"/>
                <w:szCs w:val="24"/>
              </w:rPr>
              <w:t>wymagania od podmiotu gospodarczego informowania o postępie w realizacji akcji serwisowych co najmniej raz na kwartał;</w:t>
            </w:r>
          </w:p>
          <w:p w14:paraId="377D56F7" w14:textId="77777777" w:rsidR="00A54745" w:rsidRPr="00FB76A9" w:rsidRDefault="00D35A4B" w:rsidP="00FD5CD5">
            <w:pPr>
              <w:pStyle w:val="ZARTzmartartykuempunktem"/>
              <w:spacing w:line="240" w:lineRule="auto"/>
              <w:ind w:left="212" w:firstLine="0"/>
              <w:jc w:val="left"/>
              <w:rPr>
                <w:rFonts w:ascii="Times New Roman" w:hAnsi="Times New Roman" w:cs="Times New Roman"/>
                <w:szCs w:val="24"/>
              </w:rPr>
            </w:pPr>
            <w:r w:rsidRPr="00FB76A9">
              <w:rPr>
                <w:rFonts w:ascii="Times New Roman" w:hAnsi="Times New Roman" w:cs="Times New Roman"/>
                <w:szCs w:val="24"/>
              </w:rPr>
              <w:t>wymagania przekazania tłumaczenia na język polski dokumentów albo ich części, mających stanowić dowód w sprawie niezbędny do weryfikacji zgodności pojazdu, przedmiotu wyposażenia lub części z wymaganiami technicznymi, sporządzonych w języku obcym w toku prowadzenia czynności wyjaśniających, kontroli, badań lub postępowań administracyjnych.</w:t>
            </w:r>
          </w:p>
          <w:p w14:paraId="5E7E041E" w14:textId="77777777" w:rsidR="00D35A4B" w:rsidRPr="00FB76A9" w:rsidRDefault="00D35A4B" w:rsidP="00FD5CD5">
            <w:pPr>
              <w:pStyle w:val="ZARTzmartartykuempunktem"/>
              <w:spacing w:line="240" w:lineRule="auto"/>
              <w:ind w:left="212" w:firstLine="0"/>
              <w:jc w:val="left"/>
              <w:rPr>
                <w:rFonts w:ascii="Times New Roman" w:hAnsi="Times New Roman" w:cs="Times New Roman"/>
                <w:szCs w:val="24"/>
              </w:rPr>
            </w:pPr>
          </w:p>
          <w:p w14:paraId="2370CA31" w14:textId="77777777" w:rsidR="00D35A4B" w:rsidRPr="00FB76A9" w:rsidRDefault="007A584D"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w:t>
            </w:r>
            <w:r w:rsidR="00D35A4B" w:rsidRPr="00FB76A9">
              <w:rPr>
                <w:rFonts w:ascii="Times New Roman" w:hAnsi="Times New Roman" w:cs="Times New Roman"/>
                <w:szCs w:val="24"/>
              </w:rPr>
              <w:t>Art. 68x. 1. Informacje objęte tajemnicą przedsiębiorstwa rozumiane jako nieujawnione do wiadomości publicznej informacje techniczne, technologiczne oraz organizacyjne przedsiębiorstwa lub inne informacje, co do których przedsiębiorca podjął niezbędne działania w celu zachowania ich poufności, mogą być wykorzystane wyłącznie do celów, do których zostały zgromadzone, z uwzględnieniem ust. 2 i 3.</w:t>
            </w:r>
          </w:p>
          <w:p w14:paraId="390984BB" w14:textId="77777777" w:rsidR="00D35A4B" w:rsidRPr="00FB76A9" w:rsidRDefault="00D35A4B" w:rsidP="00FD5CD5">
            <w:pPr>
              <w:pStyle w:val="ZUSTzmustartykuempunktem"/>
              <w:spacing w:line="240" w:lineRule="auto"/>
              <w:jc w:val="left"/>
              <w:rPr>
                <w:rFonts w:ascii="Times New Roman" w:hAnsi="Times New Roman" w:cs="Times New Roman"/>
                <w:szCs w:val="24"/>
              </w:rPr>
            </w:pPr>
            <w:r w:rsidRPr="00FB76A9">
              <w:rPr>
                <w:rFonts w:ascii="Times New Roman" w:hAnsi="Times New Roman" w:cs="Times New Roman"/>
                <w:szCs w:val="24"/>
              </w:rPr>
              <w:t>2. Uzyskane w toku prowadzonych kontroli lub postępowań informacje, o których mowa w ust. 1, w tym objęte tajemnicą przedsiębiorstwa, oraz dowody, podlegają ujawnieniu, jeżeli jest to niezbędne ze względu na konieczność usunięcia niezgodności pojazdu, przedmiotu wyposażenie lub części z wymaganiami technicznymi lub stwarzania przez nich poważnego ryzyka w przypadku odmowy ich usunięcia przez podmiot gospodarczy.</w:t>
            </w:r>
          </w:p>
          <w:p w14:paraId="3D35C5FC" w14:textId="77777777" w:rsidR="00D35A4B" w:rsidRPr="00FB76A9" w:rsidRDefault="00D35A4B"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3. Dyrektor TDT jako organ nadzoru rynku może ujawnić informacje, o których mowa w ust. 1, w tym objęte tajemnicą przedsiębiorstwa, oraz dowody uzyskane w toku kontroli lub prowadzonych postępowań, w zakresie niezbędnym do uzasadnienia podjętych w postępowaniu rozstrzygnięć.</w:t>
            </w:r>
          </w:p>
          <w:p w14:paraId="52F93C66" w14:textId="77777777" w:rsidR="00A54745" w:rsidRPr="00FB76A9" w:rsidRDefault="00A54745" w:rsidP="00FD5CD5">
            <w:pPr>
              <w:pStyle w:val="ZUSTzmustartykuempunktem"/>
              <w:spacing w:line="240" w:lineRule="auto"/>
              <w:ind w:left="70" w:firstLine="0"/>
              <w:jc w:val="left"/>
              <w:rPr>
                <w:rFonts w:ascii="Times New Roman" w:hAnsi="Times New Roman" w:cs="Times New Roman"/>
                <w:szCs w:val="24"/>
              </w:rPr>
            </w:pPr>
          </w:p>
          <w:p w14:paraId="3E8EE574" w14:textId="77777777" w:rsidR="00D35A4B" w:rsidRPr="00FB76A9" w:rsidRDefault="00D35A4B" w:rsidP="00FD5CD5">
            <w:pPr>
              <w:pStyle w:val="ZARTzmar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Art. 68zt. 1. Dyrektor TDT jako organ nadzoru rynku podaje do publicznej wiadomości, w tym poprzez publikację na stronie podmiotowej Transportowego Dozoru Technicznego:</w:t>
            </w:r>
          </w:p>
          <w:p w14:paraId="0B056929" w14:textId="77777777" w:rsidR="00D35A4B" w:rsidRPr="00FB76A9" w:rsidRDefault="00D35A4B"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komunikaty i ostrzeżenia dotyczące pojazdów, przedmiotów wyposażenia lub części, które są niezgodne z wymaganiami technicznymi lub stwarzają poważne ryzyko;</w:t>
            </w:r>
          </w:p>
          <w:p w14:paraId="69A01173" w14:textId="77777777" w:rsidR="00D35A4B" w:rsidRPr="00FB76A9" w:rsidRDefault="00D35A4B" w:rsidP="00FD5CD5">
            <w:pPr>
              <w:pStyle w:val="ZPKTzmpktartykuempunktem"/>
              <w:keepNext/>
              <w:spacing w:line="240" w:lineRule="auto"/>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informacje o przeprowadzonych kontrolach i ich wynikach zawierające dane identyfikujące:</w:t>
            </w:r>
          </w:p>
          <w:p w14:paraId="3CCA5486" w14:textId="77777777" w:rsidR="00D35A4B" w:rsidRPr="00FB76A9" w:rsidRDefault="00D35A4B"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a)</w:t>
            </w:r>
            <w:r w:rsidRPr="00FB76A9">
              <w:rPr>
                <w:rFonts w:ascii="Times New Roman" w:hAnsi="Times New Roman" w:cs="Times New Roman"/>
                <w:szCs w:val="24"/>
              </w:rPr>
              <w:tab/>
              <w:t>podmiot gospodarczy udostępniający na rynku pojazd, przedmiot wyposażenia lub część  w zakresie nazwy i adresu siedziby,</w:t>
            </w:r>
          </w:p>
          <w:p w14:paraId="39197A2A" w14:textId="77777777" w:rsidR="00D35A4B" w:rsidRPr="00FB76A9" w:rsidRDefault="00D35A4B" w:rsidP="00FD5CD5">
            <w:pPr>
              <w:pStyle w:val="ZLITwPKTzmlitwpktartykuempunktem"/>
              <w:spacing w:line="240" w:lineRule="auto"/>
              <w:jc w:val="left"/>
              <w:rPr>
                <w:rFonts w:ascii="Times New Roman" w:hAnsi="Times New Roman" w:cs="Times New Roman"/>
                <w:szCs w:val="24"/>
              </w:rPr>
            </w:pPr>
            <w:r w:rsidRPr="00FB76A9">
              <w:rPr>
                <w:rFonts w:ascii="Times New Roman" w:hAnsi="Times New Roman" w:cs="Times New Roman"/>
                <w:szCs w:val="24"/>
              </w:rPr>
              <w:t>b)</w:t>
            </w:r>
            <w:r w:rsidRPr="00FB76A9">
              <w:rPr>
                <w:rFonts w:ascii="Times New Roman" w:hAnsi="Times New Roman" w:cs="Times New Roman"/>
                <w:szCs w:val="24"/>
              </w:rPr>
              <w:tab/>
              <w:t>pojazd, przedmiot wyposażenia lub część</w:t>
            </w:r>
            <w:r w:rsidRPr="00FB76A9" w:rsidDel="00A31BBF">
              <w:rPr>
                <w:rFonts w:ascii="Times New Roman" w:hAnsi="Times New Roman" w:cs="Times New Roman"/>
                <w:szCs w:val="24"/>
              </w:rPr>
              <w:t xml:space="preserve"> </w:t>
            </w:r>
            <w:r w:rsidRPr="00FB76A9">
              <w:rPr>
                <w:rFonts w:ascii="Times New Roman" w:hAnsi="Times New Roman" w:cs="Times New Roman"/>
                <w:szCs w:val="24"/>
              </w:rPr>
              <w:t>poddany kontroli oraz ich producenta – w zakresie jego nazwy i adresu siedziby;</w:t>
            </w:r>
          </w:p>
          <w:p w14:paraId="21705CCD" w14:textId="77777777" w:rsidR="00A54745" w:rsidRPr="00FB76A9" w:rsidRDefault="00D35A4B"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decyzje, o których mowa w 68zj ust. 1 lub art. 68zk ust, 12, ze wskazaniem czy decyzja jest prawomocna, pomijając informacje stanowiące tajemnice podlegające ochronie na podstawie przepisów odrębnych.</w:t>
            </w:r>
          </w:p>
          <w:p w14:paraId="6EA4D925" w14:textId="77777777" w:rsidR="00D35A4B" w:rsidRPr="00FB76A9" w:rsidRDefault="00D35A4B" w:rsidP="00FD5CD5">
            <w:pPr>
              <w:spacing w:after="0" w:line="240" w:lineRule="auto"/>
              <w:ind w:left="510" w:firstLine="510"/>
              <w:rPr>
                <w:rFonts w:ascii="Times New Roman" w:hAnsi="Times New Roman" w:cs="Times New Roman"/>
                <w:sz w:val="24"/>
                <w:szCs w:val="24"/>
              </w:rPr>
            </w:pPr>
            <w:r w:rsidRPr="00FB76A9">
              <w:rPr>
                <w:rFonts w:ascii="Times New Roman" w:hAnsi="Times New Roman" w:cs="Times New Roman"/>
                <w:sz w:val="24"/>
                <w:szCs w:val="24"/>
              </w:rPr>
              <w:t>2. W przypadku, gdy podmiotem którego dotyczy publikacja, o której mowa w ust. 1 pkt 2 lub 3, jest osoba fizyczna wykonująca działalność gospodarczą, dane identyfikujące ten podmiot, obejmują firmę i miejsce wykonywania działalności gospodarczej.</w:t>
            </w:r>
          </w:p>
          <w:p w14:paraId="452B54E1" w14:textId="77777777" w:rsidR="00D35A4B" w:rsidRPr="00FB76A9" w:rsidRDefault="00D35A4B"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3. Dyrektor TDT jako organ nadzoru rynku prowadzi wykaz pojazdów, przedmiotów wyposażenia oraz części niezgodnych z wymaganiami technicznymi lub które stwarzają poważne ryzyko, zwany dalej „wykazem niezgodności”, oraz wykaz akcji serwisowych, zwany dalej „wykazem akcji”.</w:t>
            </w:r>
          </w:p>
          <w:p w14:paraId="2A642012" w14:textId="77777777" w:rsidR="00D35A4B" w:rsidRPr="00FB76A9" w:rsidRDefault="00D35A4B"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4. W wykazie niezgodności</w:t>
            </w:r>
            <w:r w:rsidRPr="00FB76A9" w:rsidDel="00F720AF">
              <w:rPr>
                <w:rFonts w:ascii="Times New Roman" w:hAnsi="Times New Roman" w:cs="Times New Roman"/>
                <w:szCs w:val="24"/>
              </w:rPr>
              <w:t xml:space="preserve"> </w:t>
            </w:r>
            <w:r w:rsidRPr="00FB76A9">
              <w:rPr>
                <w:rFonts w:ascii="Times New Roman" w:hAnsi="Times New Roman" w:cs="Times New Roman"/>
                <w:szCs w:val="24"/>
              </w:rPr>
              <w:t>są gromadzone:</w:t>
            </w:r>
          </w:p>
          <w:p w14:paraId="5E2F0E55" w14:textId="77777777" w:rsidR="00D35A4B" w:rsidRPr="00FB76A9" w:rsidRDefault="00D35A4B"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dane umożliwiające identyfikację pojazdu, przedmiotu wyposażenia lub części;</w:t>
            </w:r>
          </w:p>
          <w:p w14:paraId="4E45AAC5" w14:textId="77777777" w:rsidR="00D35A4B" w:rsidRPr="00FB76A9" w:rsidRDefault="00D35A4B"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informacje o:</w:t>
            </w:r>
          </w:p>
          <w:p w14:paraId="61B523E0" w14:textId="77777777" w:rsidR="00D35A4B" w:rsidRPr="00FB76A9" w:rsidRDefault="00D35A4B" w:rsidP="00FD5CD5">
            <w:pPr>
              <w:pStyle w:val="ZARTzmartartykuempunktem"/>
              <w:spacing w:line="240" w:lineRule="auto"/>
              <w:ind w:left="1497" w:hanging="476"/>
              <w:jc w:val="left"/>
              <w:rPr>
                <w:rFonts w:ascii="Times New Roman" w:hAnsi="Times New Roman" w:cs="Times New Roman"/>
                <w:szCs w:val="24"/>
              </w:rPr>
            </w:pPr>
            <w:r w:rsidRPr="00FB76A9">
              <w:rPr>
                <w:rFonts w:ascii="Times New Roman" w:hAnsi="Times New Roman" w:cs="Times New Roman"/>
                <w:szCs w:val="24"/>
              </w:rPr>
              <w:t>a)</w:t>
            </w:r>
            <w:r w:rsidRPr="00FB76A9">
              <w:rPr>
                <w:rFonts w:ascii="Times New Roman" w:hAnsi="Times New Roman" w:cs="Times New Roman"/>
                <w:szCs w:val="24"/>
              </w:rPr>
              <w:tab/>
              <w:t>rodzaju i zakresie niezgodności z wymaganiami technicznymi lub stwarzanym poważnym ryzykiem przez pojazd, przedmiot wyposażenia lub część,</w:t>
            </w:r>
          </w:p>
          <w:p w14:paraId="7D2E402F" w14:textId="77777777" w:rsidR="00D35A4B" w:rsidRPr="00FB76A9" w:rsidRDefault="00D35A4B" w:rsidP="00FD5CD5">
            <w:pPr>
              <w:pStyle w:val="ZARTzmartartykuempunktem"/>
              <w:spacing w:line="240" w:lineRule="auto"/>
              <w:ind w:left="1497" w:hanging="476"/>
              <w:jc w:val="left"/>
              <w:rPr>
                <w:rFonts w:ascii="Times New Roman" w:hAnsi="Times New Roman" w:cs="Times New Roman"/>
                <w:szCs w:val="24"/>
              </w:rPr>
            </w:pPr>
            <w:r w:rsidRPr="00FB76A9">
              <w:rPr>
                <w:rFonts w:ascii="Times New Roman" w:hAnsi="Times New Roman" w:cs="Times New Roman"/>
                <w:szCs w:val="24"/>
              </w:rPr>
              <w:t>b)</w:t>
            </w:r>
            <w:r w:rsidRPr="00FB76A9">
              <w:rPr>
                <w:rFonts w:ascii="Times New Roman" w:hAnsi="Times New Roman" w:cs="Times New Roman"/>
                <w:szCs w:val="24"/>
              </w:rPr>
              <w:tab/>
              <w:t>środkach naprawczych, jakie zastosowano w odniesieniu do pojazdu, przedmiotu wyposażenia lub części.</w:t>
            </w:r>
          </w:p>
          <w:p w14:paraId="726135EB" w14:textId="77777777" w:rsidR="00D35A4B" w:rsidRPr="00FB76A9" w:rsidRDefault="00D35A4B"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5. Dyrektor TDT jako organ nadzoru rynku dokonuje wpisu do wykazu niezgodności</w:t>
            </w:r>
            <w:r w:rsidRPr="00FB76A9" w:rsidDel="00F720AF">
              <w:rPr>
                <w:rFonts w:ascii="Times New Roman" w:hAnsi="Times New Roman" w:cs="Times New Roman"/>
                <w:szCs w:val="24"/>
              </w:rPr>
              <w:t xml:space="preserve"> </w:t>
            </w:r>
            <w:r w:rsidRPr="00FB76A9">
              <w:rPr>
                <w:rFonts w:ascii="Times New Roman" w:eastAsia="Times New Roman" w:hAnsi="Times New Roman" w:cs="Times New Roman"/>
                <w:color w:val="333333"/>
                <w:szCs w:val="24"/>
              </w:rPr>
              <w:t xml:space="preserve">niezwłocznie po dniu, w którym decyzja, o której mowa w 68zj ust. 1 lub art. 68zk ust. 12, stała się prawomocna, lub niezwłocznie po otrzymaniu zawiadomienia w systemie </w:t>
            </w:r>
            <w:r w:rsidRPr="00FB76A9">
              <w:rPr>
                <w:rFonts w:ascii="Times New Roman" w:hAnsi="Times New Roman" w:cs="Times New Roman"/>
                <w:szCs w:val="24"/>
              </w:rPr>
              <w:t>Safety Gate</w:t>
            </w:r>
            <w:r w:rsidRPr="00FB76A9">
              <w:rPr>
                <w:rFonts w:ascii="Times New Roman" w:eastAsia="Times New Roman" w:hAnsi="Times New Roman" w:cs="Times New Roman"/>
                <w:color w:val="333333"/>
                <w:szCs w:val="24"/>
              </w:rPr>
              <w:t xml:space="preserve"> o wydaniu prawomocnej decyzji przez organ nadzoru rynku innego państwa członkowskiego Unii Europejskiej.</w:t>
            </w:r>
          </w:p>
          <w:p w14:paraId="165E797A" w14:textId="77777777" w:rsidR="00D35A4B" w:rsidRPr="00FB76A9" w:rsidRDefault="00D35A4B"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6. Dyrektor TDT jako organ nadzoru rynku, z urzędu lub na wniosek innego organu nadzoru rynku, usuwa wpis z wykazu niezgodności, w przypadku gdy:</w:t>
            </w:r>
          </w:p>
          <w:p w14:paraId="4166EF99" w14:textId="77777777" w:rsidR="00D35A4B" w:rsidRPr="00FB76A9" w:rsidRDefault="00D35A4B"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 xml:space="preserve">strona postępowania, o którym mowa w art. 68zj ust. 1 lub art. 68zk ust. 12 wykaże, że wykonała decyzję, o której mowa w tym przepisie; wpis usuwa się nie wcześniej niż po upływie 3 miesięcy od dnia tego wykazania; </w:t>
            </w:r>
          </w:p>
          <w:p w14:paraId="250295DA" w14:textId="77777777" w:rsidR="00D35A4B" w:rsidRPr="00FB76A9" w:rsidRDefault="00D35A4B"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podmiot gospodarczy, będący stroną postępowania, o którym mowa w art. 68zj ust. 1 lub art. 68zk ust. 12, zaprzestał prowadzenia działalności gospodarczej; wpis usuwa się nie wcześniej niż po upływie 24 miesięcy od dnia zaprzestania prowadzenia działalności gospodarczej przez ten podmiot.</w:t>
            </w:r>
          </w:p>
          <w:p w14:paraId="6F3B9ACB" w14:textId="77777777" w:rsidR="00D35A4B" w:rsidRPr="00FB76A9" w:rsidRDefault="00D35A4B" w:rsidP="00FD5CD5">
            <w:pPr>
              <w:pStyle w:val="ZARTzmartartykuempunktem"/>
              <w:spacing w:line="240" w:lineRule="auto"/>
              <w:jc w:val="left"/>
              <w:rPr>
                <w:rFonts w:ascii="Times New Roman" w:hAnsi="Times New Roman" w:cs="Times New Roman"/>
                <w:szCs w:val="24"/>
              </w:rPr>
            </w:pPr>
            <w:r w:rsidRPr="00FB76A9">
              <w:rPr>
                <w:rFonts w:ascii="Times New Roman" w:hAnsi="Times New Roman" w:cs="Times New Roman"/>
                <w:szCs w:val="24"/>
              </w:rPr>
              <w:t>7. Dyrektor TDT jako organ nadzoru rynku może w każdym czasie podać do publicznej wiadomości informacje zawarte w wykazie niezgodności.</w:t>
            </w:r>
          </w:p>
          <w:p w14:paraId="5CAE4C57" w14:textId="77777777" w:rsidR="00D35A4B" w:rsidRPr="00FB76A9" w:rsidRDefault="00D35A4B" w:rsidP="00FD5CD5">
            <w:pPr>
              <w:shd w:val="clear" w:color="auto" w:fill="FFFFFF"/>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imes New Roman" w:hAnsi="Times New Roman" w:cs="Times New Roman"/>
                <w:color w:val="333333"/>
                <w:sz w:val="24"/>
                <w:szCs w:val="24"/>
                <w:lang w:eastAsia="pl-PL"/>
              </w:rPr>
              <w:t xml:space="preserve">8. </w:t>
            </w:r>
            <w:r w:rsidRPr="00FB76A9">
              <w:rPr>
                <w:rFonts w:ascii="Times New Roman" w:eastAsiaTheme="minorEastAsia" w:hAnsi="Times New Roman" w:cs="Times New Roman"/>
                <w:sz w:val="24"/>
                <w:szCs w:val="24"/>
                <w:lang w:eastAsia="pl-PL"/>
              </w:rPr>
              <w:t>Wykaz niezgodności jest prowadzony z wykorzystaniem systemu teleinformatycznego.</w:t>
            </w:r>
          </w:p>
          <w:p w14:paraId="25B38358" w14:textId="77777777" w:rsidR="00D35A4B" w:rsidRPr="00FB76A9" w:rsidRDefault="00D35A4B"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 xml:space="preserve">9. Każdy wpis do </w:t>
            </w:r>
            <w:r w:rsidRPr="00FB76A9">
              <w:rPr>
                <w:rFonts w:ascii="Times New Roman" w:hAnsi="Times New Roman" w:cs="Times New Roman"/>
                <w:sz w:val="24"/>
                <w:szCs w:val="24"/>
              </w:rPr>
              <w:t>wykazu niezgodności</w:t>
            </w:r>
            <w:r w:rsidRPr="00FB76A9" w:rsidDel="00F720AF">
              <w:rPr>
                <w:rFonts w:ascii="Times New Roman" w:eastAsia="Times New Roman" w:hAnsi="Times New Roman" w:cs="Times New Roman"/>
                <w:color w:val="333333"/>
                <w:sz w:val="24"/>
                <w:szCs w:val="24"/>
                <w:lang w:eastAsia="pl-PL"/>
              </w:rPr>
              <w:t xml:space="preserve"> </w:t>
            </w:r>
            <w:r w:rsidRPr="00FB76A9">
              <w:rPr>
                <w:rFonts w:ascii="Times New Roman" w:eastAsia="Times New Roman" w:hAnsi="Times New Roman" w:cs="Times New Roman"/>
                <w:color w:val="333333"/>
                <w:sz w:val="24"/>
                <w:szCs w:val="24"/>
                <w:lang w:eastAsia="pl-PL"/>
              </w:rPr>
              <w:t>dotyczy jednego pojazdu, przedmiotu wyposażenia lub części.</w:t>
            </w:r>
          </w:p>
          <w:p w14:paraId="72C2835C" w14:textId="77777777" w:rsidR="00D35A4B" w:rsidRPr="00FB76A9" w:rsidRDefault="00D35A4B"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10. W</w:t>
            </w:r>
            <w:r w:rsidRPr="00FB76A9">
              <w:rPr>
                <w:rFonts w:ascii="Times New Roman" w:hAnsi="Times New Roman" w:cs="Times New Roman"/>
                <w:sz w:val="24"/>
                <w:szCs w:val="24"/>
              </w:rPr>
              <w:t>ykaz niezgodności</w:t>
            </w:r>
            <w:r w:rsidRPr="00FB76A9">
              <w:rPr>
                <w:rFonts w:ascii="Times New Roman" w:eastAsia="Times New Roman" w:hAnsi="Times New Roman" w:cs="Times New Roman"/>
                <w:color w:val="333333"/>
                <w:sz w:val="24"/>
                <w:szCs w:val="24"/>
                <w:lang w:eastAsia="pl-PL"/>
              </w:rPr>
              <w:t xml:space="preserve"> umożliwia niezwłoczne wyszukanie, odczytanie oraz wydrukowanie całości albo części zapisanych danych.</w:t>
            </w:r>
          </w:p>
          <w:p w14:paraId="2B3649B3" w14:textId="77777777" w:rsidR="00D35A4B" w:rsidRPr="00FB76A9" w:rsidRDefault="00D35A4B"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11. W w</w:t>
            </w:r>
            <w:r w:rsidRPr="00FB76A9">
              <w:rPr>
                <w:rFonts w:ascii="Times New Roman" w:hAnsi="Times New Roman" w:cs="Times New Roman"/>
                <w:sz w:val="24"/>
                <w:szCs w:val="24"/>
              </w:rPr>
              <w:t>ykazie niezgodności</w:t>
            </w:r>
            <w:r w:rsidRPr="00FB76A9">
              <w:rPr>
                <w:rFonts w:ascii="Times New Roman" w:eastAsia="Times New Roman" w:hAnsi="Times New Roman" w:cs="Times New Roman"/>
                <w:color w:val="333333"/>
                <w:sz w:val="24"/>
                <w:szCs w:val="24"/>
                <w:lang w:eastAsia="pl-PL"/>
              </w:rPr>
              <w:t xml:space="preserve"> umieszcza się następujące dane:</w:t>
            </w:r>
          </w:p>
          <w:p w14:paraId="5CB61372" w14:textId="77777777" w:rsidR="00D35A4B" w:rsidRPr="00FB76A9" w:rsidRDefault="00D35A4B"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w:t>
            </w:r>
            <w:r w:rsidRPr="00FB76A9">
              <w:rPr>
                <w:rFonts w:ascii="Times New Roman" w:eastAsia="Times New Roman" w:hAnsi="Times New Roman" w:cs="Times New Roman"/>
                <w:color w:val="333333"/>
                <w:sz w:val="24"/>
                <w:szCs w:val="24"/>
                <w:lang w:eastAsia="pl-PL"/>
              </w:rPr>
              <w:tab/>
              <w:t>datę wpisu do w</w:t>
            </w:r>
            <w:r w:rsidRPr="00FB76A9">
              <w:rPr>
                <w:rFonts w:ascii="Times New Roman" w:hAnsi="Times New Roman" w:cs="Times New Roman"/>
                <w:sz w:val="24"/>
                <w:szCs w:val="24"/>
              </w:rPr>
              <w:t>ykazu niezgodności</w:t>
            </w:r>
            <w:r w:rsidRPr="00FB76A9">
              <w:rPr>
                <w:rFonts w:ascii="Times New Roman" w:eastAsia="Times New Roman" w:hAnsi="Times New Roman" w:cs="Times New Roman"/>
                <w:color w:val="333333"/>
                <w:sz w:val="24"/>
                <w:szCs w:val="24"/>
                <w:lang w:eastAsia="pl-PL"/>
              </w:rPr>
              <w:t>;</w:t>
            </w:r>
          </w:p>
          <w:p w14:paraId="5014D7D3" w14:textId="77777777" w:rsidR="00D35A4B" w:rsidRPr="00FB76A9" w:rsidRDefault="00D35A4B"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2)</w:t>
            </w:r>
            <w:r w:rsidRPr="00FB76A9">
              <w:rPr>
                <w:rFonts w:ascii="Times New Roman" w:eastAsia="Times New Roman" w:hAnsi="Times New Roman" w:cs="Times New Roman"/>
                <w:color w:val="333333"/>
                <w:sz w:val="24"/>
                <w:szCs w:val="24"/>
                <w:lang w:eastAsia="pl-PL"/>
              </w:rPr>
              <w:tab/>
              <w:t>numer identyfikacyjny wpisu;</w:t>
            </w:r>
          </w:p>
          <w:p w14:paraId="4AA8AA92" w14:textId="77777777" w:rsidR="00D35A4B" w:rsidRPr="00FB76A9" w:rsidRDefault="00D35A4B"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3)</w:t>
            </w:r>
            <w:r w:rsidRPr="00FB76A9">
              <w:rPr>
                <w:rFonts w:ascii="Times New Roman" w:eastAsia="Times New Roman" w:hAnsi="Times New Roman" w:cs="Times New Roman"/>
                <w:color w:val="333333"/>
                <w:sz w:val="24"/>
                <w:szCs w:val="24"/>
                <w:lang w:eastAsia="pl-PL"/>
              </w:rPr>
              <w:tab/>
              <w:t>oznaczenie decyzji, o której mowa w art. 68zj ust. 1 lub art. 68zk ust. 12;</w:t>
            </w:r>
          </w:p>
          <w:p w14:paraId="43A4729D" w14:textId="77777777" w:rsidR="00D35A4B" w:rsidRPr="00FB76A9" w:rsidRDefault="00D35A4B" w:rsidP="00FD5CD5">
            <w:pPr>
              <w:pStyle w:val="ZPKTzmpktartykuempunktem"/>
              <w:spacing w:line="240" w:lineRule="auto"/>
              <w:jc w:val="left"/>
              <w:rPr>
                <w:rFonts w:ascii="Times New Roman" w:hAnsi="Times New Roman" w:cs="Times New Roman"/>
                <w:szCs w:val="24"/>
              </w:rPr>
            </w:pPr>
            <w:r w:rsidRPr="00FB76A9">
              <w:rPr>
                <w:rFonts w:ascii="Times New Roman" w:hAnsi="Times New Roman" w:cs="Times New Roman"/>
                <w:color w:val="333333"/>
                <w:szCs w:val="24"/>
              </w:rPr>
              <w:t xml:space="preserve">4)      oznaczenie pojazdu, przedmiotu wyposażenia lub części, </w:t>
            </w:r>
            <w:r w:rsidRPr="00FB76A9">
              <w:rPr>
                <w:rFonts w:ascii="Times New Roman" w:hAnsi="Times New Roman" w:cs="Times New Roman"/>
                <w:szCs w:val="24"/>
              </w:rPr>
              <w:t>w tym numer VIN lub inny numer umożliwiający identyfikację pojazdu, przedmiotu wyposażenia lub części;</w:t>
            </w:r>
          </w:p>
          <w:p w14:paraId="16CDC721" w14:textId="77777777" w:rsidR="00D35A4B" w:rsidRPr="00FB76A9" w:rsidRDefault="00D35A4B"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5)</w:t>
            </w:r>
            <w:r w:rsidRPr="00FB76A9">
              <w:rPr>
                <w:rFonts w:ascii="Times New Roman" w:eastAsia="Times New Roman" w:hAnsi="Times New Roman" w:cs="Times New Roman"/>
                <w:color w:val="333333"/>
                <w:sz w:val="24"/>
                <w:szCs w:val="24"/>
                <w:lang w:eastAsia="pl-PL"/>
              </w:rPr>
              <w:tab/>
              <w:t>Europejski Kod Towarowy (kod EAN) wyrobu, jeżeli kod taki w przypadku danego pojazdu, przedmiotu wyposażenia lub części występuje;</w:t>
            </w:r>
          </w:p>
          <w:p w14:paraId="6F5D0B83" w14:textId="77777777" w:rsidR="00D35A4B" w:rsidRPr="00FB76A9" w:rsidRDefault="00D35A4B"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6)</w:t>
            </w:r>
            <w:r w:rsidRPr="00FB76A9">
              <w:rPr>
                <w:rFonts w:ascii="Times New Roman" w:eastAsia="Times New Roman" w:hAnsi="Times New Roman" w:cs="Times New Roman"/>
                <w:color w:val="333333"/>
                <w:sz w:val="24"/>
                <w:szCs w:val="24"/>
                <w:lang w:eastAsia="pl-PL"/>
              </w:rPr>
              <w:tab/>
              <w:t>kraj produkcji pojazdu, przedmiotu wyposażenia lub części;</w:t>
            </w:r>
          </w:p>
          <w:p w14:paraId="5F8F8837" w14:textId="77777777" w:rsidR="00D35A4B" w:rsidRPr="00FB76A9" w:rsidRDefault="00D35A4B"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7)</w:t>
            </w:r>
            <w:r w:rsidRPr="00FB76A9">
              <w:rPr>
                <w:rFonts w:ascii="Times New Roman" w:eastAsia="Times New Roman" w:hAnsi="Times New Roman" w:cs="Times New Roman"/>
                <w:color w:val="333333"/>
                <w:sz w:val="24"/>
                <w:szCs w:val="24"/>
                <w:lang w:eastAsia="pl-PL"/>
              </w:rPr>
              <w:tab/>
              <w:t>firmę lub nazwę oraz adres podmiotu gospodarczego, który wprowadził do obrotu lub udostępnił pojazd, przedmiot wyposażenia lub część na rynku Rzeczypospolitej Polskiej, wraz ze wskazaniem czy działał on jako producent, przedstawiciel producenta, importer czy dystrybutor;</w:t>
            </w:r>
          </w:p>
          <w:p w14:paraId="206987EA" w14:textId="77777777" w:rsidR="00D35A4B" w:rsidRPr="00FB76A9" w:rsidRDefault="00D35A4B"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sz w:val="24"/>
                <w:szCs w:val="24"/>
                <w:lang w:eastAsia="pl-PL"/>
              </w:rPr>
              <w:t>8)</w:t>
            </w:r>
            <w:r w:rsidRPr="00FB76A9">
              <w:rPr>
                <w:rFonts w:ascii="Times New Roman" w:eastAsia="Times New Roman" w:hAnsi="Times New Roman" w:cs="Times New Roman"/>
                <w:color w:val="333333"/>
                <w:sz w:val="24"/>
                <w:szCs w:val="24"/>
                <w:lang w:eastAsia="pl-PL"/>
              </w:rPr>
              <w:tab/>
              <w:t xml:space="preserve">opis stwierdzonych </w:t>
            </w:r>
            <w:r w:rsidRPr="00FB76A9">
              <w:rPr>
                <w:rFonts w:ascii="Times New Roman" w:hAnsi="Times New Roman" w:cs="Times New Roman"/>
                <w:sz w:val="24"/>
                <w:szCs w:val="24"/>
              </w:rPr>
              <w:t>niezgodności z wymaganiami technicznymi lub stwarzanego poważnego ryzyka przez</w:t>
            </w:r>
            <w:r w:rsidRPr="00FB76A9">
              <w:rPr>
                <w:rFonts w:ascii="Times New Roman" w:eastAsia="Times New Roman" w:hAnsi="Times New Roman" w:cs="Times New Roman"/>
                <w:color w:val="333333"/>
                <w:sz w:val="24"/>
                <w:szCs w:val="24"/>
                <w:lang w:eastAsia="pl-PL"/>
              </w:rPr>
              <w:t xml:space="preserve"> pojazd, przedmiot wyposażenia lub część;</w:t>
            </w:r>
          </w:p>
          <w:p w14:paraId="0B8FDEFF" w14:textId="77777777" w:rsidR="00D35A4B" w:rsidRPr="00FB76A9" w:rsidRDefault="00D35A4B"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9)</w:t>
            </w:r>
            <w:r w:rsidRPr="00FB76A9">
              <w:rPr>
                <w:rFonts w:ascii="Times New Roman" w:eastAsia="Times New Roman" w:hAnsi="Times New Roman" w:cs="Times New Roman"/>
                <w:color w:val="333333"/>
                <w:sz w:val="24"/>
                <w:szCs w:val="24"/>
                <w:lang w:eastAsia="pl-PL"/>
              </w:rPr>
              <w:tab/>
              <w:t xml:space="preserve">określenie środków naprawczych, jakie zastosowano w odniesieniu do pojazdu, przedmiotu wyposażenia lub części </w:t>
            </w:r>
            <w:r w:rsidRPr="00FB76A9">
              <w:rPr>
                <w:rFonts w:ascii="Times New Roman" w:hAnsi="Times New Roman" w:cs="Times New Roman"/>
                <w:sz w:val="24"/>
                <w:szCs w:val="24"/>
              </w:rPr>
              <w:t>niezgodnego z wymaganiami technicznymi lub stwarzającego poważne ryzyko</w:t>
            </w:r>
            <w:r w:rsidRPr="00FB76A9">
              <w:rPr>
                <w:rFonts w:ascii="Times New Roman" w:eastAsia="Times New Roman" w:hAnsi="Times New Roman" w:cs="Times New Roman"/>
                <w:color w:val="333333"/>
                <w:sz w:val="24"/>
                <w:szCs w:val="24"/>
                <w:lang w:eastAsia="pl-PL"/>
              </w:rPr>
              <w:t>;</w:t>
            </w:r>
          </w:p>
          <w:p w14:paraId="296A9EF3" w14:textId="77777777" w:rsidR="00D35A4B" w:rsidRPr="00FB76A9" w:rsidRDefault="00D35A4B" w:rsidP="00FD5CD5">
            <w:pPr>
              <w:shd w:val="clear" w:color="auto" w:fill="FFFFFF"/>
              <w:spacing w:after="0" w:line="240" w:lineRule="auto"/>
              <w:ind w:left="1020" w:hanging="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10)</w:t>
            </w:r>
            <w:r w:rsidRPr="00FB76A9">
              <w:rPr>
                <w:rFonts w:ascii="Times New Roman" w:eastAsia="Times New Roman" w:hAnsi="Times New Roman" w:cs="Times New Roman"/>
                <w:color w:val="333333"/>
                <w:sz w:val="24"/>
                <w:szCs w:val="24"/>
                <w:lang w:eastAsia="pl-PL"/>
              </w:rPr>
              <w:tab/>
              <w:t>inne informacje wynikające z decyzji, o której mowa w art. 68zj ust. 1 lub art. 68zk ust. 12, których umieszczenie w rejestrze może mieć wpływ na zapewnienie bezpieczeństwa użytkownikom końcowym.</w:t>
            </w:r>
          </w:p>
          <w:p w14:paraId="7A60A099" w14:textId="77777777" w:rsidR="00D35A4B" w:rsidRPr="00FB76A9" w:rsidRDefault="00D35A4B" w:rsidP="00FD5CD5">
            <w:pPr>
              <w:shd w:val="clear" w:color="auto" w:fill="FFFFFF"/>
              <w:spacing w:after="0" w:line="240" w:lineRule="auto"/>
              <w:ind w:left="510" w:firstLine="510"/>
              <w:rPr>
                <w:rFonts w:ascii="Times New Roman" w:hAnsi="Times New Roman" w:cs="Times New Roman"/>
                <w:sz w:val="24"/>
                <w:szCs w:val="24"/>
              </w:rPr>
            </w:pPr>
            <w:r w:rsidRPr="00FB76A9">
              <w:rPr>
                <w:rFonts w:ascii="Times New Roman" w:eastAsia="Times New Roman" w:hAnsi="Times New Roman" w:cs="Times New Roman"/>
                <w:color w:val="333333"/>
                <w:sz w:val="24"/>
                <w:szCs w:val="24"/>
                <w:lang w:eastAsia="pl-PL"/>
              </w:rPr>
              <w:t>12. W w</w:t>
            </w:r>
            <w:r w:rsidRPr="00FB76A9">
              <w:rPr>
                <w:rFonts w:ascii="Times New Roman" w:hAnsi="Times New Roman" w:cs="Times New Roman"/>
                <w:sz w:val="24"/>
                <w:szCs w:val="24"/>
              </w:rPr>
              <w:t>ykazie niezgodności</w:t>
            </w:r>
            <w:r w:rsidRPr="00FB76A9">
              <w:rPr>
                <w:rFonts w:ascii="Times New Roman" w:eastAsia="Times New Roman" w:hAnsi="Times New Roman" w:cs="Times New Roman"/>
                <w:color w:val="333333"/>
                <w:sz w:val="24"/>
                <w:szCs w:val="24"/>
                <w:lang w:eastAsia="pl-PL"/>
              </w:rPr>
              <w:t xml:space="preserve"> mogą być umieszczane zdjęcia pojazdu, przedmiotu wyposażenia lub części, lub ich opakowania.</w:t>
            </w:r>
          </w:p>
          <w:p w14:paraId="67FE02FE" w14:textId="77777777" w:rsidR="00D35A4B" w:rsidRPr="00FB76A9" w:rsidRDefault="00D35A4B" w:rsidP="00FD5CD5">
            <w:pPr>
              <w:shd w:val="clear" w:color="auto" w:fill="FFFFFF"/>
              <w:spacing w:after="0" w:line="240" w:lineRule="auto"/>
              <w:ind w:left="510" w:firstLine="510"/>
              <w:rPr>
                <w:rFonts w:ascii="Times New Roman" w:hAnsi="Times New Roman" w:cs="Times New Roman"/>
                <w:sz w:val="24"/>
                <w:szCs w:val="24"/>
              </w:rPr>
            </w:pPr>
            <w:r w:rsidRPr="00FB76A9">
              <w:rPr>
                <w:rFonts w:ascii="Times New Roman" w:eastAsia="Times New Roman" w:hAnsi="Times New Roman" w:cs="Times New Roman"/>
                <w:color w:val="333333"/>
                <w:sz w:val="24"/>
                <w:szCs w:val="24"/>
                <w:lang w:eastAsia="pl-PL"/>
              </w:rPr>
              <w:t xml:space="preserve">13. </w:t>
            </w:r>
            <w:r w:rsidRPr="00FB76A9">
              <w:rPr>
                <w:rFonts w:ascii="Times New Roman" w:hAnsi="Times New Roman" w:cs="Times New Roman"/>
                <w:sz w:val="24"/>
                <w:szCs w:val="24"/>
              </w:rPr>
              <w:t>W wykazie akcji</w:t>
            </w:r>
            <w:r w:rsidRPr="00FB76A9" w:rsidDel="00F720AF">
              <w:rPr>
                <w:rFonts w:ascii="Times New Roman" w:hAnsi="Times New Roman" w:cs="Times New Roman"/>
                <w:sz w:val="24"/>
                <w:szCs w:val="24"/>
              </w:rPr>
              <w:t xml:space="preserve"> </w:t>
            </w:r>
            <w:r w:rsidRPr="00FB76A9">
              <w:rPr>
                <w:rFonts w:ascii="Times New Roman" w:hAnsi="Times New Roman" w:cs="Times New Roman"/>
                <w:sz w:val="24"/>
                <w:szCs w:val="24"/>
              </w:rPr>
              <w:t>są gromadzone:</w:t>
            </w:r>
          </w:p>
          <w:p w14:paraId="16C5BC64" w14:textId="77777777" w:rsidR="00D35A4B" w:rsidRPr="00FB76A9" w:rsidRDefault="00D35A4B"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dane umożliwiające identyfikację pojazdu:</w:t>
            </w:r>
          </w:p>
          <w:p w14:paraId="3AD9144E" w14:textId="77777777" w:rsidR="00D35A4B" w:rsidRPr="00FB76A9" w:rsidRDefault="00D35A4B" w:rsidP="005E0F9D">
            <w:pPr>
              <w:pStyle w:val="ZARTzmartartykuempunktem"/>
              <w:numPr>
                <w:ilvl w:val="0"/>
                <w:numId w:val="15"/>
              </w:numPr>
              <w:spacing w:line="240" w:lineRule="auto"/>
              <w:jc w:val="left"/>
              <w:rPr>
                <w:rFonts w:ascii="Times New Roman" w:hAnsi="Times New Roman" w:cs="Times New Roman"/>
                <w:szCs w:val="24"/>
              </w:rPr>
            </w:pPr>
            <w:r w:rsidRPr="00FB76A9">
              <w:rPr>
                <w:rFonts w:ascii="Times New Roman" w:hAnsi="Times New Roman" w:cs="Times New Roman"/>
                <w:szCs w:val="24"/>
              </w:rPr>
              <w:t>datę i numer wpisu do wykazu akcji;</w:t>
            </w:r>
          </w:p>
          <w:p w14:paraId="34ECD538" w14:textId="77777777" w:rsidR="00D35A4B" w:rsidRPr="00FB76A9" w:rsidRDefault="00D35A4B" w:rsidP="005E0F9D">
            <w:pPr>
              <w:pStyle w:val="ZARTzmartartykuempunktem"/>
              <w:numPr>
                <w:ilvl w:val="0"/>
                <w:numId w:val="15"/>
              </w:numPr>
              <w:spacing w:line="240" w:lineRule="auto"/>
              <w:jc w:val="left"/>
              <w:rPr>
                <w:rFonts w:ascii="Times New Roman" w:hAnsi="Times New Roman" w:cs="Times New Roman"/>
                <w:szCs w:val="24"/>
              </w:rPr>
            </w:pPr>
            <w:r w:rsidRPr="00FB76A9">
              <w:rPr>
                <w:rFonts w:ascii="Times New Roman" w:hAnsi="Times New Roman" w:cs="Times New Roman"/>
                <w:szCs w:val="24"/>
              </w:rPr>
              <w:t>markę i model pojazdu;</w:t>
            </w:r>
          </w:p>
          <w:p w14:paraId="7CBC99DC" w14:textId="77777777" w:rsidR="00D35A4B" w:rsidRPr="00FB76A9" w:rsidRDefault="00D35A4B" w:rsidP="005E0F9D">
            <w:pPr>
              <w:pStyle w:val="ZARTzmartartykuempunktem"/>
              <w:numPr>
                <w:ilvl w:val="0"/>
                <w:numId w:val="15"/>
              </w:numPr>
              <w:spacing w:line="240" w:lineRule="auto"/>
              <w:jc w:val="left"/>
              <w:rPr>
                <w:rFonts w:ascii="Times New Roman" w:hAnsi="Times New Roman" w:cs="Times New Roman"/>
                <w:szCs w:val="24"/>
              </w:rPr>
            </w:pPr>
            <w:r w:rsidRPr="00FB76A9">
              <w:rPr>
                <w:rFonts w:ascii="Times New Roman" w:hAnsi="Times New Roman" w:cs="Times New Roman"/>
                <w:szCs w:val="24"/>
              </w:rPr>
              <w:t>okres produkcji;</w:t>
            </w:r>
          </w:p>
          <w:p w14:paraId="6A6788ED" w14:textId="77777777" w:rsidR="00D35A4B" w:rsidRPr="00FB76A9" w:rsidRDefault="00D35A4B" w:rsidP="005E0F9D">
            <w:pPr>
              <w:pStyle w:val="ZARTzmartartykuempunktem"/>
              <w:numPr>
                <w:ilvl w:val="0"/>
                <w:numId w:val="15"/>
              </w:numPr>
              <w:spacing w:line="240" w:lineRule="auto"/>
              <w:jc w:val="left"/>
              <w:rPr>
                <w:rFonts w:ascii="Times New Roman" w:hAnsi="Times New Roman" w:cs="Times New Roman"/>
                <w:szCs w:val="24"/>
              </w:rPr>
            </w:pPr>
            <w:r w:rsidRPr="00FB76A9">
              <w:rPr>
                <w:rFonts w:ascii="Times New Roman" w:eastAsia="Times New Roman" w:hAnsi="Times New Roman" w:cs="Times New Roman"/>
                <w:color w:val="333333"/>
                <w:szCs w:val="24"/>
              </w:rPr>
              <w:t>numer odpowiedniego dokumentu, o którym mowa w art. 14 ust. 4 w odniesieniu do pojazdu, jeśli dotyczy;</w:t>
            </w:r>
            <w:r w:rsidRPr="00FB76A9">
              <w:rPr>
                <w:rFonts w:ascii="Times New Roman" w:hAnsi="Times New Roman" w:cs="Times New Roman"/>
                <w:szCs w:val="24"/>
              </w:rPr>
              <w:t xml:space="preserve"> </w:t>
            </w:r>
          </w:p>
          <w:p w14:paraId="20FCDD9E" w14:textId="77777777" w:rsidR="00D35A4B" w:rsidRPr="00FB76A9" w:rsidRDefault="00D35A4B" w:rsidP="005E0F9D">
            <w:pPr>
              <w:pStyle w:val="ZARTzmartartykuempunktem"/>
              <w:numPr>
                <w:ilvl w:val="0"/>
                <w:numId w:val="15"/>
              </w:numPr>
              <w:spacing w:line="240" w:lineRule="auto"/>
              <w:jc w:val="left"/>
              <w:rPr>
                <w:rFonts w:ascii="Times New Roman" w:hAnsi="Times New Roman" w:cs="Times New Roman"/>
                <w:szCs w:val="24"/>
              </w:rPr>
            </w:pPr>
            <w:r w:rsidRPr="00FB76A9">
              <w:rPr>
                <w:rFonts w:ascii="Times New Roman" w:hAnsi="Times New Roman" w:cs="Times New Roman"/>
                <w:szCs w:val="24"/>
              </w:rPr>
              <w:t>kod serwisowy producenta;</w:t>
            </w:r>
          </w:p>
          <w:p w14:paraId="1FCEB0FF" w14:textId="77777777" w:rsidR="00D35A4B" w:rsidRPr="00FB76A9" w:rsidRDefault="00D35A4B" w:rsidP="005E0F9D">
            <w:pPr>
              <w:pStyle w:val="ZARTzmartartykuempunktem"/>
              <w:numPr>
                <w:ilvl w:val="0"/>
                <w:numId w:val="15"/>
              </w:numPr>
              <w:spacing w:line="240" w:lineRule="auto"/>
              <w:jc w:val="left"/>
              <w:rPr>
                <w:rFonts w:ascii="Times New Roman" w:hAnsi="Times New Roman" w:cs="Times New Roman"/>
                <w:szCs w:val="24"/>
              </w:rPr>
            </w:pPr>
            <w:r w:rsidRPr="00FB76A9">
              <w:rPr>
                <w:rFonts w:ascii="Times New Roman" w:eastAsia="Times New Roman" w:hAnsi="Times New Roman" w:cs="Times New Roman"/>
                <w:color w:val="333333"/>
                <w:szCs w:val="24"/>
              </w:rPr>
              <w:t xml:space="preserve">opis stwierdzonych </w:t>
            </w:r>
            <w:r w:rsidRPr="00FB76A9">
              <w:rPr>
                <w:rFonts w:ascii="Times New Roman" w:hAnsi="Times New Roman" w:cs="Times New Roman"/>
                <w:szCs w:val="24"/>
              </w:rPr>
              <w:t>niezgodności z wymaganiami technicznymi lub stwarzanego poważnego ryzyka przez</w:t>
            </w:r>
            <w:r w:rsidRPr="00FB76A9">
              <w:rPr>
                <w:rFonts w:ascii="Times New Roman" w:eastAsia="Times New Roman" w:hAnsi="Times New Roman" w:cs="Times New Roman"/>
                <w:color w:val="333333"/>
                <w:szCs w:val="24"/>
              </w:rPr>
              <w:t xml:space="preserve"> pojazd; </w:t>
            </w:r>
          </w:p>
          <w:p w14:paraId="5768DBC3" w14:textId="77777777" w:rsidR="00D35A4B" w:rsidRPr="00FB76A9" w:rsidRDefault="00D35A4B" w:rsidP="005E0F9D">
            <w:pPr>
              <w:pStyle w:val="ZARTzmartartykuempunktem"/>
              <w:numPr>
                <w:ilvl w:val="0"/>
                <w:numId w:val="15"/>
              </w:numPr>
              <w:spacing w:line="240" w:lineRule="auto"/>
              <w:jc w:val="left"/>
              <w:rPr>
                <w:rFonts w:ascii="Times New Roman" w:hAnsi="Times New Roman" w:cs="Times New Roman"/>
                <w:szCs w:val="24"/>
              </w:rPr>
            </w:pPr>
            <w:r w:rsidRPr="00FB76A9">
              <w:rPr>
                <w:rFonts w:ascii="Times New Roman" w:hAnsi="Times New Roman" w:cs="Times New Roman"/>
                <w:szCs w:val="24"/>
              </w:rPr>
              <w:t>numer referencyjny Transportowego Dozoru Technicznego oraz informację o statusie monitorowania w Transportowym Dozorze Technicznym;</w:t>
            </w:r>
          </w:p>
          <w:p w14:paraId="6CC3995C" w14:textId="77777777" w:rsidR="00D35A4B" w:rsidRPr="00FB76A9" w:rsidRDefault="00D35A4B" w:rsidP="005E0F9D">
            <w:pPr>
              <w:pStyle w:val="ZARTzmartartykuempunktem"/>
              <w:numPr>
                <w:ilvl w:val="0"/>
                <w:numId w:val="15"/>
              </w:numPr>
              <w:spacing w:line="240" w:lineRule="auto"/>
              <w:jc w:val="left"/>
              <w:rPr>
                <w:rFonts w:ascii="Times New Roman" w:hAnsi="Times New Roman" w:cs="Times New Roman"/>
                <w:szCs w:val="24"/>
              </w:rPr>
            </w:pPr>
            <w:r w:rsidRPr="00FB76A9">
              <w:rPr>
                <w:rFonts w:ascii="Times New Roman" w:hAnsi="Times New Roman" w:cs="Times New Roman"/>
                <w:szCs w:val="24"/>
              </w:rPr>
              <w:t>dodatkowe informacje dotyczące możliwych ograniczeń modeli objętych akcją serwisową, znanych incydentów, liczby potencjalnie objętych akcją serwisową pojazdów w Unii Europejskiej oraz w Polsce, a także numery VIN tych pojazdów;</w:t>
            </w:r>
          </w:p>
          <w:p w14:paraId="26DF503D" w14:textId="77777777" w:rsidR="00D35A4B" w:rsidRPr="00FB76A9" w:rsidRDefault="00D35A4B" w:rsidP="005E0F9D">
            <w:pPr>
              <w:pStyle w:val="ZARTzmartartykuempunktem"/>
              <w:numPr>
                <w:ilvl w:val="0"/>
                <w:numId w:val="15"/>
              </w:numPr>
              <w:spacing w:line="240" w:lineRule="auto"/>
              <w:jc w:val="left"/>
              <w:rPr>
                <w:rFonts w:ascii="Times New Roman" w:hAnsi="Times New Roman" w:cs="Times New Roman"/>
                <w:szCs w:val="24"/>
              </w:rPr>
            </w:pPr>
            <w:r w:rsidRPr="00FB76A9">
              <w:rPr>
                <w:rFonts w:ascii="Times New Roman" w:hAnsi="Times New Roman" w:cs="Times New Roman"/>
                <w:szCs w:val="24"/>
              </w:rPr>
              <w:t>dane kontaktowe do producenta pojazdu w zakresie numeru telefonu, adresu strony internetowej lub adresu poczty elektronicznej;</w:t>
            </w:r>
          </w:p>
          <w:p w14:paraId="60160AB3" w14:textId="77777777" w:rsidR="00D35A4B" w:rsidRPr="00FB76A9" w:rsidRDefault="00D35A4B" w:rsidP="005E0F9D">
            <w:pPr>
              <w:pStyle w:val="ZARTzmartartykuempunktem"/>
              <w:numPr>
                <w:ilvl w:val="0"/>
                <w:numId w:val="15"/>
              </w:numPr>
              <w:spacing w:line="240" w:lineRule="auto"/>
              <w:jc w:val="left"/>
              <w:rPr>
                <w:rFonts w:ascii="Times New Roman" w:hAnsi="Times New Roman" w:cs="Times New Roman"/>
                <w:szCs w:val="24"/>
              </w:rPr>
            </w:pPr>
            <w:r w:rsidRPr="00FB76A9">
              <w:rPr>
                <w:rFonts w:ascii="Times New Roman" w:hAnsi="Times New Roman" w:cs="Times New Roman"/>
                <w:szCs w:val="24"/>
              </w:rPr>
              <w:t>inne informacje, których umieszczenie w wykazie akcji może mieć wpływ na zapewnienie bezpieczeństwa użytkownikom końcowym;</w:t>
            </w:r>
          </w:p>
          <w:p w14:paraId="48A56D5D" w14:textId="77777777" w:rsidR="00D35A4B" w:rsidRPr="00FB76A9" w:rsidRDefault="00D35A4B" w:rsidP="00FD5CD5">
            <w:pPr>
              <w:pStyle w:val="ZARTzmartartykuempunktem"/>
              <w:spacing w:line="240" w:lineRule="auto"/>
              <w:ind w:left="1020" w:hanging="51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informacje o:</w:t>
            </w:r>
          </w:p>
          <w:p w14:paraId="0D6157B0" w14:textId="77777777" w:rsidR="00D35A4B" w:rsidRPr="00FB76A9" w:rsidRDefault="00D35A4B" w:rsidP="00FD5CD5">
            <w:pPr>
              <w:pStyle w:val="ZARTzmartartykuempunktem"/>
              <w:spacing w:line="240" w:lineRule="auto"/>
              <w:ind w:left="1701" w:hanging="341"/>
              <w:jc w:val="left"/>
              <w:rPr>
                <w:rFonts w:ascii="Times New Roman" w:hAnsi="Times New Roman" w:cs="Times New Roman"/>
                <w:szCs w:val="24"/>
              </w:rPr>
            </w:pPr>
            <w:r w:rsidRPr="00FB76A9">
              <w:rPr>
                <w:rFonts w:ascii="Times New Roman" w:hAnsi="Times New Roman" w:cs="Times New Roman"/>
                <w:szCs w:val="24"/>
              </w:rPr>
              <w:t>a)</w:t>
            </w:r>
            <w:r w:rsidRPr="00FB76A9">
              <w:rPr>
                <w:rFonts w:ascii="Times New Roman" w:hAnsi="Times New Roman" w:cs="Times New Roman"/>
                <w:szCs w:val="24"/>
              </w:rPr>
              <w:tab/>
              <w:t>rodzaju i zakresie prowadzonej przez podmiot gospodarczy akcji serwisowej,</w:t>
            </w:r>
          </w:p>
          <w:p w14:paraId="6A6DB8AD" w14:textId="77777777" w:rsidR="00D35A4B" w:rsidRPr="00FB76A9" w:rsidRDefault="00D35A4B" w:rsidP="00FD5CD5">
            <w:pPr>
              <w:pStyle w:val="ZARTzmartartykuempunktem"/>
              <w:spacing w:line="240" w:lineRule="auto"/>
              <w:ind w:left="1700" w:hanging="340"/>
              <w:jc w:val="left"/>
              <w:rPr>
                <w:rFonts w:ascii="Times New Roman" w:hAnsi="Times New Roman" w:cs="Times New Roman"/>
                <w:szCs w:val="24"/>
              </w:rPr>
            </w:pPr>
            <w:r w:rsidRPr="00FB76A9">
              <w:rPr>
                <w:rFonts w:ascii="Times New Roman" w:hAnsi="Times New Roman" w:cs="Times New Roman"/>
                <w:szCs w:val="24"/>
              </w:rPr>
              <w:t>b)</w:t>
            </w:r>
            <w:r w:rsidRPr="00FB76A9">
              <w:rPr>
                <w:rFonts w:ascii="Times New Roman" w:hAnsi="Times New Roman" w:cs="Times New Roman"/>
                <w:szCs w:val="24"/>
              </w:rPr>
              <w:tab/>
              <w:t>warunkach i ograniczeniach prowadzonej przez podmiot gospodarczy akcji serwisowej.</w:t>
            </w:r>
          </w:p>
          <w:p w14:paraId="0E52B877" w14:textId="77777777" w:rsidR="00D35A4B" w:rsidRPr="00FB76A9" w:rsidRDefault="00D35A4B" w:rsidP="00FD5CD5">
            <w:pPr>
              <w:shd w:val="clear" w:color="auto" w:fill="FFFFFF"/>
              <w:spacing w:after="0" w:line="240" w:lineRule="auto"/>
              <w:ind w:left="510" w:firstLine="510"/>
              <w:rPr>
                <w:rFonts w:ascii="Times New Roman" w:hAnsi="Times New Roman" w:cs="Times New Roman"/>
                <w:sz w:val="24"/>
                <w:szCs w:val="24"/>
              </w:rPr>
            </w:pPr>
            <w:r w:rsidRPr="00FB76A9">
              <w:rPr>
                <w:rFonts w:ascii="Times New Roman" w:eastAsia="Times New Roman" w:hAnsi="Times New Roman" w:cs="Times New Roman"/>
                <w:color w:val="333333"/>
                <w:sz w:val="24"/>
                <w:szCs w:val="24"/>
                <w:lang w:eastAsia="pl-PL"/>
              </w:rPr>
              <w:t xml:space="preserve">14. </w:t>
            </w:r>
            <w:r w:rsidRPr="00FB76A9">
              <w:rPr>
                <w:rFonts w:ascii="Times New Roman" w:hAnsi="Times New Roman" w:cs="Times New Roman"/>
                <w:sz w:val="24"/>
                <w:szCs w:val="24"/>
              </w:rPr>
              <w:t>Dyrektor TDT jako organ nadzoru rynku dokonuje wpisu do wykazu akcji</w:t>
            </w:r>
            <w:r w:rsidRPr="00FB76A9" w:rsidDel="00F720AF">
              <w:rPr>
                <w:rFonts w:ascii="Times New Roman" w:hAnsi="Times New Roman" w:cs="Times New Roman"/>
                <w:sz w:val="24"/>
                <w:szCs w:val="24"/>
              </w:rPr>
              <w:t xml:space="preserve"> </w:t>
            </w:r>
            <w:r w:rsidRPr="00FB76A9">
              <w:rPr>
                <w:rFonts w:ascii="Times New Roman" w:hAnsi="Times New Roman" w:cs="Times New Roman"/>
                <w:sz w:val="24"/>
                <w:szCs w:val="24"/>
              </w:rPr>
              <w:t>na podstawie:</w:t>
            </w:r>
          </w:p>
          <w:p w14:paraId="167B6B20" w14:textId="77777777" w:rsidR="00D35A4B" w:rsidRPr="00FB76A9" w:rsidRDefault="00D35A4B" w:rsidP="005E0F9D">
            <w:pPr>
              <w:pStyle w:val="ZARTzmartartykuempunktem"/>
              <w:numPr>
                <w:ilvl w:val="0"/>
                <w:numId w:val="17"/>
              </w:numPr>
              <w:suppressAutoHyphens w:val="0"/>
              <w:adjustRightInd/>
              <w:spacing w:line="240" w:lineRule="auto"/>
              <w:ind w:left="503"/>
              <w:jc w:val="left"/>
              <w:rPr>
                <w:rFonts w:ascii="Times New Roman" w:hAnsi="Times New Roman" w:cs="Times New Roman"/>
                <w:szCs w:val="24"/>
              </w:rPr>
            </w:pPr>
            <w:r w:rsidRPr="00FB76A9">
              <w:rPr>
                <w:rFonts w:ascii="Times New Roman" w:hAnsi="Times New Roman" w:cs="Times New Roman"/>
                <w:szCs w:val="24"/>
              </w:rPr>
              <w:t>własnych działań Dyrektora TDT jako organu nadzoru rynku lub</w:t>
            </w:r>
          </w:p>
          <w:p w14:paraId="17C95F74" w14:textId="77777777" w:rsidR="00D35A4B" w:rsidRPr="00FB76A9" w:rsidRDefault="00D35A4B" w:rsidP="005E0F9D">
            <w:pPr>
              <w:pStyle w:val="ZARTzmartartykuempunktem"/>
              <w:numPr>
                <w:ilvl w:val="0"/>
                <w:numId w:val="17"/>
              </w:numPr>
              <w:suppressAutoHyphens w:val="0"/>
              <w:adjustRightInd/>
              <w:spacing w:line="240" w:lineRule="auto"/>
              <w:ind w:left="503"/>
              <w:jc w:val="left"/>
              <w:rPr>
                <w:rFonts w:ascii="Times New Roman" w:hAnsi="Times New Roman" w:cs="Times New Roman"/>
                <w:szCs w:val="24"/>
              </w:rPr>
            </w:pPr>
            <w:r w:rsidRPr="00FB76A9">
              <w:rPr>
                <w:rFonts w:ascii="Times New Roman" w:hAnsi="Times New Roman" w:cs="Times New Roman"/>
                <w:szCs w:val="24"/>
              </w:rPr>
              <w:t>informacji zamieszczonych w systemie Safety Gate lub</w:t>
            </w:r>
          </w:p>
          <w:p w14:paraId="235F9ACB" w14:textId="77777777" w:rsidR="00D35A4B" w:rsidRPr="00FB76A9" w:rsidRDefault="00D35A4B" w:rsidP="005E0F9D">
            <w:pPr>
              <w:pStyle w:val="ZARTzmartartykuempunktem"/>
              <w:numPr>
                <w:ilvl w:val="0"/>
                <w:numId w:val="17"/>
              </w:numPr>
              <w:shd w:val="clear" w:color="auto" w:fill="FFFFFF"/>
              <w:spacing w:line="240" w:lineRule="auto"/>
              <w:ind w:left="503"/>
              <w:jc w:val="left"/>
              <w:rPr>
                <w:rFonts w:ascii="Times New Roman" w:eastAsia="Times New Roman" w:hAnsi="Times New Roman" w:cs="Times New Roman"/>
                <w:color w:val="333333"/>
                <w:szCs w:val="24"/>
              </w:rPr>
            </w:pPr>
            <w:r w:rsidRPr="00FB76A9">
              <w:rPr>
                <w:rFonts w:ascii="Times New Roman" w:hAnsi="Times New Roman" w:cs="Times New Roman"/>
                <w:szCs w:val="24"/>
              </w:rPr>
              <w:t>informacji przekazanych przez organ udzielający homologacji lub</w:t>
            </w:r>
          </w:p>
          <w:p w14:paraId="25C21352" w14:textId="77777777" w:rsidR="00D35A4B" w:rsidRPr="00FB76A9" w:rsidRDefault="00D35A4B" w:rsidP="005E0F9D">
            <w:pPr>
              <w:pStyle w:val="ZARTzmartartykuempunktem"/>
              <w:numPr>
                <w:ilvl w:val="0"/>
                <w:numId w:val="17"/>
              </w:numPr>
              <w:shd w:val="clear" w:color="auto" w:fill="FFFFFF"/>
              <w:spacing w:line="240" w:lineRule="auto"/>
              <w:ind w:left="503"/>
              <w:jc w:val="left"/>
              <w:rPr>
                <w:rFonts w:ascii="Times New Roman" w:eastAsia="Times New Roman" w:hAnsi="Times New Roman" w:cs="Times New Roman"/>
                <w:color w:val="333333"/>
                <w:szCs w:val="24"/>
              </w:rPr>
            </w:pPr>
            <w:r w:rsidRPr="00FB76A9">
              <w:rPr>
                <w:rFonts w:ascii="Times New Roman" w:hAnsi="Times New Roman" w:cs="Times New Roman"/>
                <w:szCs w:val="24"/>
              </w:rPr>
              <w:t>informacji przekazanych przez podmiot gospodarczy.</w:t>
            </w:r>
          </w:p>
          <w:p w14:paraId="216C05C3" w14:textId="77777777" w:rsidR="00D35A4B" w:rsidRPr="00FB76A9" w:rsidRDefault="00D35A4B" w:rsidP="00FD5CD5">
            <w:pPr>
              <w:pStyle w:val="ZARTzmartartykuempunktem"/>
              <w:spacing w:line="240" w:lineRule="auto"/>
              <w:jc w:val="left"/>
              <w:rPr>
                <w:rFonts w:ascii="Times New Roman" w:hAnsi="Times New Roman" w:cs="Times New Roman"/>
                <w:szCs w:val="24"/>
              </w:rPr>
            </w:pPr>
            <w:r w:rsidRPr="00FB76A9">
              <w:rPr>
                <w:rFonts w:ascii="Times New Roman" w:eastAsia="Times New Roman" w:hAnsi="Times New Roman" w:cs="Times New Roman"/>
                <w:color w:val="333333"/>
                <w:szCs w:val="24"/>
              </w:rPr>
              <w:t xml:space="preserve">15. </w:t>
            </w:r>
            <w:r w:rsidRPr="00FB76A9">
              <w:rPr>
                <w:rFonts w:ascii="Times New Roman" w:hAnsi="Times New Roman" w:cs="Times New Roman"/>
                <w:szCs w:val="24"/>
              </w:rPr>
              <w:t>Dyrektor TDT jako organ nadzoru rynku może w każdym czasie podać do publicznej wiadomości informacje zawarte w wykazie akcji.</w:t>
            </w:r>
          </w:p>
          <w:p w14:paraId="4825BC91" w14:textId="77777777" w:rsidR="00D35A4B" w:rsidRPr="00FB76A9" w:rsidRDefault="00D35A4B" w:rsidP="00FD5CD5">
            <w:pPr>
              <w:shd w:val="clear" w:color="auto" w:fill="FFFFFF"/>
              <w:spacing w:after="0" w:line="240" w:lineRule="auto"/>
              <w:ind w:left="510" w:firstLine="510"/>
              <w:rPr>
                <w:rFonts w:ascii="Times New Roman" w:eastAsiaTheme="minorEastAsia" w:hAnsi="Times New Roman" w:cs="Times New Roman"/>
                <w:sz w:val="24"/>
                <w:szCs w:val="24"/>
                <w:lang w:eastAsia="pl-PL"/>
              </w:rPr>
            </w:pPr>
            <w:r w:rsidRPr="00FB76A9">
              <w:rPr>
                <w:rFonts w:ascii="Times New Roman" w:eastAsia="Times New Roman" w:hAnsi="Times New Roman" w:cs="Times New Roman"/>
                <w:color w:val="333333"/>
                <w:sz w:val="24"/>
                <w:szCs w:val="24"/>
                <w:lang w:eastAsia="pl-PL"/>
              </w:rPr>
              <w:t xml:space="preserve">16. </w:t>
            </w:r>
            <w:r w:rsidRPr="00FB76A9">
              <w:rPr>
                <w:rFonts w:ascii="Times New Roman" w:eastAsiaTheme="minorEastAsia" w:hAnsi="Times New Roman" w:cs="Times New Roman"/>
                <w:sz w:val="24"/>
                <w:szCs w:val="24"/>
                <w:lang w:eastAsia="pl-PL"/>
              </w:rPr>
              <w:t>Wykaz akcji jest prowadzony z wykorzystaniem systemu teleinformatycznego.</w:t>
            </w:r>
          </w:p>
          <w:p w14:paraId="6ABFDF63" w14:textId="77777777" w:rsidR="00D35A4B" w:rsidRPr="00FB76A9" w:rsidRDefault="00D35A4B"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 xml:space="preserve">17. Każdy wpis do </w:t>
            </w:r>
            <w:r w:rsidRPr="00FB76A9">
              <w:rPr>
                <w:rFonts w:ascii="Times New Roman" w:hAnsi="Times New Roman" w:cs="Times New Roman"/>
                <w:sz w:val="24"/>
                <w:szCs w:val="24"/>
              </w:rPr>
              <w:t>wykazu akcji</w:t>
            </w:r>
            <w:r w:rsidRPr="00FB76A9" w:rsidDel="00F720AF">
              <w:rPr>
                <w:rFonts w:ascii="Times New Roman" w:eastAsia="Times New Roman" w:hAnsi="Times New Roman" w:cs="Times New Roman"/>
                <w:color w:val="333333"/>
                <w:sz w:val="24"/>
                <w:szCs w:val="24"/>
                <w:lang w:eastAsia="pl-PL"/>
              </w:rPr>
              <w:t xml:space="preserve"> </w:t>
            </w:r>
            <w:r w:rsidRPr="00FB76A9">
              <w:rPr>
                <w:rFonts w:ascii="Times New Roman" w:eastAsia="Times New Roman" w:hAnsi="Times New Roman" w:cs="Times New Roman"/>
                <w:color w:val="333333"/>
                <w:sz w:val="24"/>
                <w:szCs w:val="24"/>
                <w:lang w:eastAsia="pl-PL"/>
              </w:rPr>
              <w:t>dotyczy jednego pojazdu.</w:t>
            </w:r>
          </w:p>
          <w:p w14:paraId="5DE9DB90" w14:textId="77777777" w:rsidR="00D35A4B" w:rsidRPr="00FB76A9" w:rsidRDefault="00D35A4B"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18. Wykaz akcji umożliwia niezwłoczne wyszukanie, odczytanie oraz wydrukowanie całości albo części zapisanych danych.</w:t>
            </w:r>
          </w:p>
          <w:p w14:paraId="6F991427" w14:textId="77777777" w:rsidR="00D35A4B" w:rsidRPr="00FB76A9" w:rsidRDefault="00D35A4B" w:rsidP="00FD5CD5">
            <w:pPr>
              <w:shd w:val="clear" w:color="auto" w:fill="FFFFFF"/>
              <w:spacing w:after="0" w:line="240" w:lineRule="auto"/>
              <w:ind w:left="510" w:firstLine="510"/>
              <w:rPr>
                <w:rFonts w:ascii="Times New Roman" w:eastAsia="Times New Roman" w:hAnsi="Times New Roman" w:cs="Times New Roman"/>
                <w:color w:val="333333"/>
                <w:sz w:val="24"/>
                <w:szCs w:val="24"/>
                <w:lang w:eastAsia="pl-PL"/>
              </w:rPr>
            </w:pPr>
            <w:r w:rsidRPr="00FB76A9">
              <w:rPr>
                <w:rFonts w:ascii="Times New Roman" w:eastAsia="Times New Roman" w:hAnsi="Times New Roman" w:cs="Times New Roman"/>
                <w:color w:val="333333"/>
                <w:sz w:val="24"/>
                <w:szCs w:val="24"/>
                <w:lang w:eastAsia="pl-PL"/>
              </w:rPr>
              <w:t>19. Dyrektor TDT jako organ nadzoru rynku dokonuje wpisu akcji serwisowej do w</w:t>
            </w:r>
            <w:r w:rsidRPr="00FB76A9">
              <w:rPr>
                <w:rFonts w:ascii="Times New Roman" w:hAnsi="Times New Roman" w:cs="Times New Roman"/>
                <w:sz w:val="24"/>
                <w:szCs w:val="24"/>
              </w:rPr>
              <w:t>ykazu akcji</w:t>
            </w:r>
            <w:r w:rsidRPr="00FB76A9">
              <w:rPr>
                <w:rFonts w:ascii="Times New Roman" w:eastAsia="Times New Roman" w:hAnsi="Times New Roman" w:cs="Times New Roman"/>
                <w:color w:val="333333"/>
                <w:sz w:val="24"/>
                <w:szCs w:val="24"/>
                <w:lang w:eastAsia="pl-PL"/>
              </w:rPr>
              <w:t xml:space="preserve"> niezwłocznie po dniu, w którym powziął o niej informacje.”</w:t>
            </w:r>
          </w:p>
        </w:tc>
        <w:tc>
          <w:tcPr>
            <w:tcW w:w="2268" w:type="dxa"/>
            <w:tcBorders>
              <w:top w:val="single" w:sz="4" w:space="0" w:color="auto"/>
              <w:left w:val="single" w:sz="4" w:space="0" w:color="auto"/>
              <w:bottom w:val="single" w:sz="4" w:space="0" w:color="auto"/>
              <w:right w:val="single" w:sz="4" w:space="0" w:color="auto"/>
            </w:tcBorders>
          </w:tcPr>
          <w:p w14:paraId="5EA70B23" w14:textId="77777777" w:rsidR="00A54745" w:rsidRPr="00FB76A9" w:rsidRDefault="00A54745" w:rsidP="00FD5CD5">
            <w:pPr>
              <w:pStyle w:val="ZARTzmartartykuempunktem"/>
              <w:keepNext/>
              <w:spacing w:line="240" w:lineRule="auto"/>
              <w:ind w:left="212" w:right="3104" w:firstLine="0"/>
              <w:jc w:val="left"/>
              <w:rPr>
                <w:rFonts w:ascii="Times New Roman" w:hAnsi="Times New Roman" w:cs="Times New Roman"/>
                <w:szCs w:val="24"/>
              </w:rPr>
            </w:pPr>
          </w:p>
        </w:tc>
      </w:tr>
      <w:tr w:rsidR="00A360B5" w:rsidRPr="00FB76A9" w14:paraId="77E4C618" w14:textId="77777777" w:rsidTr="00B923FC">
        <w:trPr>
          <w:trHeight w:val="950"/>
        </w:trPr>
        <w:tc>
          <w:tcPr>
            <w:tcW w:w="988" w:type="dxa"/>
            <w:vMerge w:val="restart"/>
            <w:tcBorders>
              <w:top w:val="single" w:sz="4" w:space="0" w:color="auto"/>
              <w:left w:val="single" w:sz="4" w:space="0" w:color="auto"/>
              <w:right w:val="single" w:sz="4" w:space="0" w:color="auto"/>
            </w:tcBorders>
          </w:tcPr>
          <w:p w14:paraId="799CB37B" w14:textId="77777777" w:rsidR="00A360B5" w:rsidRPr="00FB76A9" w:rsidRDefault="00A360B5"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Art. 18</w:t>
            </w:r>
          </w:p>
          <w:p w14:paraId="0B9E5CB7" w14:textId="77777777" w:rsidR="00A360B5" w:rsidRPr="00FB76A9" w:rsidRDefault="00A360B5"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Art. 19</w:t>
            </w:r>
          </w:p>
          <w:p w14:paraId="555782AA" w14:textId="77777777" w:rsidR="00A360B5" w:rsidRPr="00FB76A9" w:rsidRDefault="00A360B5" w:rsidP="00FD5CD5">
            <w:pPr>
              <w:spacing w:after="0" w:line="240" w:lineRule="auto"/>
              <w:rPr>
                <w:rFonts w:ascii="Times New Roman" w:eastAsia="Times New Roman" w:hAnsi="Times New Roman" w:cs="Times New Roman"/>
                <w:b/>
                <w:sz w:val="24"/>
                <w:szCs w:val="24"/>
                <w:highlight w:val="darkGreen"/>
                <w:lang w:eastAsia="pl-PL"/>
              </w:rPr>
            </w:pPr>
            <w:r w:rsidRPr="00FB76A9">
              <w:rPr>
                <w:rFonts w:ascii="Times New Roman" w:eastAsia="Times New Roman" w:hAnsi="Times New Roman" w:cs="Times New Roman"/>
                <w:b/>
                <w:sz w:val="24"/>
                <w:szCs w:val="24"/>
                <w:lang w:eastAsia="pl-PL"/>
              </w:rPr>
              <w:t xml:space="preserve">Art. 20 </w:t>
            </w:r>
          </w:p>
        </w:tc>
        <w:tc>
          <w:tcPr>
            <w:tcW w:w="4961" w:type="dxa"/>
            <w:vMerge w:val="restart"/>
            <w:tcBorders>
              <w:top w:val="single" w:sz="4" w:space="0" w:color="auto"/>
              <w:left w:val="single" w:sz="4" w:space="0" w:color="auto"/>
              <w:right w:val="single" w:sz="4" w:space="0" w:color="auto"/>
            </w:tcBorders>
          </w:tcPr>
          <w:p w14:paraId="193C97B7" w14:textId="77777777" w:rsidR="00A360B5" w:rsidRPr="00FB76A9" w:rsidRDefault="00A360B5" w:rsidP="00FD5CD5">
            <w:pPr>
              <w:pStyle w:val="oj-normal"/>
              <w:shd w:val="clear" w:color="auto" w:fill="FFFFFF"/>
              <w:spacing w:before="0" w:beforeAutospacing="0" w:after="0" w:afterAutospacing="0"/>
            </w:pPr>
            <w:r w:rsidRPr="00FB76A9">
              <w:t>„Art. 18 1.   Każdy środek, każda decyzja lub każdy nakaz przyjęte przez organy nadzoru rynku na podstawie unijnego prawodawstwa harmonizacyjnego lub niniejszego rozporządzenia zawierają dokładną podstawę, w oparciu o którą je podjęto.</w:t>
            </w:r>
          </w:p>
          <w:p w14:paraId="449506CC" w14:textId="77777777" w:rsidR="00A360B5" w:rsidRPr="00FB76A9" w:rsidRDefault="00A360B5" w:rsidP="00FD5CD5">
            <w:pPr>
              <w:pStyle w:val="oj-normal"/>
              <w:shd w:val="clear" w:color="auto" w:fill="FFFFFF"/>
              <w:spacing w:before="0" w:beforeAutospacing="0" w:after="0" w:afterAutospacing="0"/>
            </w:pPr>
            <w:r w:rsidRPr="00FB76A9">
              <w:t>2.   Takie środki, decyzje lub nakazy niezwłocznie podaje się do wiadomości właściwego podmiotu gospodarczego, który jednocześnie informuje się o środkach odwoławczych przysługujących mu na podstawie prawa danego państwa członkowskiego oraz terminach na ich wniesienie.</w:t>
            </w:r>
          </w:p>
          <w:p w14:paraId="2432863F" w14:textId="77777777" w:rsidR="00A360B5" w:rsidRPr="00FB76A9" w:rsidRDefault="00A360B5" w:rsidP="00FD5CD5">
            <w:pPr>
              <w:pStyle w:val="oj-normal"/>
              <w:shd w:val="clear" w:color="auto" w:fill="FFFFFF"/>
              <w:spacing w:before="0" w:beforeAutospacing="0" w:after="0" w:afterAutospacing="0"/>
            </w:pPr>
            <w:r w:rsidRPr="00FB76A9">
              <w:t>3.   Przed przyjęciem środka, decyzji lub nakazu, o których mowa w ust. 1, zainteresowany podmiot gospodarczy musi mieć możliwość przedstawienia swojego stanowiska w odpowiednim terminie, nie krótszym niż 10 dni roboczych, chyba że nie można dać mu tej możliwości ze względu na pilny charakter środka, decyzji lub nakazu, uzasadniony wymaganiami dotyczącymi zdrowia lub bezpieczeństwa, lub z uwagi na innego rodzaju powody związane z interesem publicznym objęte odpowiednim unijnym prawodawstwem harmonizacyjnym.</w:t>
            </w:r>
          </w:p>
          <w:p w14:paraId="4154D2F6" w14:textId="77777777" w:rsidR="00A360B5" w:rsidRPr="00FB76A9" w:rsidRDefault="00A360B5" w:rsidP="00FD5CD5">
            <w:pPr>
              <w:pStyle w:val="oj-normal"/>
              <w:shd w:val="clear" w:color="auto" w:fill="FFFFFF"/>
              <w:spacing w:before="0" w:beforeAutospacing="0" w:after="0" w:afterAutospacing="0"/>
            </w:pPr>
            <w:r w:rsidRPr="00FB76A9">
              <w:t>Jeżeli środek, decyzja lub nakaz zostają przyjęte bez umożliwienia zainteresowanemu podmiotowi gospodarczemu przedstawienia swojego stanowiska, podmiotowi temu umożliwia się zajęcie stanowiska jak najszybciej po przyjęciu środka, decyzji lub nakazu, które następnie zostają niezwłocznie poddane przeglądowi ze strony danego organu nadzoru rynku.”</w:t>
            </w:r>
          </w:p>
          <w:p w14:paraId="6E2E0A6B" w14:textId="77777777" w:rsidR="00A360B5" w:rsidRPr="00FB76A9" w:rsidRDefault="00A360B5" w:rsidP="00FD5CD5">
            <w:pPr>
              <w:pStyle w:val="oj-normal"/>
              <w:shd w:val="clear" w:color="auto" w:fill="FFFFFF"/>
              <w:spacing w:before="0" w:beforeAutospacing="0" w:after="0" w:afterAutospacing="0"/>
            </w:pPr>
          </w:p>
          <w:p w14:paraId="7752B004" w14:textId="77777777" w:rsidR="00A360B5" w:rsidRPr="00FB76A9" w:rsidRDefault="00A360B5" w:rsidP="00FD5CD5">
            <w:pPr>
              <w:pStyle w:val="oj-normal"/>
              <w:shd w:val="clear" w:color="auto" w:fill="FFFFFF"/>
              <w:spacing w:before="0" w:beforeAutospacing="0" w:after="0" w:afterAutospacing="0"/>
            </w:pPr>
            <w:r w:rsidRPr="00FB76A9">
              <w:t>„Art. 19  1. Organy nadzoru rynku zapewniają, aby produkty stwarzające poważne ryzyko zostały wycofane z obrotu lub odzyskane, jeżeli nie istnieje żaden inny skuteczny środek umożliwiający wyeliminowanie poważnego ryzyka, lub aby zakazano ich udostępniania na rynku. Organy nadzoru rynku natychmiast zgłaszają to Komisji zgodnie z art. 20.</w:t>
            </w:r>
          </w:p>
          <w:p w14:paraId="3A37811D" w14:textId="77777777" w:rsidR="00A360B5" w:rsidRPr="00FB76A9" w:rsidRDefault="00A360B5" w:rsidP="00FD5CD5">
            <w:pPr>
              <w:pStyle w:val="oj-normal"/>
              <w:shd w:val="clear" w:color="auto" w:fill="FFFFFF"/>
              <w:spacing w:before="0" w:beforeAutospacing="0" w:after="0" w:afterAutospacing="0"/>
            </w:pPr>
            <w:r w:rsidRPr="00FB76A9">
              <w:t>2.   Decyzję w kwestii tego, czy dany produkt stwarza poważne ryzyko czy też nie, podejmuje się na podstawie właściwej oceny ryzyka uwzględniającej charakter niebezpieczeństwa i prawdopodobieństwo jego wystąpienia. Możliwość osiągnięcia wyższego poziomu bezpieczeństwa i dostępność innych produktów o mniejszym poziomie ryzyka nie stanowi podstawy do uznania produktu za produkt stwarzający poważne ryzyko.</w:t>
            </w:r>
          </w:p>
          <w:p w14:paraId="7E611285" w14:textId="77777777" w:rsidR="00A360B5" w:rsidRPr="00FB76A9" w:rsidRDefault="00A360B5" w:rsidP="00FD5CD5">
            <w:pPr>
              <w:pStyle w:val="oj-normal"/>
              <w:shd w:val="clear" w:color="auto" w:fill="FFFFFF"/>
              <w:spacing w:before="0" w:beforeAutospacing="0" w:after="0" w:afterAutospacing="0"/>
            </w:pPr>
          </w:p>
          <w:p w14:paraId="6D10621D" w14:textId="77777777" w:rsidR="00A360B5" w:rsidRPr="00FB76A9" w:rsidRDefault="00A360B5" w:rsidP="00FD5CD5">
            <w:pPr>
              <w:pStyle w:val="oj-normal"/>
              <w:shd w:val="clear" w:color="auto" w:fill="FFFFFF"/>
              <w:spacing w:before="0" w:beforeAutospacing="0" w:after="0" w:afterAutospacing="0"/>
            </w:pPr>
            <w:r w:rsidRPr="00FB76A9">
              <w:t>„Art. 20  1. W przypadku gdy organ nadzoru rynku podejmuje lub zamierza podjąć środek zgodnie z art. 19 i uznaje, że przyczyny uzasadniające podjęcie tego środka lub skutki stosowania tego środka wykraczają poza terytorium jego państwa członkowskiego, natychmiast powiadamia on Komisję o tym środku zgodnie z ust. 4 niniejszego artykułu. Organ nadzoru rynku powiadamia również niezwłocznie Komisję o zmianie lub wycofaniu każdego takiego środka.</w:t>
            </w:r>
          </w:p>
          <w:p w14:paraId="2890DEA9" w14:textId="77777777" w:rsidR="00A360B5" w:rsidRPr="00FB76A9" w:rsidRDefault="00A360B5" w:rsidP="00FD5CD5">
            <w:pPr>
              <w:pStyle w:val="oj-normal"/>
              <w:shd w:val="clear" w:color="auto" w:fill="FFFFFF"/>
              <w:spacing w:before="0" w:beforeAutospacing="0" w:after="0" w:afterAutospacing="0"/>
            </w:pPr>
            <w:r w:rsidRPr="00FB76A9">
              <w:t>2.   W przypadku gdy produkt stwarzający poważne ryzyko został udostępniony na rynku, organy nadzoru rynku natychmiast zgłaszają Komisji wszystkie dobrowolne środki podjęte przez podmiot gospodarczy, o których ten podmiot poinformował organ nadzoru rynku.</w:t>
            </w:r>
          </w:p>
          <w:p w14:paraId="58BAB111" w14:textId="77777777" w:rsidR="00A360B5" w:rsidRPr="00FB76A9" w:rsidRDefault="00A360B5" w:rsidP="00FD5CD5">
            <w:pPr>
              <w:pStyle w:val="oj-normal"/>
              <w:shd w:val="clear" w:color="auto" w:fill="FFFFFF"/>
              <w:spacing w:before="0" w:beforeAutospacing="0" w:after="0" w:afterAutospacing="0"/>
            </w:pPr>
            <w:r w:rsidRPr="00FB76A9">
              <w:t>3.   Informacje przekazywane zgodnie z ust. 1 i 2 zawierają wszystkie dostępne szczegóły, w szczególności dane umożliwiające identyfikację produktu, informacje na temat pochodzenia i łańcucha dostaw produktu, ryzyka związanego z produktem, rodzaju i okresu obowiązywania podjętego środka krajowego oraz dobrowolnych środków podjętych przez podmioty gospodarcze.</w:t>
            </w:r>
          </w:p>
          <w:p w14:paraId="0D27B172" w14:textId="77777777" w:rsidR="00A360B5" w:rsidRPr="00FB76A9" w:rsidRDefault="00A360B5" w:rsidP="00FD5CD5">
            <w:pPr>
              <w:pStyle w:val="oj-normal"/>
              <w:shd w:val="clear" w:color="auto" w:fill="FFFFFF"/>
              <w:spacing w:before="0" w:beforeAutospacing="0" w:after="0" w:afterAutospacing="0"/>
            </w:pPr>
            <w:r w:rsidRPr="00FB76A9">
              <w:t>4.   Do celów ust. 1, 2 i 3 niniejszego artykułu stosuje się System Szybkiej Wymiany Informacji (zwany dalej „systemem RAPEX”) przewidziany w art. 12 dyrektywy 2001/95/WE. Art. 12 ust. 2, 3 i 4 tej dyrektywy stosuje się odpowiednio.</w:t>
            </w:r>
          </w:p>
          <w:p w14:paraId="46CF14D7" w14:textId="77777777" w:rsidR="00A360B5" w:rsidRPr="00FB76A9" w:rsidRDefault="00A360B5" w:rsidP="00FD5CD5">
            <w:pPr>
              <w:pStyle w:val="oj-normal"/>
              <w:shd w:val="clear" w:color="auto" w:fill="FFFFFF"/>
              <w:spacing w:before="0" w:beforeAutospacing="0" w:after="0" w:afterAutospacing="0"/>
            </w:pPr>
            <w:r w:rsidRPr="00FB76A9">
              <w:t>5.   Komisja dostarcza i obsługuje interfejs danych między systemem RAPEX a systemem informacyjnym i komunikacyjnym, o którym mowa w art. 34, tak aby uniknąć podwójnego wprowadzania danych.”</w:t>
            </w:r>
          </w:p>
          <w:p w14:paraId="115F5F50" w14:textId="77777777" w:rsidR="00A360B5" w:rsidRPr="00FB76A9" w:rsidRDefault="00A360B5" w:rsidP="00FD5CD5">
            <w:pPr>
              <w:shd w:val="clear" w:color="auto" w:fill="FFFFFF"/>
              <w:spacing w:after="0" w:line="240" w:lineRule="auto"/>
              <w:rPr>
                <w:rFonts w:ascii="Times New Roman" w:hAnsi="Times New Roman" w:cs="Times New Roman"/>
                <w:sz w:val="24"/>
                <w:szCs w:val="24"/>
              </w:rPr>
            </w:pPr>
          </w:p>
        </w:tc>
        <w:tc>
          <w:tcPr>
            <w:tcW w:w="850" w:type="dxa"/>
            <w:gridSpan w:val="2"/>
            <w:vMerge w:val="restart"/>
            <w:tcBorders>
              <w:top w:val="single" w:sz="4" w:space="0" w:color="auto"/>
              <w:left w:val="single" w:sz="4" w:space="0" w:color="auto"/>
              <w:right w:val="single" w:sz="4" w:space="0" w:color="auto"/>
            </w:tcBorders>
          </w:tcPr>
          <w:p w14:paraId="12D8466C" w14:textId="77777777" w:rsidR="00A360B5" w:rsidRPr="00FB76A9" w:rsidRDefault="00A360B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p w14:paraId="0E126638" w14:textId="77777777" w:rsidR="00A360B5" w:rsidRPr="00FB76A9" w:rsidRDefault="00A360B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p w14:paraId="72E822AB" w14:textId="77777777" w:rsidR="00A360B5" w:rsidRPr="00FB76A9" w:rsidRDefault="00A360B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851" w:type="dxa"/>
            <w:gridSpan w:val="2"/>
            <w:vMerge w:val="restart"/>
            <w:tcBorders>
              <w:top w:val="single" w:sz="4" w:space="0" w:color="auto"/>
              <w:left w:val="single" w:sz="4" w:space="0" w:color="auto"/>
              <w:right w:val="single" w:sz="4" w:space="0" w:color="auto"/>
            </w:tcBorders>
          </w:tcPr>
          <w:p w14:paraId="4E870064" w14:textId="77777777" w:rsidR="00A360B5" w:rsidRPr="00FB76A9" w:rsidRDefault="00A360B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 1 pkt 21</w:t>
            </w:r>
          </w:p>
          <w:p w14:paraId="2C26E95A" w14:textId="77777777" w:rsidR="00A360B5" w:rsidRPr="00FB76A9" w:rsidRDefault="00A360B5" w:rsidP="00FD5CD5">
            <w:pPr>
              <w:spacing w:after="0" w:line="240" w:lineRule="auto"/>
              <w:rPr>
                <w:rFonts w:ascii="Times New Roman" w:eastAsia="Times New Roman" w:hAnsi="Times New Roman" w:cs="Times New Roman"/>
                <w:sz w:val="24"/>
                <w:szCs w:val="24"/>
                <w:lang w:eastAsia="pl-PL"/>
              </w:rPr>
            </w:pPr>
          </w:p>
        </w:tc>
        <w:tc>
          <w:tcPr>
            <w:tcW w:w="5103" w:type="dxa"/>
            <w:gridSpan w:val="2"/>
            <w:vMerge w:val="restart"/>
            <w:tcBorders>
              <w:top w:val="single" w:sz="4" w:space="0" w:color="auto"/>
              <w:left w:val="single" w:sz="4" w:space="0" w:color="auto"/>
              <w:right w:val="single" w:sz="4" w:space="0" w:color="auto"/>
            </w:tcBorders>
          </w:tcPr>
          <w:p w14:paraId="6BD2E02F" w14:textId="77777777" w:rsidR="00A360B5" w:rsidRPr="00FB76A9" w:rsidRDefault="00A360B5"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„Art. 68z. 1. Dyrektor TDT jako organ nadzoru rynku z urzędu podejmuje czynności wyjaśniające w sprawie niezgodności pojazdów, przedmiotów wyposażenia lub części z wymaganiami technicznymi lub mogących stwarzać poważne ryzyko.</w:t>
            </w:r>
          </w:p>
          <w:p w14:paraId="13EF57A6"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2. Czynności wyjaśniające, o których mowa w ust. 1, obejmują uprawnienia Dyrektora TDT jako organu nadzoru rynku określone w art. 14 ust. 4 lit. a–c rozporządzenia 2019/1020.</w:t>
            </w:r>
          </w:p>
          <w:p w14:paraId="6002366C"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3. Czynności wyjaśniające, o których mowa w ust. 1, są  realizowane w drodze wystąpienia, które powinno zawierać wskazanie:</w:t>
            </w:r>
          </w:p>
          <w:p w14:paraId="4FEEB323"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zakresu informacji;</w:t>
            </w:r>
          </w:p>
          <w:p w14:paraId="135B20C1"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celu wystąpienia;</w:t>
            </w:r>
          </w:p>
          <w:p w14:paraId="2A045A31"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terminu udzielenia informacji.</w:t>
            </w:r>
          </w:p>
          <w:p w14:paraId="0404C79F"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4. Podmiot gospodarczy lub posiadacz pojazdu, przedmiotu wyposażenia lub części niebędący użytkownikiem końcowym, do którego Dyrektor TDT jako organ nadzoru rynku skierował wystąpienie, o którym mowa w ust. 3, jest obowiązany w terminie określonym w wystąpieniu przekazać informacje, których wystąpienie dotyczy.</w:t>
            </w:r>
          </w:p>
          <w:p w14:paraId="466ACC9E"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5. Dyrektor TDT jako organ nadzoru rynku może podjąć czynności wyjaśniające na podstawie informacji, o których mowa w art. 68y ust. 1.</w:t>
            </w:r>
          </w:p>
          <w:p w14:paraId="0A38A989"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6. Dyrektor TDT w ramach czynności wyjaśniających na podstawie przekazanych informacji przeprowadza analizę ryzyka, o której mowa w art. 68t ust. 1.</w:t>
            </w:r>
          </w:p>
          <w:p w14:paraId="3ACCA1F8" w14:textId="77777777" w:rsidR="00A360B5" w:rsidRPr="00FB76A9" w:rsidRDefault="00A360B5"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7. Wynik czynności wyjaśniających jest udokumentowany w raporcie, który może stanowić podstawę podjęcia kontroli lub wszczęcia postępowania administracyjnego. Raport pozostawia się w aktach sprawy.</w:t>
            </w:r>
          </w:p>
          <w:p w14:paraId="576E7F95" w14:textId="77777777" w:rsidR="00A360B5" w:rsidRPr="00FB76A9" w:rsidRDefault="00A360B5" w:rsidP="00FD5CD5">
            <w:pPr>
              <w:pStyle w:val="ZARTzmartartykuempunktem"/>
              <w:keepNext/>
              <w:spacing w:line="240" w:lineRule="auto"/>
              <w:ind w:left="0" w:firstLine="0"/>
              <w:jc w:val="left"/>
              <w:rPr>
                <w:rFonts w:ascii="Times New Roman" w:hAnsi="Times New Roman" w:cs="Times New Roman"/>
                <w:szCs w:val="24"/>
              </w:rPr>
            </w:pPr>
          </w:p>
          <w:p w14:paraId="452164D3" w14:textId="77777777" w:rsidR="00A360B5" w:rsidRPr="00FB76A9" w:rsidRDefault="00A360B5"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Art. 68zj. 1. Na podstawie negatywnych wyników przeprowadzonych czynności wyjaśniających lub kontroli pojazdu, przedmiotu wyposażenia lub części w zakresie spełnienia wymagań technicznych lub stwarzania poważnego ryzyka, przeprowadzonej u podmiotu gospodarczego lub posiadacza pojazdu, przedmiotu wyposażenia lub części  niebędącego użytkownikiem końcowym, lub negatywnych wyników badań laboratoryjnych, o których mowa w art. 68zh ust. 1, Dyrektor TDT jako organ nadzoru rynku wszczyna z urzędu postępowanie administracyjne, zakończone wydaniem decyzji administracyjnej w sprawie stwierdzenia niezgodności pojazdu, przedmiotu wyposażenia lub części z wymaganiami technicznymi lub stwarzania przez nie poważnego ryzyka.</w:t>
            </w:r>
          </w:p>
          <w:p w14:paraId="2D25C97F" w14:textId="77777777" w:rsidR="00A360B5" w:rsidRPr="00FB76A9" w:rsidRDefault="00A360B5" w:rsidP="00FD5CD5">
            <w:pPr>
              <w:pStyle w:val="ZARTzmartartykuempunktem"/>
              <w:keepNext/>
              <w:spacing w:line="240" w:lineRule="auto"/>
              <w:ind w:left="0" w:firstLine="0"/>
              <w:jc w:val="left"/>
              <w:rPr>
                <w:rFonts w:ascii="Times New Roman" w:hAnsi="Times New Roman" w:cs="Times New Roman"/>
                <w:szCs w:val="24"/>
              </w:rPr>
            </w:pPr>
          </w:p>
          <w:p w14:paraId="1DAFD49F" w14:textId="77777777" w:rsidR="00A360B5" w:rsidRPr="00FB76A9" w:rsidRDefault="00A360B5"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Art. 68zk. 1. Dyrektor TDT jako organ nadzoru rynku w decyzji, o której mowa w art. 68zj ust. 1, nakazuje podmiotowi gospodarczemu w określonym terminie:</w:t>
            </w:r>
          </w:p>
          <w:p w14:paraId="7D7C962C"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podać do publicznej wiadomości w sposób wskazany w decyzji informację o pojeździe, przedmiocie wyposażenia lub części objętych obowiązkiem wycofania z obrotu lub użytkowania oraz</w:t>
            </w:r>
          </w:p>
          <w:p w14:paraId="2F9A21F4"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 xml:space="preserve">usunięcie niezgodności z wymaganiami technicznymi lub usunięcie ryzyka, a w przypadku gdy ich usunięcie nie jest możliwe, zakazuje udostępniania na rynku pojazdu, przedmiotu wyposażenia lub części; w przypadku gdy pojazd, przedmiot wyposażenia lub część zostały już udostępnione, nakazuje ich wycofanie z obrotu lub użytkowania oraz nakazuje odkupienie pojazdu, przedmiotu wyposażenia lub części od użytkowników końcowych albo wymianę na nowy pojazd, przedmiot wyposażenia lub część zgodne z wymaganiami technicznymi. </w:t>
            </w:r>
          </w:p>
          <w:p w14:paraId="47154CCE"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2. W decyzji, o której mowa w art. 68zj ust. 1, Dyrektor TDT jako organ nadzoru rynku może:</w:t>
            </w:r>
          </w:p>
          <w:p w14:paraId="17305966"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określić warunki na jakich pojazd, przedmiot wyposażenia lub część mogą być udostępniane na rynku;</w:t>
            </w:r>
          </w:p>
          <w:p w14:paraId="34E25A5F"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nakazać umieszczenie na pojeździe, przedmiocie wyposażenia lub części ostrzeżeń o ryzyku jakie pojazd, przedmiot wyposażenia lub część mogą stwarzać;</w:t>
            </w:r>
          </w:p>
          <w:p w14:paraId="6AB1D0D1" w14:textId="77777777" w:rsidR="00A360B5" w:rsidRPr="00FB76A9" w:rsidRDefault="00CF3C6A"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 xml:space="preserve">3) </w:t>
            </w:r>
            <w:r w:rsidRPr="001038FF">
              <w:t>nakazać zniszczenie pojazdu, przedmiotu wyposażenia lub części, w przypadku, gdy pojazd, przedmiot wyposażenia lub część stwarzają poważne ryzyko i nie da się tego ryzyka usunąć – w określonym terminie po odkupieniu pojazdu, przedmiotu wyposażenia lub części od użytkownika końcowego albo wymianie na nowy pojazd, przedmiot wyposażenia lub część zgodną z wymaganiami technicznymi,</w:t>
            </w:r>
          </w:p>
          <w:p w14:paraId="42A4C7C1"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4)</w:t>
            </w:r>
            <w:r w:rsidRPr="00FB76A9">
              <w:rPr>
                <w:rFonts w:ascii="Times New Roman" w:hAnsi="Times New Roman" w:cs="Times New Roman"/>
                <w:szCs w:val="24"/>
              </w:rPr>
              <w:tab/>
              <w:t>nakazać usunięcie lub zablokowanie dostępu do ofert dotyczących pojazdu, przedmiotu wyposażenia i części</w:t>
            </w:r>
          </w:p>
          <w:p w14:paraId="46900B2F" w14:textId="77777777" w:rsidR="00A360B5" w:rsidRPr="00FB76A9" w:rsidRDefault="00A360B5"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w zależności od rodzaju stwierdzonych niezgodności z wymaganiami technicznymi lub stopnia ryzyka stwarzanego przez pojazd, przedmiot wyposażenia lub część.</w:t>
            </w:r>
          </w:p>
          <w:p w14:paraId="1F09DC46"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3. Podmiot lub osoba posiadająca tytuł prawny do pojazdu, przedmiotu wyposażenia lub części objętego decyzją, o której mowa w art. 68zj ust. 1, ma prawo żądać od podmiotu gospodarczego, który wprowadził do obrotu ten pojazd, przedmiot wyposażenia lub część, odkupienia po cenie sprzedaży albo wymiany na nowy pojazd, przedmiot wyposażenia lub część spełniające wymagania techniczne lub niestwarzające poważnego ryzyka.</w:t>
            </w:r>
          </w:p>
          <w:p w14:paraId="585426DF"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 xml:space="preserve">4. W przypadku braku realizacji żądania, o którym mowa w ust. 3, podmiot lub osoba posiadająca tytuł prawny, o której mowa w ust. 3, powiadamia o tym Dyrektora TDT jako organ nadzoru rynku. </w:t>
            </w:r>
          </w:p>
          <w:p w14:paraId="2F6410C1"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 xml:space="preserve">5. Podmiot gospodarczy powiadamia Dyrektora TDT jako organ nadzoru rynku o wykonaniu decyzji, o której mowa w art. 68zj ust. 1, w terminie 14 dni od dnia upływu terminu wskazanego w tej decyzji. </w:t>
            </w:r>
          </w:p>
          <w:p w14:paraId="2CE38A7D"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6. Jeżeli podmiot gospodarczy nie wykonał decyzji, o której mowa w art. 68zj ust. 1, w zakresie określonym w art. 68zk ust. 2 pkt 4, Dyrektor TDT jako organ nadzoru rynku, w drodze decyzji administracyjnej nakazuje operatorowi platformy usunięcie z interfejsu online treści odnoszących się do oferty pojazdów, przedmiotów wyposażenia lub części, zawieszenie konta podmiotu gospodarczego na platformie lub wyświetlanie wyraźnego ostrzeżenia dla użytkowników końcowych uzyskujących dostęp do oferty tego pojazdu, przedmiotu wyposażenia lub części.</w:t>
            </w:r>
          </w:p>
          <w:p w14:paraId="3044B71A"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7. W decyzji, o której mowa w ust. 6, określa się:</w:t>
            </w:r>
          </w:p>
          <w:p w14:paraId="5731242E"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nazwę podmiotu gospodarczego, wobec którego wydano decyzję, o której mowa w art. 68zj ust. 1;</w:t>
            </w:r>
          </w:p>
          <w:p w14:paraId="1345DA58"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określenie treści odnoszących się do oferty dotyczących pojazdu, przedmiotu wyposażenia lub części objętego decyzją, o której mowa w art. 68zj ust. 1;</w:t>
            </w:r>
          </w:p>
          <w:p w14:paraId="79D62F71"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określenie treści nakazu, w tym treść ostrzeżenia dla użytkowników końcowych;</w:t>
            </w:r>
          </w:p>
          <w:p w14:paraId="28E6FB36"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4)</w:t>
            </w:r>
            <w:r w:rsidRPr="00FB76A9">
              <w:rPr>
                <w:rFonts w:ascii="Times New Roman" w:hAnsi="Times New Roman" w:cs="Times New Roman"/>
                <w:szCs w:val="24"/>
              </w:rPr>
              <w:tab/>
              <w:t>termin wykonania decyzji.</w:t>
            </w:r>
          </w:p>
          <w:p w14:paraId="40401584"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8. Jeżeli podmiot gospodarczy nie wykonał decyzji, o której mowa w art. 68zj ust. 1 w zakresie określonym w art. 68zk ust. 2 pkt 4, oraz jeżeli jest konieczne podjęcie natychmiastowego działania mającego na celu usunięcie poważnego ryzyka stwarzanego przez pojazd, przedmiot wyposażenia lub część objętego decyzją lub doprowadzenie ich do stanu zgodności z wymaganiami technicznymi, Dyrektor TDT jako organ nadzoru rynku w drodze decyzji administracyjnej, nakazuje dostawcy usług społeczeństwa informacyjnego nieodpłatne ograniczenie temu podmiotowi, dostępu do interfejsu online lub wyłączenie dostępu do interfejsu online.</w:t>
            </w:r>
          </w:p>
          <w:p w14:paraId="75864D0E"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9. W decyzji, o której mowa w ust. 8, określa się:</w:t>
            </w:r>
          </w:p>
          <w:p w14:paraId="3C4705B3"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nazwę podmiotu gospodarczego, wobec którego wydano decyzję, o której mowa w art. 68zj ust. 1;</w:t>
            </w:r>
          </w:p>
          <w:p w14:paraId="0BB2885C"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szczegółowe dane dotyczące interfejsu online, do którego dostęp podlega ograniczeniu lub wyłączeniu;</w:t>
            </w:r>
          </w:p>
          <w:p w14:paraId="5B25ED37"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termin wykonania decyzji.</w:t>
            </w:r>
          </w:p>
          <w:p w14:paraId="590A2EDF"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 xml:space="preserve">10. Decyzje, o których mowa w ust. 6 i 8, podlegają natychmiastowemu  wykonaniu. </w:t>
            </w:r>
          </w:p>
          <w:p w14:paraId="76B4FD52"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11. Operator platformy oraz dostawca usług społeczeństwa informacyjnego powiadamia Dyrektora TDT jako organ nadzoru rynku o wykonaniu decyzji, o której mowa w ust. 6 i 8, w terminie 14 dni od upływu tego termin wskazanego w tej decyzji.</w:t>
            </w:r>
          </w:p>
          <w:p w14:paraId="18672A9A"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12. W przypadku, gdy organ nadzoru rynku innego państwa członkowskiego Unii Europejskiej lub Komisja Europejska wyda decyzję o wycofaniu z obrotu lub użytkowania pojazdu, przedmiotu wyposażenia lub części, Dyrektor TDT jako organ nadzoru rynku z urzędu wszczyna postępowanie administracyjne w tej sprawie i wydaje decyzję administracyjną o wycofaniu z obrotu lub użytkowania takiego pojazdu, przedmiotu wyposażenia lub części na terytorium Rzeczypospolitej Polskiej.</w:t>
            </w:r>
          </w:p>
          <w:p w14:paraId="48DA1A81"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 xml:space="preserve">13. W przypadku, gdy decyzja, o której mowa w art. 68zj ust. 1, dotyczy dystrybutora, środki naprawcze przewidziane w decyzji mają zastosowanie wyłącznie wobec pojazdów, przedmiotów wyposażenia lub części, które zostały przez niego udostępnione na rynku. </w:t>
            </w:r>
          </w:p>
          <w:p w14:paraId="7237A86B"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Art. 68zl. 1. Dyrektor TDT jako organ nadzoru rynku po wydaniu decyzji, o której mowa w art. 68zj ust. 1 lub art. 68zk ust. 12, informuje organ właściwy w sprawach homologacji, który przeprowadził ocenę zgodności pojazdu, przedmiotu wyposażenia lub części, o stwierdzeniu niezgodności z wymaganiami technicznymi lub stwarzaniu przez pojazd, przedmiot wyposażenia lub część poważnego ryzyka, wskazując stwierdzone niezgodności lub ryzyka.</w:t>
            </w:r>
          </w:p>
          <w:p w14:paraId="5C44FDBE"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2. Dyrektor TDT jako organ nadzoru rynku powiadamia o wydaniu decyzji, o której mowa w art. 68zj ust. 1 lub art. 68zk ust. 12, w tym podjętych środków naprawczych, opinię publiczną w trybie określonym w art. 68zt oraz przekazuje informację o wydaniu decyzji Komisji Europejskiej oraz organom nadzoru rynku w państwach członkowskich Unii Europejskiej za pomocą systemu Safety Gate oraz systemu ICSMS.</w:t>
            </w:r>
          </w:p>
          <w:p w14:paraId="5DC73904" w14:textId="77777777" w:rsidR="00A360B5" w:rsidRPr="00FB76A9" w:rsidRDefault="00A360B5"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3. Dyrektor TDT jako organ nadzoru rynku przekazuje do ewidencji informacje, o wydaniu decyzji, o której mowa w art. 68zj ust. 1 lub art. 68zk ust. 12, w zakresie wycofania pojazdu z obrotu lub użytkowania.</w:t>
            </w:r>
          </w:p>
          <w:p w14:paraId="3EE323DF" w14:textId="77777777" w:rsidR="00A360B5" w:rsidRPr="00FB76A9" w:rsidRDefault="00A360B5" w:rsidP="00FD5CD5">
            <w:pPr>
              <w:pStyle w:val="ZARTzmartartykuempunktem"/>
              <w:keepNext/>
              <w:spacing w:line="240" w:lineRule="auto"/>
              <w:ind w:left="0" w:firstLine="0"/>
              <w:jc w:val="left"/>
              <w:rPr>
                <w:rFonts w:ascii="Times New Roman" w:hAnsi="Times New Roman" w:cs="Times New Roman"/>
                <w:szCs w:val="24"/>
              </w:rPr>
            </w:pPr>
          </w:p>
          <w:p w14:paraId="2AE3FE8D" w14:textId="77777777" w:rsidR="00A360B5" w:rsidRPr="00FB76A9" w:rsidRDefault="00A360B5"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Art. 68zm. Dyrektor TDT jako organ nadzoru rynku wydaje decyzję o umorzeniu postępowania, o którym mowa w art. 68zj  ust. 1, w przypadku gdy:</w:t>
            </w:r>
          </w:p>
          <w:p w14:paraId="07A92737"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stwierdzi, że pojazd, przedmiot wyposażenia lub część są zgodne z wymaganiami technicznymi lub nie stwarzają poważnego ryzyka;</w:t>
            </w:r>
          </w:p>
          <w:p w14:paraId="7F522119" w14:textId="77777777" w:rsidR="00A360B5" w:rsidRPr="00FB76A9" w:rsidRDefault="00A360B5" w:rsidP="00FD5CD5">
            <w:pPr>
              <w:pStyle w:val="ZARTzmartartykuempunktem"/>
              <w:keepNext/>
              <w:spacing w:line="240" w:lineRule="auto"/>
              <w:ind w:left="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postępowanie z innych przyczyn stało się bezprzedmiotowe.</w:t>
            </w:r>
          </w:p>
          <w:p w14:paraId="0CCCBE29" w14:textId="77777777" w:rsidR="00A360B5" w:rsidRPr="00FB76A9" w:rsidRDefault="00A360B5" w:rsidP="00FD5CD5">
            <w:pPr>
              <w:pStyle w:val="ZARTzmartartykuempunktem"/>
              <w:keepNext/>
              <w:spacing w:line="240" w:lineRule="auto"/>
              <w:ind w:left="0" w:firstLine="0"/>
              <w:jc w:val="left"/>
              <w:rPr>
                <w:rFonts w:ascii="Times New Roman" w:hAnsi="Times New Roman" w:cs="Times New Roman"/>
                <w:szCs w:val="24"/>
              </w:rPr>
            </w:pPr>
          </w:p>
          <w:p w14:paraId="25A7EAF6" w14:textId="77777777" w:rsidR="00A360B5" w:rsidRPr="00FB76A9" w:rsidRDefault="00A360B5"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Art. 68zn. W przypadku wydania decyzji, o której mowa w art. 68zj ust. 1, w której stwierdzono, iż pojazd, przedmiot wyposażenia lub część stwarzają poważne ryzyko oraz znajdują się w posiadaniu użytkowników końcowych, Dyrektor TDT jako organ nadzoru rynku publikuje na stronie podmiotowej Transportowego Dozoru Technicznego informację o możliwości zwrotu pojazdu, przedmiotu wyposażenia lub części do podmiotu gospodarczego, który wprowadził do obrotu ten pojazd, przedmiot wyposażenia lub część oraz informację o poważnych ryzykach dotyczących tego pojazdu, przedmiotu wyposażenia lub części.”</w:t>
            </w:r>
          </w:p>
        </w:tc>
        <w:tc>
          <w:tcPr>
            <w:tcW w:w="2268" w:type="dxa"/>
            <w:tcBorders>
              <w:top w:val="single" w:sz="4" w:space="0" w:color="auto"/>
              <w:left w:val="single" w:sz="4" w:space="0" w:color="auto"/>
              <w:right w:val="single" w:sz="4" w:space="0" w:color="auto"/>
            </w:tcBorders>
          </w:tcPr>
          <w:p w14:paraId="35ED9E75" w14:textId="77777777" w:rsidR="00A360B5" w:rsidRPr="00FB76A9" w:rsidRDefault="00A360B5" w:rsidP="00FD5CD5">
            <w:pPr>
              <w:pStyle w:val="ZARTzmartartykuempunktem"/>
              <w:keepNext/>
              <w:spacing w:line="240" w:lineRule="auto"/>
              <w:ind w:left="212" w:right="3104" w:firstLine="0"/>
              <w:jc w:val="left"/>
              <w:rPr>
                <w:rFonts w:ascii="Times New Roman" w:hAnsi="Times New Roman" w:cs="Times New Roman"/>
                <w:szCs w:val="24"/>
              </w:rPr>
            </w:pPr>
          </w:p>
        </w:tc>
      </w:tr>
      <w:tr w:rsidR="00A360B5" w:rsidRPr="00FB76A9" w14:paraId="41B180EF" w14:textId="77777777" w:rsidTr="00B923FC">
        <w:trPr>
          <w:trHeight w:val="470"/>
        </w:trPr>
        <w:tc>
          <w:tcPr>
            <w:tcW w:w="988" w:type="dxa"/>
            <w:vMerge/>
            <w:tcBorders>
              <w:left w:val="single" w:sz="4" w:space="0" w:color="auto"/>
              <w:bottom w:val="single" w:sz="4" w:space="0" w:color="auto"/>
              <w:right w:val="single" w:sz="4" w:space="0" w:color="auto"/>
            </w:tcBorders>
          </w:tcPr>
          <w:p w14:paraId="1E906D86" w14:textId="77777777" w:rsidR="00A360B5" w:rsidRPr="00FB76A9" w:rsidRDefault="00A360B5" w:rsidP="00FD5CD5">
            <w:pPr>
              <w:spacing w:after="0" w:line="240" w:lineRule="auto"/>
              <w:rPr>
                <w:rFonts w:ascii="Times New Roman" w:eastAsia="Times New Roman" w:hAnsi="Times New Roman" w:cs="Times New Roman"/>
                <w:b/>
                <w:sz w:val="24"/>
                <w:szCs w:val="24"/>
                <w:lang w:eastAsia="pl-PL"/>
              </w:rPr>
            </w:pPr>
          </w:p>
        </w:tc>
        <w:tc>
          <w:tcPr>
            <w:tcW w:w="4961" w:type="dxa"/>
            <w:vMerge/>
            <w:tcBorders>
              <w:left w:val="single" w:sz="4" w:space="0" w:color="auto"/>
              <w:bottom w:val="single" w:sz="4" w:space="0" w:color="auto"/>
              <w:right w:val="single" w:sz="4" w:space="0" w:color="auto"/>
            </w:tcBorders>
          </w:tcPr>
          <w:p w14:paraId="25C66940" w14:textId="77777777" w:rsidR="00A360B5" w:rsidRPr="00FB76A9" w:rsidRDefault="00A360B5" w:rsidP="00FD5CD5">
            <w:pPr>
              <w:shd w:val="clear" w:color="auto" w:fill="FFFFFF"/>
              <w:spacing w:after="0" w:line="240" w:lineRule="auto"/>
              <w:rPr>
                <w:rFonts w:ascii="Times New Roman" w:eastAsia="Times New Roman" w:hAnsi="Times New Roman" w:cs="Times New Roman"/>
                <w:sz w:val="24"/>
                <w:szCs w:val="24"/>
                <w:lang w:eastAsia="pl-PL"/>
              </w:rPr>
            </w:pPr>
          </w:p>
        </w:tc>
        <w:tc>
          <w:tcPr>
            <w:tcW w:w="850" w:type="dxa"/>
            <w:gridSpan w:val="2"/>
            <w:vMerge/>
            <w:tcBorders>
              <w:left w:val="single" w:sz="4" w:space="0" w:color="auto"/>
              <w:bottom w:val="single" w:sz="4" w:space="0" w:color="auto"/>
              <w:right w:val="single" w:sz="4" w:space="0" w:color="auto"/>
            </w:tcBorders>
          </w:tcPr>
          <w:p w14:paraId="47C07F3C" w14:textId="77777777" w:rsidR="00A360B5" w:rsidRPr="00FB76A9" w:rsidRDefault="00A360B5" w:rsidP="00FD5CD5">
            <w:pPr>
              <w:spacing w:after="0" w:line="240" w:lineRule="auto"/>
              <w:rPr>
                <w:rFonts w:ascii="Times New Roman" w:eastAsia="Times New Roman" w:hAnsi="Times New Roman" w:cs="Times New Roman"/>
                <w:sz w:val="24"/>
                <w:szCs w:val="24"/>
                <w:lang w:eastAsia="pl-PL"/>
              </w:rPr>
            </w:pPr>
          </w:p>
        </w:tc>
        <w:tc>
          <w:tcPr>
            <w:tcW w:w="851" w:type="dxa"/>
            <w:gridSpan w:val="2"/>
            <w:vMerge/>
            <w:tcBorders>
              <w:left w:val="single" w:sz="4" w:space="0" w:color="auto"/>
              <w:bottom w:val="single" w:sz="4" w:space="0" w:color="auto"/>
              <w:right w:val="single" w:sz="4" w:space="0" w:color="auto"/>
            </w:tcBorders>
          </w:tcPr>
          <w:p w14:paraId="3EDE0979" w14:textId="77777777" w:rsidR="00A360B5" w:rsidRPr="00FB76A9" w:rsidRDefault="00A360B5" w:rsidP="00FD5CD5">
            <w:pPr>
              <w:spacing w:after="0" w:line="240" w:lineRule="auto"/>
              <w:rPr>
                <w:rFonts w:ascii="Times New Roman" w:eastAsia="Times New Roman" w:hAnsi="Times New Roman" w:cs="Times New Roman"/>
                <w:sz w:val="24"/>
                <w:szCs w:val="24"/>
                <w:lang w:eastAsia="pl-PL"/>
              </w:rPr>
            </w:pPr>
          </w:p>
        </w:tc>
        <w:tc>
          <w:tcPr>
            <w:tcW w:w="5103" w:type="dxa"/>
            <w:gridSpan w:val="2"/>
            <w:vMerge/>
            <w:tcBorders>
              <w:left w:val="single" w:sz="4" w:space="0" w:color="auto"/>
              <w:bottom w:val="single" w:sz="4" w:space="0" w:color="auto"/>
              <w:right w:val="single" w:sz="4" w:space="0" w:color="auto"/>
            </w:tcBorders>
          </w:tcPr>
          <w:p w14:paraId="671E3747" w14:textId="77777777" w:rsidR="00A360B5" w:rsidRPr="00FB76A9" w:rsidRDefault="00A360B5" w:rsidP="00FD5CD5">
            <w:pPr>
              <w:pStyle w:val="ZARTzmartartykuempunktem"/>
              <w:spacing w:line="240" w:lineRule="auto"/>
              <w:ind w:left="70" w:firstLine="0"/>
              <w:jc w:val="left"/>
              <w:rPr>
                <w:rFonts w:ascii="Times New Roman" w:hAnsi="Times New Roman" w:cs="Times New Roman"/>
                <w:color w:val="92D050"/>
                <w:szCs w:val="24"/>
              </w:rPr>
            </w:pPr>
          </w:p>
        </w:tc>
        <w:tc>
          <w:tcPr>
            <w:tcW w:w="2268" w:type="dxa"/>
            <w:tcBorders>
              <w:top w:val="single" w:sz="4" w:space="0" w:color="auto"/>
              <w:left w:val="single" w:sz="4" w:space="0" w:color="auto"/>
              <w:bottom w:val="single" w:sz="4" w:space="0" w:color="auto"/>
              <w:right w:val="single" w:sz="4" w:space="0" w:color="auto"/>
            </w:tcBorders>
          </w:tcPr>
          <w:p w14:paraId="0D3B9436" w14:textId="77777777" w:rsidR="00A360B5" w:rsidRPr="00FB76A9" w:rsidRDefault="00A360B5" w:rsidP="00FD5CD5">
            <w:pPr>
              <w:pStyle w:val="ZARTzmartartykuempunktem"/>
              <w:keepNext/>
              <w:spacing w:line="240" w:lineRule="auto"/>
              <w:ind w:left="70" w:right="3104" w:firstLine="0"/>
              <w:jc w:val="left"/>
              <w:rPr>
                <w:rFonts w:ascii="Times New Roman" w:hAnsi="Times New Roman" w:cs="Times New Roman"/>
                <w:szCs w:val="24"/>
              </w:rPr>
            </w:pPr>
          </w:p>
        </w:tc>
      </w:tr>
      <w:tr w:rsidR="00A54745" w:rsidRPr="00FB76A9" w14:paraId="7E4D45B2" w14:textId="77777777" w:rsidTr="007A584D">
        <w:trPr>
          <w:trHeight w:val="470"/>
        </w:trPr>
        <w:tc>
          <w:tcPr>
            <w:tcW w:w="988" w:type="dxa"/>
            <w:tcBorders>
              <w:top w:val="single" w:sz="4" w:space="0" w:color="auto"/>
              <w:left w:val="single" w:sz="4" w:space="0" w:color="auto"/>
              <w:bottom w:val="single" w:sz="4" w:space="0" w:color="auto"/>
              <w:right w:val="single" w:sz="4" w:space="0" w:color="auto"/>
            </w:tcBorders>
          </w:tcPr>
          <w:p w14:paraId="51AC15D5" w14:textId="77777777" w:rsidR="00A54745" w:rsidRPr="00FB76A9" w:rsidRDefault="007A584D" w:rsidP="00FD5CD5">
            <w:pPr>
              <w:spacing w:after="0" w:line="240" w:lineRule="auto"/>
              <w:rPr>
                <w:rFonts w:ascii="Times New Roman" w:eastAsia="Times New Roman" w:hAnsi="Times New Roman" w:cs="Times New Roman"/>
                <w:b/>
                <w:sz w:val="24"/>
                <w:szCs w:val="24"/>
                <w:highlight w:val="green"/>
                <w:lang w:eastAsia="pl-PL"/>
              </w:rPr>
            </w:pPr>
            <w:r w:rsidRPr="00FB76A9">
              <w:rPr>
                <w:rFonts w:ascii="Times New Roman" w:eastAsia="Times New Roman" w:hAnsi="Times New Roman" w:cs="Times New Roman"/>
                <w:b/>
                <w:sz w:val="24"/>
                <w:szCs w:val="24"/>
                <w:lang w:eastAsia="pl-PL"/>
              </w:rPr>
              <w:t>Art. 22</w:t>
            </w:r>
          </w:p>
        </w:tc>
        <w:tc>
          <w:tcPr>
            <w:tcW w:w="4961" w:type="dxa"/>
            <w:tcBorders>
              <w:top w:val="single" w:sz="4" w:space="0" w:color="auto"/>
              <w:left w:val="single" w:sz="4" w:space="0" w:color="auto"/>
              <w:bottom w:val="single" w:sz="4" w:space="0" w:color="auto"/>
              <w:right w:val="single" w:sz="4" w:space="0" w:color="auto"/>
            </w:tcBorders>
          </w:tcPr>
          <w:p w14:paraId="51CE7162" w14:textId="77777777" w:rsidR="00A54745" w:rsidRPr="00FB76A9" w:rsidRDefault="009720FB"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w:t>
            </w:r>
            <w:r w:rsidR="00A54745" w:rsidRPr="00FB76A9">
              <w:rPr>
                <w:rFonts w:ascii="Times New Roman" w:eastAsia="Times New Roman" w:hAnsi="Times New Roman" w:cs="Times New Roman"/>
                <w:sz w:val="24"/>
                <w:szCs w:val="24"/>
                <w:lang w:eastAsia="pl-PL"/>
              </w:rPr>
              <w:t>Art. 22  1.   Prowadzona jest skuteczna współpraca i wymiana informacji pomiędzy organami nadzoru rynku z państw członkowskich oraz między organami nadzoru rynku a Komisją i odpowiednimi agencjami Unii.</w:t>
            </w:r>
          </w:p>
          <w:p w14:paraId="77E090BE" w14:textId="77777777" w:rsidR="00A54745" w:rsidRPr="00FB76A9" w:rsidRDefault="00A54745"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2.   Jeżeli organ nadzoru rynku, pomimo podjęcia wszelkich odpowiednich starań w celu uzyskania informacji, nie może zakończyć swojego postępowania ze względu na niemożliwość uzyskania dostępu do tych informacji, może złożyć uzasadniony wniosek do organu nadzoru rynku innego państwa członkowskiego, w którym dostęp do tych informacji może zostać wyegzekwowany. W tym przypadku organ współpracujący udziela organowi wnioskującemu niezwłocznie, a w każdym razie w terminie 30 dni, wszelkich informacji, które organ współpracujący uznaje za istotne do celów ustalenia, czy dany produkt jest niezgodny z wymaganiami.</w:t>
            </w:r>
          </w:p>
          <w:p w14:paraId="7D1DC88C" w14:textId="77777777" w:rsidR="00A54745" w:rsidRPr="00FB76A9" w:rsidRDefault="00A54745"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3.   Organ współpracujący przeprowadza odpowiednie postępowania lub podejmuje wszelkie inne środki odpowiednie do celów zgromadzenia żądanych informacji. W razie potrzeby inne organy nadzoru rynku udzielają pomocy w przeprowadzeniu tych postępowań.</w:t>
            </w:r>
          </w:p>
          <w:p w14:paraId="7AA3A90D" w14:textId="77777777" w:rsidR="00144662" w:rsidRPr="00FB76A9" w:rsidRDefault="00144662" w:rsidP="00FD5CD5">
            <w:pPr>
              <w:pStyle w:val="oj-normal"/>
              <w:shd w:val="clear" w:color="auto" w:fill="FFFFFF"/>
              <w:spacing w:before="0" w:beforeAutospacing="0" w:after="0" w:afterAutospacing="0"/>
              <w:ind w:left="212"/>
            </w:pPr>
            <w:r w:rsidRPr="00FB76A9">
              <w:t xml:space="preserve">4.Organ wnioskujący pozostaje odpowiedzialny za wszczęte przez siebie postępowanie, chyba że organ współpracujący wyrazi zgodę na przejęcie odpowiedzialności. 5.W należycie uzasadnionych przypadkach organ współpracujący może odmówić udzielenia odpowiedzi na wniosek o udzielenie informacji na mocy ust. 2, jeżeli: </w:t>
            </w:r>
          </w:p>
          <w:p w14:paraId="73996436" w14:textId="77777777" w:rsidR="00144662" w:rsidRPr="00FB76A9" w:rsidRDefault="00144662" w:rsidP="00FD5CD5">
            <w:pPr>
              <w:pStyle w:val="oj-normal"/>
              <w:shd w:val="clear" w:color="auto" w:fill="FFFFFF"/>
              <w:spacing w:before="0" w:beforeAutospacing="0" w:after="0" w:afterAutospacing="0"/>
              <w:ind w:left="212"/>
            </w:pPr>
            <w:r w:rsidRPr="00FB76A9">
              <w:t xml:space="preserve">a) organ wnioskujący nie uzasadnił w wystarczający sposób, że żądane informacje są niezbędne do stwierdzenia niezgodności; </w:t>
            </w:r>
          </w:p>
          <w:p w14:paraId="5EA65BA2" w14:textId="77777777" w:rsidR="00A54745" w:rsidRPr="00FB76A9" w:rsidRDefault="00144662" w:rsidP="00FD5CD5">
            <w:pPr>
              <w:pStyle w:val="oj-normal"/>
              <w:shd w:val="clear" w:color="auto" w:fill="FFFFFF"/>
              <w:spacing w:before="0" w:beforeAutospacing="0" w:after="0" w:afterAutospacing="0"/>
              <w:ind w:left="212"/>
            </w:pPr>
            <w:r w:rsidRPr="00FB76A9">
              <w:t>b) organ współpracujący wykaże uzasadnione powody, które wskazują, że zastosowanie się do wniosku mogłoby znacznie utrudnić wykonywanie jego własnej działalności.</w:t>
            </w:r>
          </w:p>
        </w:tc>
        <w:tc>
          <w:tcPr>
            <w:tcW w:w="850" w:type="dxa"/>
            <w:gridSpan w:val="2"/>
            <w:tcBorders>
              <w:top w:val="single" w:sz="4" w:space="0" w:color="auto"/>
              <w:left w:val="single" w:sz="4" w:space="0" w:color="auto"/>
              <w:bottom w:val="single" w:sz="4" w:space="0" w:color="auto"/>
              <w:right w:val="single" w:sz="4" w:space="0" w:color="auto"/>
            </w:tcBorders>
          </w:tcPr>
          <w:p w14:paraId="2F1644F9" w14:textId="77777777" w:rsidR="00A54745" w:rsidRPr="00FB76A9" w:rsidRDefault="007A584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851" w:type="dxa"/>
            <w:gridSpan w:val="2"/>
            <w:tcBorders>
              <w:top w:val="single" w:sz="4" w:space="0" w:color="auto"/>
              <w:left w:val="single" w:sz="4" w:space="0" w:color="auto"/>
              <w:bottom w:val="single" w:sz="4" w:space="0" w:color="auto"/>
              <w:right w:val="single" w:sz="4" w:space="0" w:color="auto"/>
            </w:tcBorders>
          </w:tcPr>
          <w:p w14:paraId="0460C63F" w14:textId="77777777" w:rsidR="00A54745" w:rsidRPr="00FB76A9" w:rsidRDefault="007A584D"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w:t>
            </w:r>
            <w:r w:rsidR="002F6312" w:rsidRPr="00FB76A9">
              <w:rPr>
                <w:rFonts w:ascii="Times New Roman" w:eastAsia="Times New Roman" w:hAnsi="Times New Roman" w:cs="Times New Roman"/>
                <w:sz w:val="24"/>
                <w:szCs w:val="24"/>
                <w:lang w:eastAsia="pl-PL"/>
              </w:rPr>
              <w:t>21</w:t>
            </w:r>
          </w:p>
        </w:tc>
        <w:tc>
          <w:tcPr>
            <w:tcW w:w="5103" w:type="dxa"/>
            <w:gridSpan w:val="2"/>
            <w:tcBorders>
              <w:top w:val="single" w:sz="4" w:space="0" w:color="auto"/>
              <w:left w:val="single" w:sz="4" w:space="0" w:color="auto"/>
              <w:bottom w:val="single" w:sz="4" w:space="0" w:color="auto"/>
              <w:right w:val="single" w:sz="4" w:space="0" w:color="auto"/>
            </w:tcBorders>
          </w:tcPr>
          <w:p w14:paraId="0FA224CC" w14:textId="77777777" w:rsidR="00476E4F" w:rsidRPr="00FB76A9" w:rsidRDefault="00476E4F"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Art. 68s. 1. Dyrektor TDT jako organ nadzoru rynku jest uprawniony do:</w:t>
            </w:r>
          </w:p>
          <w:p w14:paraId="5A6A6BA4" w14:textId="77777777" w:rsidR="00476E4F" w:rsidRPr="00FB76A9" w:rsidRDefault="00476E4F"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realizacji czynności, o których mowa w art. 14 ust. 4 rozporządzenia 2019/1020 względem podmiotu gospodarczego lub posiadacza pojazdu, przedmiotu wyposażenia lub części niebędącego użytkownikiem końcowym;</w:t>
            </w:r>
          </w:p>
          <w:p w14:paraId="3FB061FF" w14:textId="77777777" w:rsidR="00476E4F" w:rsidRPr="00FB76A9" w:rsidRDefault="00476E4F"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realizacji zadań, o których mowa w art. 12, art. 22−24, rozdziale VII rozporządzenia 2019/1020;</w:t>
            </w:r>
          </w:p>
          <w:p w14:paraId="6CAC514B" w14:textId="77777777" w:rsidR="00476E4F" w:rsidRPr="00FB76A9" w:rsidRDefault="00476E4F"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wymagania od operatora platformy lub dostawcy usług społeczeństwa informacyjnego przedstawienia informacji niezbędnych do ustalenia własności stron internetowych w toku prowadzenia czynności wyjaśniających, kontroli, badań lub postępowań administracyjnych;</w:t>
            </w:r>
          </w:p>
          <w:p w14:paraId="29B7AC66" w14:textId="77777777" w:rsidR="00476E4F" w:rsidRPr="00FB76A9" w:rsidRDefault="00476E4F"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4)</w:t>
            </w:r>
            <w:r w:rsidRPr="00FB76A9">
              <w:rPr>
                <w:rFonts w:ascii="Times New Roman" w:hAnsi="Times New Roman" w:cs="Times New Roman"/>
                <w:szCs w:val="24"/>
              </w:rPr>
              <w:tab/>
              <w:t>wymagania od operatora platformy lub dostawcy usług społeczeństwa informacyjnego podjęcia działań w ramach interfejsu online, w tym usunięcia z interfejsu online treści odnoszących się do pojazdu, przedmiotu wyposażenia i części, wobec których stwierdzono niezgodność z wymaganiami technicznymi lub poważne ryzyko, zawieszenia konta podmiotu gospodarczego na platformie lub wyświetlenia wyraźnego ostrzeżenia dla użytkowników końcowych uzyskujących dostęp do oferty tego pojazdu, przedmiotu wyposażenia lub części;</w:t>
            </w:r>
          </w:p>
          <w:p w14:paraId="065D8C2A" w14:textId="77777777" w:rsidR="00476E4F" w:rsidRPr="00FB76A9" w:rsidRDefault="00476E4F"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5)</w:t>
            </w:r>
            <w:r w:rsidRPr="00FB76A9">
              <w:rPr>
                <w:rFonts w:ascii="Times New Roman" w:hAnsi="Times New Roman" w:cs="Times New Roman"/>
                <w:szCs w:val="24"/>
              </w:rPr>
              <w:tab/>
              <w:t>zasięgania z urzędu niezbędnych opinii eksperckich, w tym  w toku kontroli dokumentów, fizycznej lub laboratoryjnej kontroli pojazdów, przedmiotów wyposażenia lub części lub prowadzonych postępowań administracyjnych;</w:t>
            </w:r>
          </w:p>
          <w:p w14:paraId="4DD6E932" w14:textId="77777777" w:rsidR="00476E4F" w:rsidRPr="00FB76A9" w:rsidRDefault="00476E4F"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6)</w:t>
            </w:r>
            <w:r w:rsidRPr="00FB76A9">
              <w:rPr>
                <w:rFonts w:ascii="Times New Roman" w:hAnsi="Times New Roman" w:cs="Times New Roman"/>
                <w:szCs w:val="24"/>
              </w:rPr>
              <w:tab/>
              <w:t>prowadzenia nieodpłatnych kampanii informacyjnych dla obywateli w mediach publicznych, komercyjnych i społecznościowych;</w:t>
            </w:r>
          </w:p>
          <w:p w14:paraId="48BCF702" w14:textId="77777777" w:rsidR="00476E4F" w:rsidRPr="00FB76A9" w:rsidRDefault="00476E4F"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7)</w:t>
            </w:r>
            <w:r w:rsidRPr="00FB76A9">
              <w:rPr>
                <w:rFonts w:ascii="Times New Roman" w:hAnsi="Times New Roman" w:cs="Times New Roman"/>
                <w:szCs w:val="24"/>
              </w:rPr>
              <w:tab/>
              <w:t>opracowania i prowadzenia wykazu pojazdów, przedmiotów wyposażenia lub części niezgodnych z wymaganiami technicznymi lub stwarzających poważne ryzyko, który udostępnia na stronie podmiotowej Transportowego Dozoru Technicznego;</w:t>
            </w:r>
          </w:p>
          <w:p w14:paraId="145CEB62" w14:textId="77777777" w:rsidR="00476E4F" w:rsidRPr="00FB76A9" w:rsidRDefault="00476E4F"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8)</w:t>
            </w:r>
            <w:r w:rsidRPr="00FB76A9">
              <w:rPr>
                <w:rFonts w:ascii="Times New Roman" w:hAnsi="Times New Roman" w:cs="Times New Roman"/>
                <w:szCs w:val="24"/>
              </w:rPr>
              <w:tab/>
              <w:t>opracowania i prowadzenia wykazu akcji serwisowych, który udostępnia na stronie podmiotowej Transportowego Dozoru Technicznego;</w:t>
            </w:r>
          </w:p>
          <w:p w14:paraId="4BBED868" w14:textId="77777777" w:rsidR="00476E4F" w:rsidRPr="00FB76A9" w:rsidRDefault="00476E4F"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9)</w:t>
            </w:r>
            <w:r w:rsidRPr="00FB76A9">
              <w:rPr>
                <w:rFonts w:ascii="Times New Roman" w:hAnsi="Times New Roman" w:cs="Times New Roman"/>
                <w:szCs w:val="24"/>
              </w:rPr>
              <w:tab/>
              <w:t xml:space="preserve">pozyskiwania od podmiotu gospodarczego informacji o przeprowadzanej akcji serwisowej w formie powiadomienia, o którym mowa w art. 70 ust. </w:t>
            </w:r>
            <w:r w:rsidR="00EC084A">
              <w:rPr>
                <w:rFonts w:ascii="Times New Roman" w:hAnsi="Times New Roman" w:cs="Times New Roman"/>
                <w:szCs w:val="24"/>
              </w:rPr>
              <w:t>2</w:t>
            </w:r>
            <w:r w:rsidRPr="00FB76A9">
              <w:rPr>
                <w:rFonts w:ascii="Times New Roman" w:hAnsi="Times New Roman" w:cs="Times New Roman"/>
                <w:szCs w:val="24"/>
              </w:rPr>
              <w:t xml:space="preserve"> lub art. 71 ust. </w:t>
            </w:r>
            <w:r w:rsidR="00EC084A">
              <w:rPr>
                <w:rFonts w:ascii="Times New Roman" w:hAnsi="Times New Roman" w:cs="Times New Roman"/>
                <w:szCs w:val="24"/>
              </w:rPr>
              <w:t>2</w:t>
            </w:r>
            <w:r w:rsidRPr="00FB76A9">
              <w:rPr>
                <w:rFonts w:ascii="Times New Roman" w:hAnsi="Times New Roman" w:cs="Times New Roman"/>
                <w:szCs w:val="24"/>
              </w:rPr>
              <w:t xml:space="preserve">, w celu umieszczenia ich w systemie szybkiej wymiany informacji, o którym mowa w art. 20 ust. 4 rozporządzenia 2019/1020, zwanym dalej „systemem Safety Gate” i systemie informacyjnym i komunikacyjnym do celów nadzoru rynku, </w:t>
            </w:r>
          </w:p>
          <w:p w14:paraId="7380E465" w14:textId="77777777" w:rsidR="00476E4F" w:rsidRPr="00FB76A9" w:rsidRDefault="00476E4F"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o którym mowa w art. 34 ust. 1 rozporządzenia 2019/1020, zwanym dalej „systemem ICSMS” oraz na stronie podmiotowej Transportowego Dozoru Technicznego;</w:t>
            </w:r>
          </w:p>
          <w:p w14:paraId="32C6F5FF" w14:textId="77777777" w:rsidR="00476E4F" w:rsidRPr="00FB76A9" w:rsidRDefault="00476E4F"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10)</w:t>
            </w:r>
            <w:r w:rsidRPr="00FB76A9">
              <w:rPr>
                <w:rFonts w:ascii="Times New Roman" w:hAnsi="Times New Roman" w:cs="Times New Roman"/>
                <w:szCs w:val="24"/>
              </w:rPr>
              <w:tab/>
              <w:t>przekazywania do ewidencji informacji o decyzji Dyrektora TDT, o której mowa w art. 68zj ust. 1 lub art. 68zk ust. 12, w zakresie wycofania pojazdu z obrotu lub użytkowania;</w:t>
            </w:r>
          </w:p>
          <w:p w14:paraId="15D8027E" w14:textId="77777777" w:rsidR="00476E4F" w:rsidRPr="00FB76A9" w:rsidRDefault="00476E4F"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11)</w:t>
            </w:r>
            <w:r w:rsidRPr="00FB76A9">
              <w:rPr>
                <w:rFonts w:ascii="Times New Roman" w:hAnsi="Times New Roman" w:cs="Times New Roman"/>
                <w:szCs w:val="24"/>
              </w:rPr>
              <w:tab/>
              <w:t>kontroli dokumentów związanych z ładunkiem oraz kontroli fizycznej tego ładunku, przewożonego na drogach publicznych, w zakresie przestrzegania zgodności z aktami prawnymi, dla których jest organem nadzoru rynku zgodnie z art. 3 ust. 3, w ramach wykonywania kontroli ruchu drogowego przez funkcjonariusza Policji, inspektora Inspekcji Transportu Drogowego lub funkcjonariusza Służby Celno-Skarbowej;</w:t>
            </w:r>
          </w:p>
          <w:p w14:paraId="1AE460DC" w14:textId="77777777" w:rsidR="00476E4F" w:rsidRPr="00FB76A9" w:rsidRDefault="00476E4F"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12)</w:t>
            </w:r>
            <w:r w:rsidRPr="00FB76A9">
              <w:rPr>
                <w:rFonts w:ascii="Times New Roman" w:hAnsi="Times New Roman" w:cs="Times New Roman"/>
                <w:szCs w:val="24"/>
              </w:rPr>
              <w:tab/>
              <w:t>nieodpłatnego uzyskiwania od organów Krajowej Administracji Skarbowej danych, o których mowa w art. 68zx ust. 2;</w:t>
            </w:r>
          </w:p>
          <w:p w14:paraId="46649D88" w14:textId="77777777" w:rsidR="00476E4F" w:rsidRPr="00FB76A9" w:rsidRDefault="00476E4F"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13)</w:t>
            </w:r>
            <w:r w:rsidRPr="00FB76A9">
              <w:rPr>
                <w:rFonts w:ascii="Times New Roman" w:hAnsi="Times New Roman" w:cs="Times New Roman"/>
                <w:szCs w:val="24"/>
              </w:rPr>
              <w:tab/>
              <w:t>nieodpłatnego dostępu do ewidencji w celu poinformowania użytkowników pojazdów zarejestrowanych na terytorium Rzeczypospolitej Polskiej o akcjach serwisowych;</w:t>
            </w:r>
          </w:p>
          <w:p w14:paraId="1CFC3A6F" w14:textId="77777777" w:rsidR="00476E4F" w:rsidRPr="00FB76A9" w:rsidRDefault="00476E4F"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14)</w:t>
            </w:r>
            <w:r w:rsidRPr="00FB76A9">
              <w:rPr>
                <w:rFonts w:ascii="Times New Roman" w:hAnsi="Times New Roman" w:cs="Times New Roman"/>
                <w:szCs w:val="24"/>
              </w:rPr>
              <w:tab/>
              <w:t>udziału w badaniach wykonywanych przez laboratoria badawcze wykonujące badania na zlecenie Dyrektora TDT;</w:t>
            </w:r>
          </w:p>
          <w:p w14:paraId="135A6781" w14:textId="77777777" w:rsidR="00476E4F" w:rsidRPr="00FB76A9" w:rsidRDefault="00476E4F"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15)</w:t>
            </w:r>
            <w:r w:rsidRPr="00FB76A9">
              <w:rPr>
                <w:rFonts w:ascii="Times New Roman" w:hAnsi="Times New Roman" w:cs="Times New Roman"/>
                <w:szCs w:val="24"/>
              </w:rPr>
              <w:tab/>
              <w:t>przeprowadzenia badań, o których mowa w art. 7 rozporządzenia 167/2013, art. 8 rozporządzenia 168/2013 oraz art. 8 rozporządzenia 2018/858;</w:t>
            </w:r>
          </w:p>
          <w:p w14:paraId="0E4175AA" w14:textId="77777777" w:rsidR="00476E4F" w:rsidRPr="00FB76A9" w:rsidRDefault="00476E4F"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 xml:space="preserve">16) </w:t>
            </w:r>
            <w:r w:rsidRPr="00FB76A9">
              <w:rPr>
                <w:rFonts w:ascii="Times New Roman" w:hAnsi="Times New Roman" w:cs="Times New Roman"/>
                <w:szCs w:val="24"/>
              </w:rPr>
              <w:tab/>
              <w:t xml:space="preserve">wymagania od podmiotu gospodarczego informowania użytkowników końcowych o konieczności sprawdzenia stanu technicznego pojazdu w warunkach serwisowych producenta zgodnie z art. 70 ust. </w:t>
            </w:r>
            <w:r w:rsidR="00EC084A">
              <w:rPr>
                <w:rFonts w:ascii="Times New Roman" w:hAnsi="Times New Roman" w:cs="Times New Roman"/>
                <w:szCs w:val="24"/>
              </w:rPr>
              <w:t>3</w:t>
            </w:r>
            <w:r w:rsidRPr="00FB76A9">
              <w:rPr>
                <w:rFonts w:ascii="Times New Roman" w:hAnsi="Times New Roman" w:cs="Times New Roman"/>
                <w:szCs w:val="24"/>
              </w:rPr>
              <w:t xml:space="preserve"> i art. 71 ust. </w:t>
            </w:r>
            <w:r w:rsidR="00EC084A">
              <w:rPr>
                <w:rFonts w:ascii="Times New Roman" w:hAnsi="Times New Roman" w:cs="Times New Roman"/>
                <w:szCs w:val="24"/>
              </w:rPr>
              <w:t>3</w:t>
            </w:r>
            <w:r w:rsidRPr="00FB76A9">
              <w:rPr>
                <w:rFonts w:ascii="Times New Roman" w:hAnsi="Times New Roman" w:cs="Times New Roman"/>
                <w:szCs w:val="24"/>
              </w:rPr>
              <w:t xml:space="preserve"> pkt 3; </w:t>
            </w:r>
          </w:p>
          <w:p w14:paraId="004BBE46" w14:textId="77777777" w:rsidR="00476E4F" w:rsidRPr="00FB76A9" w:rsidRDefault="00476E4F"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17)</w:t>
            </w:r>
            <w:r w:rsidRPr="00FB76A9">
              <w:rPr>
                <w:rFonts w:ascii="Times New Roman" w:hAnsi="Times New Roman" w:cs="Times New Roman"/>
                <w:szCs w:val="24"/>
              </w:rPr>
              <w:tab/>
              <w:t>wymagania od podmiotu gospodarczego informowania o postępie w realizacji akcji serwisowych co najmniej raz na kwartał;</w:t>
            </w:r>
          </w:p>
          <w:p w14:paraId="74CF29CA" w14:textId="77777777" w:rsidR="00476E4F" w:rsidRPr="00FB76A9" w:rsidRDefault="00476E4F"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18)</w:t>
            </w:r>
            <w:r w:rsidRPr="00FB76A9">
              <w:rPr>
                <w:rFonts w:ascii="Times New Roman" w:hAnsi="Times New Roman" w:cs="Times New Roman"/>
                <w:szCs w:val="24"/>
              </w:rPr>
              <w:tab/>
              <w:t>wymagania przekazania tłumaczenia na język polski dokumentów albo ich części, mających stanowić dowód w sprawie niezbędny do weryfikacji zgodności pojazdu, przedmiotu wyposażenia lub części z wymaganiami technicznymi, sporządzonych w języku obcym w toku prowadzenia czynności wyjaśniających, kontroli, badań lub postępowań administracyjnych.</w:t>
            </w:r>
          </w:p>
          <w:p w14:paraId="4A832A96" w14:textId="77777777" w:rsidR="00476E4F" w:rsidRPr="00FB76A9" w:rsidRDefault="00476E4F"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 xml:space="preserve">2. Przy realizacji zadań w ramach nadzoru rynku Dyrektor TDT oraz pracownicy Transportowego Dozoru Technicznemu lub osoby upoważnione przez Dyrektora TDT do realizacji tych zadań w jego imieniu korzystają z ochrony przewidzianej w art. 222 ustawy z dnia 6 czerwca 1997 r. − Kodeks karny (Dz. U. z 2025 r. </w:t>
            </w:r>
            <w:r w:rsidR="00FA7954" w:rsidRPr="00FB76A9">
              <w:rPr>
                <w:rFonts w:ascii="Times New Roman" w:hAnsi="Times New Roman" w:cs="Times New Roman"/>
                <w:szCs w:val="24"/>
              </w:rPr>
              <w:t>poz. 383</w:t>
            </w:r>
            <w:r w:rsidR="00FA7954">
              <w:rPr>
                <w:rFonts w:ascii="Times New Roman" w:hAnsi="Times New Roman" w:cs="Times New Roman"/>
                <w:szCs w:val="24"/>
              </w:rPr>
              <w:t>, 1818 i 1872</w:t>
            </w:r>
            <w:r w:rsidRPr="00FB76A9">
              <w:rPr>
                <w:rFonts w:ascii="Times New Roman" w:hAnsi="Times New Roman" w:cs="Times New Roman"/>
                <w:szCs w:val="24"/>
              </w:rPr>
              <w:t>) dla funkcjonariuszy publicznych.</w:t>
            </w:r>
          </w:p>
          <w:p w14:paraId="25059CA1" w14:textId="77777777" w:rsidR="00476E4F" w:rsidRPr="00FB76A9" w:rsidRDefault="00476E4F" w:rsidP="00FD5CD5">
            <w:pPr>
              <w:pStyle w:val="ZARTzmartartykuempunktem"/>
              <w:keepNext/>
              <w:spacing w:line="240" w:lineRule="auto"/>
              <w:ind w:left="70" w:firstLine="0"/>
              <w:jc w:val="left"/>
              <w:rPr>
                <w:rFonts w:ascii="Times New Roman" w:hAnsi="Times New Roman" w:cs="Times New Roman"/>
                <w:szCs w:val="24"/>
              </w:rPr>
            </w:pPr>
            <w:r w:rsidRPr="00FB76A9">
              <w:rPr>
                <w:rFonts w:ascii="Times New Roman" w:hAnsi="Times New Roman" w:cs="Times New Roman"/>
                <w:szCs w:val="24"/>
              </w:rPr>
              <w:t>3. Dyrektor TDT jako organ nadzoru rynku może zawierać porozumienia z Policją lub Strażą gminną (miejską) dotyczące przekazania do użytkowania przyrządów do określania prędkości lub mocy pojazdów, wskazujące warunki i zasady użytkowania tych przyrządów oraz ponoszenia kosztów z tego tytułu.</w:t>
            </w:r>
          </w:p>
          <w:p w14:paraId="635681AF" w14:textId="77777777" w:rsidR="00476E4F" w:rsidRPr="00FB76A9" w:rsidRDefault="00476E4F" w:rsidP="00FD5CD5">
            <w:pPr>
              <w:pStyle w:val="ZARTzmartartykuempunktem"/>
              <w:keepNext/>
              <w:spacing w:line="240" w:lineRule="auto"/>
              <w:ind w:left="0" w:firstLine="0"/>
              <w:jc w:val="left"/>
              <w:rPr>
                <w:rFonts w:ascii="Times New Roman" w:hAnsi="Times New Roman" w:cs="Times New Roman"/>
                <w:szCs w:val="24"/>
              </w:rPr>
            </w:pPr>
          </w:p>
          <w:p w14:paraId="08BA156E" w14:textId="77777777" w:rsidR="009058CE" w:rsidRPr="00FB76A9" w:rsidRDefault="009058CE" w:rsidP="00FD5CD5">
            <w:pPr>
              <w:pStyle w:val="ZARTzmartartykuempunktem"/>
              <w:keepNext/>
              <w:spacing w:line="240" w:lineRule="auto"/>
              <w:ind w:left="70" w:firstLine="0"/>
              <w:jc w:val="left"/>
              <w:rPr>
                <w:rFonts w:ascii="Times New Roman" w:hAnsi="Times New Roman" w:cs="Times New Roman"/>
                <w:szCs w:val="24"/>
              </w:rPr>
            </w:pPr>
            <w:r w:rsidRPr="00FB76A9">
              <w:rPr>
                <w:rFonts w:ascii="Times New Roman" w:hAnsi="Times New Roman" w:cs="Times New Roman"/>
                <w:szCs w:val="24"/>
              </w:rPr>
              <w:t>Art. 68zk.12. W przypadku, gdy organ nadzoru rynku innego państwa członkowskiego Unii Europejskiej lub Komisja Europejska wyda decyzję o wycofaniu z obrotu lub użytkowania pojazdu, przedmiotu wyposażenia lub części, Dyrektor TDT jako organ nadzoru rynku z urzędu wszczyna postępowanie administracyjne w tej sprawie i wydaje decyzję administracyjną o wycofaniu z obrotu lub użytkowania takiego pojazdu, przedmiotu wyposażenia lub części na terytorium Rzeczypospolitej Polskiej.</w:t>
            </w:r>
          </w:p>
          <w:p w14:paraId="65D4E44A" w14:textId="77777777" w:rsidR="009058CE" w:rsidRPr="00FB76A9" w:rsidRDefault="009058CE" w:rsidP="00FD5CD5">
            <w:pPr>
              <w:pStyle w:val="ZARTzmartartykuempunktem"/>
              <w:keepNext/>
              <w:spacing w:line="240" w:lineRule="auto"/>
              <w:ind w:left="70" w:firstLine="0"/>
              <w:jc w:val="left"/>
              <w:rPr>
                <w:rFonts w:ascii="Times New Roman" w:hAnsi="Times New Roman" w:cs="Times New Roman"/>
                <w:szCs w:val="24"/>
              </w:rPr>
            </w:pPr>
          </w:p>
          <w:p w14:paraId="3346E817" w14:textId="77777777" w:rsidR="00476E4F" w:rsidRPr="00FB76A9" w:rsidRDefault="00476E4F" w:rsidP="00FD5CD5">
            <w:pPr>
              <w:pStyle w:val="ZARTzmartartykuempunktem"/>
              <w:keepNext/>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Art. 68u. 1. Dyrektor TDT jako organ nadzoru rynku, dokonuje okresowej analizy prawdopodobieństwa naruszenia przepisów, o której mowa w art. 47 ust. 1 ustawy z dnia 6 marca 2018 r. – Prawo przedsiębiorców.</w:t>
            </w:r>
          </w:p>
          <w:p w14:paraId="424281D6" w14:textId="77777777" w:rsidR="0069736B" w:rsidRPr="00FB76A9" w:rsidRDefault="00476E4F" w:rsidP="005E0F9D">
            <w:pPr>
              <w:pStyle w:val="ZPKTzmpktartykuempunktem"/>
              <w:numPr>
                <w:ilvl w:val="0"/>
                <w:numId w:val="14"/>
              </w:numPr>
              <w:spacing w:line="240" w:lineRule="auto"/>
              <w:jc w:val="left"/>
              <w:rPr>
                <w:rFonts w:ascii="Times New Roman" w:hAnsi="Times New Roman" w:cs="Times New Roman"/>
                <w:szCs w:val="24"/>
              </w:rPr>
            </w:pPr>
            <w:r w:rsidRPr="00FB76A9">
              <w:rPr>
                <w:rFonts w:ascii="Times New Roman" w:hAnsi="Times New Roman" w:cs="Times New Roman"/>
                <w:szCs w:val="24"/>
              </w:rPr>
              <w:t>Analiza, o której mowa w ust. 1, jest przeprowadzana w oparciu o:</w:t>
            </w:r>
          </w:p>
          <w:p w14:paraId="0C7BD386" w14:textId="77777777" w:rsidR="00476E4F" w:rsidRPr="00FB76A9" w:rsidRDefault="00476E4F" w:rsidP="00FD5CD5">
            <w:pPr>
              <w:pStyle w:val="ZPKTzmpktartykuempunktem"/>
              <w:spacing w:line="240" w:lineRule="auto"/>
              <w:ind w:left="360" w:firstLine="0"/>
              <w:jc w:val="left"/>
              <w:rPr>
                <w:rFonts w:ascii="Times New Roman" w:hAnsi="Times New Roman" w:cs="Times New Roman"/>
                <w:szCs w:val="24"/>
              </w:rPr>
            </w:pPr>
            <w:r w:rsidRPr="00FB76A9">
              <w:rPr>
                <w:rFonts w:ascii="Times New Roman" w:hAnsi="Times New Roman" w:cs="Times New Roman"/>
                <w:szCs w:val="24"/>
              </w:rPr>
              <w:t>(…)</w:t>
            </w:r>
          </w:p>
          <w:p w14:paraId="056E7AEC" w14:textId="77777777" w:rsidR="00476E4F" w:rsidRPr="00FB76A9" w:rsidRDefault="00476E4F" w:rsidP="00FD5CD5">
            <w:pPr>
              <w:pStyle w:val="ZPKTzmpktartykuempunktem"/>
              <w:spacing w:line="240" w:lineRule="auto"/>
              <w:ind w:left="360" w:firstLine="0"/>
              <w:jc w:val="left"/>
              <w:rPr>
                <w:rFonts w:ascii="Times New Roman" w:hAnsi="Times New Roman" w:cs="Times New Roman"/>
                <w:szCs w:val="24"/>
              </w:rPr>
            </w:pPr>
            <w:r w:rsidRPr="00FB76A9">
              <w:rPr>
                <w:rFonts w:ascii="Times New Roman" w:hAnsi="Times New Roman" w:cs="Times New Roman"/>
                <w:szCs w:val="24"/>
              </w:rPr>
              <w:t>6)</w:t>
            </w:r>
            <w:r w:rsidRPr="00FB76A9">
              <w:rPr>
                <w:rFonts w:ascii="Times New Roman" w:hAnsi="Times New Roman" w:cs="Times New Roman"/>
                <w:szCs w:val="24"/>
              </w:rPr>
              <w:tab/>
              <w:t>informacje wymieniane w ciągu ostatnich trzech lat na forum wymiany informacji o egzekwowaniu przepisów, o którym mowa w art. 11 rozporządzenia 2018/858;</w:t>
            </w:r>
          </w:p>
          <w:p w14:paraId="7A6E6EE5" w14:textId="77777777" w:rsidR="007F324E" w:rsidRPr="00FB76A9" w:rsidRDefault="007F324E" w:rsidP="00FD5CD5">
            <w:pPr>
              <w:pStyle w:val="ZPKTzmpktartykuempunktem"/>
              <w:spacing w:line="240" w:lineRule="auto"/>
              <w:ind w:left="0" w:firstLine="0"/>
              <w:jc w:val="left"/>
              <w:rPr>
                <w:rFonts w:ascii="Times New Roman" w:hAnsi="Times New Roman" w:cs="Times New Roman"/>
                <w:szCs w:val="24"/>
              </w:rPr>
            </w:pPr>
          </w:p>
          <w:p w14:paraId="79A14C1C" w14:textId="77777777" w:rsidR="007F324E" w:rsidRPr="00FB76A9" w:rsidRDefault="007F324E" w:rsidP="00FD5CD5">
            <w:pPr>
              <w:pStyle w:val="ZPKTzmpktartykuempunktem"/>
              <w:spacing w:line="240" w:lineRule="auto"/>
              <w:ind w:left="208" w:firstLine="0"/>
              <w:jc w:val="left"/>
              <w:rPr>
                <w:rFonts w:ascii="Times New Roman" w:hAnsi="Times New Roman" w:cs="Times New Roman"/>
                <w:szCs w:val="24"/>
              </w:rPr>
            </w:pPr>
            <w:r w:rsidRPr="00FB76A9">
              <w:rPr>
                <w:rFonts w:ascii="Times New Roman" w:hAnsi="Times New Roman" w:cs="Times New Roman"/>
                <w:szCs w:val="24"/>
              </w:rPr>
              <w:t>Art. 68y. 1. Dyrektor TDT jako organ nadzoru rynku z urzędu przeprowadza niezapowiedziane kontrole albo jeżeli uzna to za stosowne – kontrole zapowiedziane, w zakresie weryfikacji spełniania wymagań technicznych przez pojazdy, przedmioty wyposażenia lub części lub stwarzania przez nich ryzyka, w szczególności, gdy uzna zasadność ich wszczęcia, z zachowaniem zasady proporcjonalności, konieczności oraz minimalnej uciążliwości dla podmiotu gospodarczego:</w:t>
            </w:r>
          </w:p>
          <w:p w14:paraId="3BF1D75E" w14:textId="77777777" w:rsidR="007F324E" w:rsidRPr="00FB76A9" w:rsidRDefault="007F324E" w:rsidP="005E0F9D">
            <w:pPr>
              <w:pStyle w:val="ZPKTzmpktartykuempunktem"/>
              <w:numPr>
                <w:ilvl w:val="1"/>
                <w:numId w:val="14"/>
              </w:numPr>
              <w:tabs>
                <w:tab w:val="clear" w:pos="1440"/>
              </w:tabs>
              <w:spacing w:line="240" w:lineRule="auto"/>
              <w:ind w:left="634"/>
              <w:jc w:val="left"/>
              <w:rPr>
                <w:rFonts w:ascii="Times New Roman" w:hAnsi="Times New Roman" w:cs="Times New Roman"/>
                <w:szCs w:val="24"/>
              </w:rPr>
            </w:pPr>
            <w:r w:rsidRPr="00FB76A9">
              <w:rPr>
                <w:rFonts w:ascii="Times New Roman" w:hAnsi="Times New Roman" w:cs="Times New Roman"/>
                <w:szCs w:val="24"/>
              </w:rPr>
              <w:t>na podstawie działań własnych Dyrektora TDT jako organu nadzoru rynku;</w:t>
            </w:r>
          </w:p>
          <w:p w14:paraId="47DFFB1A" w14:textId="77777777" w:rsidR="007F324E" w:rsidRPr="00FB76A9" w:rsidRDefault="007F324E" w:rsidP="005E0F9D">
            <w:pPr>
              <w:pStyle w:val="ZPKTzmpktartykuempunktem"/>
              <w:numPr>
                <w:ilvl w:val="1"/>
                <w:numId w:val="14"/>
              </w:numPr>
              <w:tabs>
                <w:tab w:val="clear" w:pos="1440"/>
              </w:tabs>
              <w:spacing w:line="240" w:lineRule="auto"/>
              <w:ind w:left="492"/>
              <w:jc w:val="left"/>
              <w:rPr>
                <w:rFonts w:ascii="Times New Roman" w:hAnsi="Times New Roman" w:cs="Times New Roman"/>
                <w:szCs w:val="24"/>
              </w:rPr>
            </w:pPr>
            <w:r w:rsidRPr="00FB76A9">
              <w:rPr>
                <w:rFonts w:ascii="Times New Roman" w:hAnsi="Times New Roman" w:cs="Times New Roman"/>
                <w:szCs w:val="24"/>
              </w:rPr>
              <w:t>w związku z informacjami przekazanymi przez Komisję Europejską, inny organ nadzoru rynku, jednolity urząd łącznikowy, o którym mowa w art. 10 ust. 3 rozporządzenia 2019/1020, lub organy celne państw członkowskich Unii Europejskiej;”</w:t>
            </w:r>
          </w:p>
        </w:tc>
        <w:tc>
          <w:tcPr>
            <w:tcW w:w="2268" w:type="dxa"/>
            <w:tcBorders>
              <w:top w:val="single" w:sz="4" w:space="0" w:color="auto"/>
              <w:left w:val="single" w:sz="4" w:space="0" w:color="auto"/>
              <w:bottom w:val="single" w:sz="4" w:space="0" w:color="auto"/>
              <w:right w:val="single" w:sz="4" w:space="0" w:color="auto"/>
            </w:tcBorders>
          </w:tcPr>
          <w:p w14:paraId="76B0F8FF" w14:textId="77777777" w:rsidR="00A54745" w:rsidRPr="00FB76A9" w:rsidRDefault="00A54745" w:rsidP="00FD5CD5">
            <w:pPr>
              <w:pStyle w:val="ZARTzmartartykuempunktem"/>
              <w:keepNext/>
              <w:spacing w:line="240" w:lineRule="auto"/>
              <w:ind w:left="70" w:right="3104" w:firstLine="0"/>
              <w:jc w:val="left"/>
              <w:rPr>
                <w:rFonts w:ascii="Times New Roman" w:hAnsi="Times New Roman" w:cs="Times New Roman"/>
                <w:szCs w:val="24"/>
                <w:highlight w:val="yellow"/>
              </w:rPr>
            </w:pPr>
          </w:p>
        </w:tc>
      </w:tr>
      <w:tr w:rsidR="007F324E" w:rsidRPr="00FB76A9" w14:paraId="1C9D109D" w14:textId="77777777" w:rsidTr="00B923FC">
        <w:trPr>
          <w:trHeight w:val="470"/>
        </w:trPr>
        <w:tc>
          <w:tcPr>
            <w:tcW w:w="988" w:type="dxa"/>
            <w:tcBorders>
              <w:top w:val="single" w:sz="4" w:space="0" w:color="auto"/>
              <w:left w:val="single" w:sz="4" w:space="0" w:color="auto"/>
              <w:bottom w:val="single" w:sz="4" w:space="0" w:color="auto"/>
              <w:right w:val="single" w:sz="4" w:space="0" w:color="auto"/>
            </w:tcBorders>
          </w:tcPr>
          <w:p w14:paraId="7577AFA1" w14:textId="77777777" w:rsidR="007F324E" w:rsidRPr="00FB76A9" w:rsidRDefault="007F324E"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Art. 23</w:t>
            </w:r>
          </w:p>
        </w:tc>
        <w:tc>
          <w:tcPr>
            <w:tcW w:w="4961" w:type="dxa"/>
            <w:vMerge w:val="restart"/>
            <w:tcBorders>
              <w:top w:val="single" w:sz="4" w:space="0" w:color="auto"/>
              <w:left w:val="single" w:sz="4" w:space="0" w:color="auto"/>
              <w:right w:val="single" w:sz="4" w:space="0" w:color="auto"/>
            </w:tcBorders>
          </w:tcPr>
          <w:p w14:paraId="0B9997F8" w14:textId="77777777" w:rsidR="007F324E" w:rsidRPr="00FB76A9" w:rsidRDefault="007F324E"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 23  1.   W przypadku gdy usunięcie niezgodności w odniesieniu do produktu wymaga podjęcia środków w ramach jurysdykcji innego państwa członkowskiego, a środki takie nie wynikają z wymagań art. 16 ust. 7, organ wnioskujący może złożyć należycie uzasadniony wniosek do organu współpracującego w tym innym państwie członkowskim o podjęcie środków egzekwowania.</w:t>
            </w:r>
          </w:p>
          <w:p w14:paraId="1E67CEE7" w14:textId="77777777" w:rsidR="007F324E" w:rsidRPr="00FB76A9" w:rsidRDefault="007F324E"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2.   Organ współpracujący niezwłocznie podejmuje wszelkie stosowne i niezbędne środki egzekwowania, korzystając z uprawnień powierzonych mu na mocy niniejszego rozporządzenia, aby usunąć dany przypadek niezgodności, wykonując uprawnienia określone w art. 14 oraz wszelkie dodatkowe uprawnienia przyznane mu na mocy prawa krajowego.</w:t>
            </w:r>
          </w:p>
          <w:p w14:paraId="0F79242D" w14:textId="77777777" w:rsidR="007F324E" w:rsidRPr="00FB76A9" w:rsidRDefault="007F324E"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3.   Organ współpracujący informuje organ wnioskujący o podjętych lub planowanych środkach, o których mowa w ust. 2.</w:t>
            </w:r>
          </w:p>
          <w:p w14:paraId="356D84ED" w14:textId="77777777" w:rsidR="007F324E" w:rsidRPr="00FB76A9" w:rsidRDefault="007F324E"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Organ współpracujący może odmówić zastosowania się do wniosku o podjęcie środków egzekwowania w dowolnej z poniższych sytuacji:</w:t>
            </w:r>
          </w:p>
          <w:tbl>
            <w:tblPr>
              <w:tblW w:w="5000" w:type="pct"/>
              <w:tblLayout w:type="fixed"/>
              <w:tblCellMar>
                <w:left w:w="0" w:type="dxa"/>
                <w:right w:w="0" w:type="dxa"/>
              </w:tblCellMar>
              <w:tblLook w:val="04A0" w:firstRow="1" w:lastRow="0" w:firstColumn="1" w:lastColumn="0" w:noHBand="0" w:noVBand="1"/>
            </w:tblPr>
            <w:tblGrid>
              <w:gridCol w:w="107"/>
              <w:gridCol w:w="4714"/>
            </w:tblGrid>
            <w:tr w:rsidR="007F324E" w:rsidRPr="00FB76A9" w14:paraId="7B32EE49" w14:textId="77777777" w:rsidTr="00B26E03">
              <w:tc>
                <w:tcPr>
                  <w:tcW w:w="191" w:type="dxa"/>
                  <w:hideMark/>
                </w:tcPr>
                <w:p w14:paraId="459142E0" w14:textId="77777777" w:rsidR="007F324E" w:rsidRPr="00FB76A9" w:rsidRDefault="007F324E"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w:t>
                  </w:r>
                </w:p>
              </w:tc>
              <w:tc>
                <w:tcPr>
                  <w:tcW w:w="9215" w:type="dxa"/>
                  <w:hideMark/>
                </w:tcPr>
                <w:p w14:paraId="70BF6FDA" w14:textId="77777777" w:rsidR="007F324E" w:rsidRPr="00FB76A9" w:rsidRDefault="007F324E"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)organ współpracujący uzna, że organ wnioskujący nie dostarczył wystarczających informacji;</w:t>
                  </w:r>
                </w:p>
              </w:tc>
            </w:tr>
          </w:tbl>
          <w:p w14:paraId="6BEC5C87" w14:textId="77777777" w:rsidR="007F324E" w:rsidRPr="00FB76A9" w:rsidRDefault="007F324E" w:rsidP="00FD5CD5">
            <w:pPr>
              <w:shd w:val="clear" w:color="auto" w:fill="FFFFFF"/>
              <w:spacing w:after="0" w:line="240" w:lineRule="auto"/>
              <w:rPr>
                <w:rFonts w:ascii="Times New Roman" w:eastAsia="Times New Roman" w:hAnsi="Times New Roman" w:cs="Times New Roman"/>
                <w:vanish/>
                <w:sz w:val="24"/>
                <w:szCs w:val="24"/>
                <w:lang w:eastAsia="pl-PL"/>
              </w:rPr>
            </w:pPr>
          </w:p>
          <w:tbl>
            <w:tblPr>
              <w:tblW w:w="5000" w:type="pct"/>
              <w:tblLayout w:type="fixed"/>
              <w:tblCellMar>
                <w:left w:w="0" w:type="dxa"/>
                <w:right w:w="0" w:type="dxa"/>
              </w:tblCellMar>
              <w:tblLook w:val="04A0" w:firstRow="1" w:lastRow="0" w:firstColumn="1" w:lastColumn="0" w:noHBand="0" w:noVBand="1"/>
            </w:tblPr>
            <w:tblGrid>
              <w:gridCol w:w="112"/>
              <w:gridCol w:w="4709"/>
            </w:tblGrid>
            <w:tr w:rsidR="007F324E" w:rsidRPr="00FB76A9" w14:paraId="26457367" w14:textId="77777777" w:rsidTr="00B26E03">
              <w:tc>
                <w:tcPr>
                  <w:tcW w:w="200" w:type="dxa"/>
                  <w:hideMark/>
                </w:tcPr>
                <w:p w14:paraId="65A6AA8A" w14:textId="77777777" w:rsidR="007F324E" w:rsidRPr="00FB76A9" w:rsidRDefault="007F324E"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b</w:t>
                  </w:r>
                </w:p>
              </w:tc>
              <w:tc>
                <w:tcPr>
                  <w:tcW w:w="9206" w:type="dxa"/>
                  <w:hideMark/>
                </w:tcPr>
                <w:p w14:paraId="45E967F1" w14:textId="77777777" w:rsidR="007F324E" w:rsidRPr="00FB76A9" w:rsidRDefault="007F324E"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)organ współpracujący uzna wniosek za sprzeczny z unijnym prawodawstwem harmonizacyjnym;</w:t>
                  </w:r>
                </w:p>
              </w:tc>
            </w:tr>
          </w:tbl>
          <w:p w14:paraId="5168EAA4" w14:textId="77777777" w:rsidR="007F324E" w:rsidRPr="00FB76A9" w:rsidRDefault="007F324E" w:rsidP="00FD5CD5">
            <w:pPr>
              <w:shd w:val="clear" w:color="auto" w:fill="FFFFFF"/>
              <w:spacing w:after="0" w:line="240" w:lineRule="auto"/>
              <w:rPr>
                <w:rFonts w:ascii="Times New Roman" w:eastAsia="Times New Roman" w:hAnsi="Times New Roman" w:cs="Times New Roman"/>
                <w:vanish/>
                <w:sz w:val="24"/>
                <w:szCs w:val="24"/>
                <w:lang w:eastAsia="pl-PL"/>
              </w:rPr>
            </w:pPr>
          </w:p>
          <w:tbl>
            <w:tblPr>
              <w:tblW w:w="5000" w:type="pct"/>
              <w:tblLayout w:type="fixed"/>
              <w:tblCellMar>
                <w:left w:w="0" w:type="dxa"/>
                <w:right w:w="0" w:type="dxa"/>
              </w:tblCellMar>
              <w:tblLook w:val="04A0" w:firstRow="1" w:lastRow="0" w:firstColumn="1" w:lastColumn="0" w:noHBand="0" w:noVBand="1"/>
            </w:tblPr>
            <w:tblGrid>
              <w:gridCol w:w="105"/>
              <w:gridCol w:w="4716"/>
            </w:tblGrid>
            <w:tr w:rsidR="007F324E" w:rsidRPr="00FB76A9" w14:paraId="08AED71B" w14:textId="77777777" w:rsidTr="00B26E03">
              <w:tc>
                <w:tcPr>
                  <w:tcW w:w="187" w:type="dxa"/>
                  <w:hideMark/>
                </w:tcPr>
                <w:p w14:paraId="40FE8692" w14:textId="77777777" w:rsidR="007F324E" w:rsidRPr="00FB76A9" w:rsidRDefault="007F324E"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c</w:t>
                  </w:r>
                </w:p>
              </w:tc>
              <w:tc>
                <w:tcPr>
                  <w:tcW w:w="9219" w:type="dxa"/>
                  <w:hideMark/>
                </w:tcPr>
                <w:p w14:paraId="7F7D6594" w14:textId="77777777" w:rsidR="007F324E" w:rsidRPr="00FB76A9" w:rsidRDefault="007F324E"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)organ współpracujący wykaże uzasadnione powody, które wskazują, że zastosowanie się do wniosku mogłoby znacznie utrudnić wykonywanie jego własnej działalności.”</w:t>
                  </w:r>
                </w:p>
              </w:tc>
            </w:tr>
          </w:tbl>
          <w:p w14:paraId="367ECF7F" w14:textId="77777777" w:rsidR="007F324E" w:rsidRPr="00FB76A9" w:rsidRDefault="007F324E" w:rsidP="00FD5CD5">
            <w:pPr>
              <w:pStyle w:val="oj-normal"/>
              <w:shd w:val="clear" w:color="auto" w:fill="FFFFFF"/>
              <w:spacing w:before="0" w:beforeAutospacing="0" w:after="0" w:afterAutospacing="0"/>
            </w:pPr>
          </w:p>
          <w:p w14:paraId="39EB06D1" w14:textId="77777777" w:rsidR="007F324E" w:rsidRPr="00FB76A9" w:rsidRDefault="007F324E" w:rsidP="00FD5CD5">
            <w:pPr>
              <w:pStyle w:val="oj-normal"/>
              <w:shd w:val="clear" w:color="auto" w:fill="FFFFFF"/>
              <w:spacing w:before="0" w:beforeAutospacing="0" w:after="0" w:afterAutospacing="0"/>
            </w:pPr>
            <w:r w:rsidRPr="00FB76A9">
              <w:t>„Art. 24  1.   Przed złożeniem wniosku na mocy art. 22 lub 23 organ wnioskujący dokłada wszelkich starań, aby przeprowadzić wszelkie możliwe postępowania.</w:t>
            </w:r>
          </w:p>
          <w:p w14:paraId="087144F0" w14:textId="77777777" w:rsidR="007F324E" w:rsidRPr="00FB76A9" w:rsidRDefault="007F324E" w:rsidP="00FD5CD5">
            <w:pPr>
              <w:pStyle w:val="oj-normal"/>
              <w:shd w:val="clear" w:color="auto" w:fill="FFFFFF"/>
              <w:spacing w:before="0" w:beforeAutospacing="0" w:after="0" w:afterAutospacing="0"/>
            </w:pPr>
            <w:r w:rsidRPr="00FB76A9">
              <w:t>2.   Składając wniosek, o którym mowa w art. 22 lub 23, organ wnioskujący udziela wszelkich dostępnych informacji, by umożliwić organowi współpracującemu zrealizowanie wniosku, w tym przekazuje wszelkie dowody możliwe do uzyskania wyłącznie w państwie członkowskim organu wnioskującego.</w:t>
            </w:r>
          </w:p>
          <w:p w14:paraId="7C6E69D3" w14:textId="77777777" w:rsidR="007F324E" w:rsidRPr="00FB76A9" w:rsidRDefault="007F324E" w:rsidP="00FD5CD5">
            <w:pPr>
              <w:pStyle w:val="oj-normal"/>
              <w:shd w:val="clear" w:color="auto" w:fill="FFFFFF"/>
              <w:spacing w:before="0" w:beforeAutospacing="0" w:after="0" w:afterAutospacing="0"/>
            </w:pPr>
            <w:r w:rsidRPr="00FB76A9">
              <w:t>3.   Do celów przekazywania wniosków, o których mowa w art. 22 i 23, i prowadzenia całej związanej z nimi komunikacji stosuje system informacyjny i komunikacyjny, o którym mowa w art. 34, z wykorzystaniem elektronicznych standardowych formularzy.</w:t>
            </w:r>
          </w:p>
          <w:p w14:paraId="32DEBE29" w14:textId="77777777" w:rsidR="007F324E" w:rsidRPr="00FB76A9" w:rsidRDefault="007F324E" w:rsidP="00FD5CD5">
            <w:pPr>
              <w:pStyle w:val="oj-normal"/>
              <w:shd w:val="clear" w:color="auto" w:fill="FFFFFF"/>
              <w:spacing w:before="0" w:beforeAutospacing="0" w:after="0" w:afterAutospacing="0"/>
            </w:pPr>
            <w:r w:rsidRPr="00FB76A9">
              <w:t>4.   Komunikacja odbywa się bezpośrednio między zaangażowanymi organami nadzoru rynku lub za pośrednictwem jednolitych urzędów łącznikowych zainteresowanych państw członkowskich.</w:t>
            </w:r>
          </w:p>
          <w:p w14:paraId="26320423" w14:textId="77777777" w:rsidR="007F324E" w:rsidRPr="00FB76A9" w:rsidRDefault="007F324E" w:rsidP="00FD5CD5">
            <w:pPr>
              <w:pStyle w:val="oj-normal"/>
              <w:shd w:val="clear" w:color="auto" w:fill="FFFFFF"/>
              <w:spacing w:before="0" w:beforeAutospacing="0" w:after="0" w:afterAutospacing="0"/>
            </w:pPr>
            <w:r w:rsidRPr="00FB76A9">
              <w:t>5.   Zainteresowane organy nadzoru rynku uzgadniają, jakie języki mają być stosowane we wnioskach, o których mowa w art. 22 i 23, oraz podczas prowadzenia całej związanej z nimi komunikacji.</w:t>
            </w:r>
          </w:p>
          <w:p w14:paraId="67D57300" w14:textId="77777777" w:rsidR="007F324E" w:rsidRPr="00FB76A9" w:rsidRDefault="007F324E" w:rsidP="00FD5CD5">
            <w:pPr>
              <w:pStyle w:val="oj-normal"/>
              <w:shd w:val="clear" w:color="auto" w:fill="FFFFFF"/>
              <w:spacing w:before="0" w:beforeAutospacing="0" w:after="0" w:afterAutospacing="0"/>
            </w:pPr>
            <w:r w:rsidRPr="00FB76A9">
              <w:t>6.   Jeżeli zainteresowane organy nadzoru rynku nie są w stanie osiągnąć porozumienia w sprawie stosowanych języków, wnioski, o których mowa w art. 22 i 23, przesyła się w języku urzędowym państwa członkowskiego organu wnioskującego, a odpowiedzi na takie wnioski – w języku urzędowym państwa członkowskiego organu współpracującego. W takim przypadku organ wnioskujący i organ współpracujący zapewniają tłumaczenie wniosków, odpowiedzi lub innych dokumentów otrzymanych od drugiego organu.</w:t>
            </w:r>
          </w:p>
          <w:p w14:paraId="02A9C15D" w14:textId="77777777" w:rsidR="007F324E" w:rsidRPr="00FB76A9" w:rsidRDefault="007F324E" w:rsidP="00FD5CD5">
            <w:pPr>
              <w:pStyle w:val="oj-normal"/>
              <w:shd w:val="clear" w:color="auto" w:fill="FFFFFF"/>
              <w:spacing w:before="0" w:beforeAutospacing="0" w:after="0" w:afterAutospacing="0"/>
            </w:pPr>
            <w:r w:rsidRPr="00FB76A9">
              <w:t>7.   System informacyjny i komunikacyjny, o którym mowa w art. 34, zapewnia zainteresowanym jednolitym urzędom łącznikowym uporządkowane informacje na temat przypadków wzajemnej pomocy. Korzystając z tych informacji, jednolite urzędy łącznikowe udzielają wszelkiego wsparcia niezbędnego do ułatwienia pomocy.”</w:t>
            </w:r>
          </w:p>
          <w:p w14:paraId="456BB1A6" w14:textId="77777777" w:rsidR="007F324E" w:rsidRPr="00FB76A9" w:rsidRDefault="007F324E" w:rsidP="00FD5CD5">
            <w:pPr>
              <w:pStyle w:val="oj-normal"/>
              <w:shd w:val="clear" w:color="auto" w:fill="FFFFFF"/>
              <w:spacing w:before="0" w:after="0"/>
            </w:pPr>
          </w:p>
        </w:tc>
        <w:tc>
          <w:tcPr>
            <w:tcW w:w="850" w:type="dxa"/>
            <w:gridSpan w:val="2"/>
            <w:vMerge w:val="restart"/>
            <w:tcBorders>
              <w:top w:val="single" w:sz="4" w:space="0" w:color="auto"/>
              <w:left w:val="single" w:sz="4" w:space="0" w:color="auto"/>
              <w:right w:val="single" w:sz="4" w:space="0" w:color="auto"/>
            </w:tcBorders>
          </w:tcPr>
          <w:p w14:paraId="4F8B153B" w14:textId="77777777" w:rsidR="007F324E" w:rsidRPr="00FB76A9" w:rsidRDefault="007F324E"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851" w:type="dxa"/>
            <w:gridSpan w:val="2"/>
            <w:vMerge w:val="restart"/>
            <w:tcBorders>
              <w:top w:val="single" w:sz="4" w:space="0" w:color="auto"/>
              <w:left w:val="single" w:sz="4" w:space="0" w:color="auto"/>
              <w:right w:val="single" w:sz="4" w:space="0" w:color="auto"/>
            </w:tcBorders>
          </w:tcPr>
          <w:p w14:paraId="25BA66CE" w14:textId="77777777" w:rsidR="007F324E" w:rsidRDefault="007F324E"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 1 pkt 21</w:t>
            </w:r>
          </w:p>
          <w:p w14:paraId="7B06B5AA"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B7429E0"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2775E9A"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787506D2"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C938E11"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03BDEBAF"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8075352"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C1433DA"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E15FB79"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C5D4385"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00F43B2F"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48F22D6"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72383E63"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72BE4EB7"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09DEB68C"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00DDA46"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E7B78DB"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11D86A10"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669AF12"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0F6E156A"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0D384F1D"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43FC993"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E24F586"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AEC0FD0"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D277B3F"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EB0142D"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402D897"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0C3BF552"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733F03CF"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381FECE"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D19002D"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032881F0"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40D8185"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52EA109"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78E4BF51"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7A8C7996"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7A2176BC"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70D50540"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7376B4D"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41C36F9"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975CBAB"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7133777"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74389A1"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5039E35"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6D94459"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81FF627"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D331E9F"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1D2A752F"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00DE4121"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975332D"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0393B49"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EA44114"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E6162C6"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9171CD9"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6BA7F48"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7BB1CDCF"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F318A8A"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A9CB236"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86DB8FA"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45E3639"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1D52F5A9"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12A71CC7"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007C39A"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4E7C576"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A8F0387"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1B872CB5"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BCAED5A"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300681E"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1A7193E"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2805143"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FBA6D33"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DFC3303"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F3DF31A"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76A3ED55"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09D4BB43"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120A3AD"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1C33EF61"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0F731350"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CB8AAF2"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382D94F"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DD78BE9"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11F25D0"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2FA70EE"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CCB4888"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DAA5CBA"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BB424CF"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78F4FFD9"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A082256"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51A3CD8"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A9D111E"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6A6A642"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244FD34"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0BB29BD2"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E10784A"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8E3A725"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108FFE60"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7F1E6ABC"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CF1A189"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CCEECB1"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95B4007"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1CB444F5"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AC61A82"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CF3CD36"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0145E3F"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8705141"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17EA1790"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0A96A6D7"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08B2A12"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05D9D593"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10E3247F"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74FBE989"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7F3B1EF5"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1A1F9651"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8D657E6"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1F6EE6A"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9254CDF"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0702E43A"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14FA370D"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E1EA71E"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8FE08FB"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4AB7248"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04BF99D"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DB3E47C"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9514AD4"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1EB0826E"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74888083"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3B71787"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120E6C4A"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E5D08FB"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22E6491"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8D4F148"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0C39327F"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0952F5BA"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EA98DE7"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9B5ACA2"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9ACBB43"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298CF35"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1B52043D"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47965C9"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042B0C1"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0983A2B3"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1A05648D"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BEF3F8D"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0465E542"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418D111"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7196CF0"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05752562"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7A27CD2E"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3F760D5"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44AC6CA"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3B8ED13"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86BECDC"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F6A9088"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6379EBA"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7ED12001"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7C5CFC8"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AC10A97"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1AC02204"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7E5C127"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42FDCDF"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B391979"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8931538"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7DA1CC26"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321C098"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00E66B8D"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2B8BC04"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411BD59"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799C0C8"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08598C1"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041E90C"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B964F65"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070ADF5"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DCE68CB"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29716F4"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19585500"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CC1A9FA"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CA2D8E0"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E66E95B"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7D133C0B"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5F37917"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8795460"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71A6CBBA"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6E28B25"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C00C58F"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4A7E4DB"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58035A3B"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13A97DE0"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684EB830"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EFD0406"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3B9013F3"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215A2CD8"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1B770C99" w14:textId="77777777" w:rsidR="00AB694F" w:rsidRDefault="00AB694F" w:rsidP="00FD5CD5">
            <w:pPr>
              <w:spacing w:after="0" w:line="240" w:lineRule="auto"/>
              <w:rPr>
                <w:rFonts w:ascii="Times New Roman" w:eastAsia="Times New Roman" w:hAnsi="Times New Roman" w:cs="Times New Roman"/>
                <w:sz w:val="24"/>
                <w:szCs w:val="24"/>
                <w:lang w:eastAsia="pl-PL"/>
              </w:rPr>
            </w:pPr>
          </w:p>
          <w:p w14:paraId="412B10EA"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 1 pkt 21</w:t>
            </w:r>
          </w:p>
        </w:tc>
        <w:tc>
          <w:tcPr>
            <w:tcW w:w="5103" w:type="dxa"/>
            <w:gridSpan w:val="2"/>
            <w:vMerge w:val="restart"/>
            <w:tcBorders>
              <w:top w:val="single" w:sz="4" w:space="0" w:color="auto"/>
              <w:left w:val="single" w:sz="4" w:space="0" w:color="auto"/>
              <w:right w:val="single" w:sz="4" w:space="0" w:color="auto"/>
            </w:tcBorders>
          </w:tcPr>
          <w:p w14:paraId="2C34B7DA" w14:textId="77777777" w:rsidR="002964B4" w:rsidRDefault="002964B4" w:rsidP="00FD5CD5">
            <w:pPr>
              <w:pStyle w:val="ZARTzmartartykuempunktem"/>
              <w:keepNext/>
              <w:spacing w:line="240" w:lineRule="auto"/>
              <w:ind w:left="0" w:firstLine="0"/>
              <w:jc w:val="left"/>
              <w:rPr>
                <w:rFonts w:ascii="Times New Roman" w:hAnsi="Times New Roman" w:cs="Times New Roman"/>
                <w:szCs w:val="24"/>
              </w:rPr>
            </w:pPr>
            <w:bookmarkStart w:id="73" w:name="_Hlk232403452"/>
            <w:r w:rsidRPr="007A610C">
              <w:rPr>
                <w:rFonts w:ascii="Times New Roman" w:hAnsi="Times New Roman" w:cs="Times New Roman"/>
                <w:szCs w:val="24"/>
              </w:rPr>
              <w:t>„Art. 68s</w:t>
            </w:r>
            <w:r>
              <w:rPr>
                <w:rFonts w:ascii="Times New Roman" w:hAnsi="Times New Roman" w:cs="Times New Roman"/>
                <w:szCs w:val="24"/>
              </w:rPr>
              <w:t xml:space="preserve"> </w:t>
            </w:r>
            <w:r w:rsidRPr="002964B4">
              <w:rPr>
                <w:rFonts w:ascii="Times New Roman" w:hAnsi="Times New Roman" w:cs="Times New Roman"/>
                <w:szCs w:val="24"/>
              </w:rPr>
              <w:t>1. Dyrektor TDT jako organ nadzoru rynku jest uprawniony do:</w:t>
            </w:r>
          </w:p>
          <w:p w14:paraId="7D7DEDAC" w14:textId="77777777" w:rsidR="002964B4" w:rsidRDefault="002964B4" w:rsidP="00FD5CD5">
            <w:pPr>
              <w:pStyle w:val="ZARTzmartartykuempunktem"/>
              <w:keepNext/>
              <w:spacing w:line="240" w:lineRule="auto"/>
              <w:ind w:left="0" w:firstLine="0"/>
              <w:jc w:val="left"/>
              <w:rPr>
                <w:rFonts w:ascii="Times New Roman" w:hAnsi="Times New Roman" w:cs="Times New Roman"/>
                <w:szCs w:val="24"/>
              </w:rPr>
            </w:pPr>
            <w:r w:rsidRPr="002964B4">
              <w:rPr>
                <w:rFonts w:ascii="Times New Roman" w:hAnsi="Times New Roman" w:cs="Times New Roman"/>
                <w:szCs w:val="24"/>
              </w:rPr>
              <w:t>2)</w:t>
            </w:r>
            <w:r w:rsidRPr="002964B4">
              <w:rPr>
                <w:rFonts w:ascii="Times New Roman" w:hAnsi="Times New Roman" w:cs="Times New Roman"/>
                <w:szCs w:val="24"/>
              </w:rPr>
              <w:tab/>
              <w:t>realizacji zadań, o których mowa w art. 12, art. 22−24 i rozdziale VII rozporządzenia 2019/1020;</w:t>
            </w:r>
            <w:r>
              <w:rPr>
                <w:rFonts w:ascii="Times New Roman" w:hAnsi="Times New Roman" w:cs="Times New Roman"/>
                <w:szCs w:val="24"/>
              </w:rPr>
              <w:t>”</w:t>
            </w:r>
          </w:p>
          <w:bookmarkEnd w:id="73"/>
          <w:p w14:paraId="6313EAA0" w14:textId="77777777" w:rsidR="002964B4" w:rsidRDefault="002964B4" w:rsidP="00FD5CD5">
            <w:pPr>
              <w:pStyle w:val="ZARTzmartartykuempunktem"/>
              <w:keepNext/>
              <w:spacing w:line="240" w:lineRule="auto"/>
              <w:ind w:left="70" w:firstLine="0"/>
              <w:jc w:val="left"/>
              <w:rPr>
                <w:rFonts w:ascii="Times New Roman" w:hAnsi="Times New Roman" w:cs="Times New Roman"/>
                <w:szCs w:val="24"/>
              </w:rPr>
            </w:pPr>
          </w:p>
          <w:p w14:paraId="0E1CE1CE" w14:textId="77777777" w:rsidR="007F324E" w:rsidRPr="00FB76A9" w:rsidRDefault="007F324E" w:rsidP="00FD5CD5">
            <w:pPr>
              <w:pStyle w:val="ZARTzmartartykuempunktem"/>
              <w:keepNext/>
              <w:spacing w:line="240" w:lineRule="auto"/>
              <w:ind w:left="70" w:firstLine="0"/>
              <w:jc w:val="left"/>
              <w:rPr>
                <w:rFonts w:ascii="Times New Roman" w:hAnsi="Times New Roman" w:cs="Times New Roman"/>
                <w:szCs w:val="24"/>
              </w:rPr>
            </w:pPr>
            <w:r w:rsidRPr="00FB76A9">
              <w:rPr>
                <w:rFonts w:ascii="Times New Roman" w:hAnsi="Times New Roman" w:cs="Times New Roman"/>
                <w:szCs w:val="24"/>
              </w:rPr>
              <w:t>„Art. 68zk. 1. Dyrektor TDT jako organ nadzoru rynku w decyzji, o której mowa w art. 68zj ust. 1, nakazuje podmiotowi gospodarczemu w określonym terminie:</w:t>
            </w:r>
          </w:p>
          <w:p w14:paraId="050F61F9"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podać do publicznej wiadomości w sposób wskazany w decyzji informację o pojeździe, przedmiocie wyposażenia lub części objętych obowiązkiem wycofania z obrotu lub użytkowania oraz</w:t>
            </w:r>
          </w:p>
          <w:p w14:paraId="3A2E4188"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 xml:space="preserve">usunięcie niezgodności z wymaganiami technicznymi lub usunięcie ryzyka, a w przypadku gdy ich usunięcie nie jest możliwe, zakazuje udostępniania na rynku pojazdu, przedmiotu wyposażenia lub części; w przypadku gdy pojazd, przedmiot wyposażenia lub część zostały już udostępnione, nakazuje ich wycofanie z obrotu lub użytkowania oraz nakazuje odkupienie pojazdu, przedmiotu wyposażenia lub części od użytkowników końcowych albo wymianę na nowy pojazd, przedmiot wyposażenia lub część zgodne z wymaganiami technicznymi. </w:t>
            </w:r>
          </w:p>
          <w:p w14:paraId="1B94E177"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2. W decyzji, o której mowa w art. 68zj ust. 1, Dyrektor TDT jako organ nadzoru rynku może:</w:t>
            </w:r>
          </w:p>
          <w:p w14:paraId="399A4AA7"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 xml:space="preserve">1) </w:t>
            </w:r>
            <w:r w:rsidRPr="00FB76A9">
              <w:rPr>
                <w:rFonts w:ascii="Times New Roman" w:hAnsi="Times New Roman" w:cs="Times New Roman"/>
                <w:szCs w:val="24"/>
              </w:rPr>
              <w:tab/>
              <w:t>określić warunki na jakich pojazd, przedmiot wyposażenia lub część mogą być udostępniane na rynku;</w:t>
            </w:r>
          </w:p>
          <w:p w14:paraId="6F2EB9E3"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 xml:space="preserve">2) </w:t>
            </w:r>
            <w:r w:rsidRPr="00FB76A9">
              <w:rPr>
                <w:rFonts w:ascii="Times New Roman" w:hAnsi="Times New Roman" w:cs="Times New Roman"/>
                <w:szCs w:val="24"/>
              </w:rPr>
              <w:tab/>
              <w:t>nakazać umieszczenie na pojeździe, przedmiocie wyposażenia lub części ostrzeżeń o ryzyku jakie pojazd, przedmiot wyposażenia lub część mogą stwarzać;</w:t>
            </w:r>
          </w:p>
          <w:p w14:paraId="6E9E35C5" w14:textId="77777777" w:rsidR="007F324E" w:rsidRPr="00FB76A9" w:rsidRDefault="00CF3C6A" w:rsidP="00FD5CD5">
            <w:pPr>
              <w:pStyle w:val="ZARTzmartartykuempunktem"/>
              <w:keepNext/>
              <w:spacing w:line="240" w:lineRule="auto"/>
              <w:ind w:left="70"/>
              <w:jc w:val="left"/>
              <w:rPr>
                <w:rFonts w:ascii="Times New Roman" w:hAnsi="Times New Roman" w:cs="Times New Roman"/>
                <w:szCs w:val="24"/>
              </w:rPr>
            </w:pPr>
            <w:r w:rsidRPr="00EC084A">
              <w:rPr>
                <w:rFonts w:ascii="Times New Roman" w:hAnsi="Times New Roman" w:cs="Times New Roman"/>
                <w:szCs w:val="24"/>
              </w:rPr>
              <w:t xml:space="preserve">3) </w:t>
            </w:r>
            <w:r w:rsidRPr="00EC084A">
              <w:t>nakazać zniszczenie pojazdu, przedmiotu wyposażenia lub części, w przypadku, gdy pojazd, przedmiot wyposażenia lub część stwarzają poważne ryzyko i nie da się tego ryzyka usunąć – w określonym terminie po odkupieniu pojazdu, przedmiotu wyposażenia lub części od użytkownika końcowego albo wymianie na nowy pojazd, przedmiot wyposażenia lub część zgodną z wymaganiami technicznymi,</w:t>
            </w:r>
          </w:p>
          <w:p w14:paraId="4681AD98"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4)</w:t>
            </w:r>
            <w:r w:rsidRPr="00FB76A9">
              <w:rPr>
                <w:rFonts w:ascii="Times New Roman" w:hAnsi="Times New Roman" w:cs="Times New Roman"/>
                <w:szCs w:val="24"/>
              </w:rPr>
              <w:tab/>
              <w:t>nakazać usunięcie lub zablokowanie dostępu do ofert dotyczących pojazdu, przedmiotu wyposażenia i części</w:t>
            </w:r>
          </w:p>
          <w:p w14:paraId="77ED70C3"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 xml:space="preserve">– w zależności od rodzaju stwierdzonych niezgodności z wymaganiami technicznymi lub stopnia ryzyka stwarzanego przez pojazd, przedmiot wyposażenia lub część. </w:t>
            </w:r>
          </w:p>
          <w:p w14:paraId="6B0BF328"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3. Podmiot lub osoba posiadająca tytuł prawny do pojazdu, przedmiotu wyposażenia lub części objętego decyzją, o której mowa w art. 68zj ust. 1, ma prawo żądać od podmiotu gospodarczego, który wprowadził do obrotu ten pojazd, przedmiot wyposażenia lub część, odkupienia po cenie sprzedaży albo wymiany na nowy pojazd, przedmiot wyposażenia lub część spełniające wymagania techniczne lub niestwarzające poważnego ryzyka.</w:t>
            </w:r>
          </w:p>
          <w:p w14:paraId="447C2B5C"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 xml:space="preserve">4. W przypadku braku realizacji żądania, o którym mowa w ust. 3, podmiot lub osoba posiadająca tytuł prawny, o której mowa w ust. 3, powiadamia o tym Dyrektora TDT jako organ nadzoru rynku. </w:t>
            </w:r>
          </w:p>
          <w:p w14:paraId="6A983C90"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 xml:space="preserve">5. Podmiot gospodarczy powiadamia Dyrektora TDT jako organ nadzoru rynku o wykonaniu decyzji, o której mowa w art. 68zj ust. 1, w terminie 14 dni od dnia upływu terminu wskazanego w tej decyzji. </w:t>
            </w:r>
          </w:p>
          <w:p w14:paraId="6D585FD7"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6. Jeżeli podmiot gospodarczy nie wykonał decyzji, o której mowa w art. 68zj ust. 1, w zakresie określonym w art. 68zk ust. 2 pkt 4, Dyrektor TDT jako organ nadzoru rynku, w drodze decyzji administracyjnej nakazuje operatorowi platformy usunięcie z interfejsu online treści odnoszących się do oferty pojazdów, przedmiotów wyposażenia lub części, zawieszenie konta podmiotu gospodarczego na platformie lub wyświetlanie wyraźnego ostrzeżenia dla użytkowników końcowych uzyskujących dostęp do oferty tego pojazdu, przedmiotu wyposażenia lub części.</w:t>
            </w:r>
          </w:p>
          <w:p w14:paraId="72619AC9"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7. W decyzji, o której mowa w ust. 6, określa się:</w:t>
            </w:r>
          </w:p>
          <w:p w14:paraId="257C0F93"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nazwę podmiotu gospodarczego, wobec którego wydano decyzję, o której mowa w art. 68zj ust. 1;</w:t>
            </w:r>
          </w:p>
          <w:p w14:paraId="236E4C4D"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określenie treści odnoszących się do oferty dotyczących pojazdu, przedmiotu wyposażenia lub części objętego decyzją, o której mowa w art. 68zj ust. 1;</w:t>
            </w:r>
          </w:p>
          <w:p w14:paraId="5971EDE7"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 xml:space="preserve">3) </w:t>
            </w:r>
            <w:r w:rsidRPr="00FB76A9">
              <w:rPr>
                <w:rFonts w:ascii="Times New Roman" w:hAnsi="Times New Roman" w:cs="Times New Roman"/>
                <w:szCs w:val="24"/>
              </w:rPr>
              <w:tab/>
              <w:t>określenie treści nakazu, w tym treść ostrzeżenia dla użytkowników końcowych;</w:t>
            </w:r>
          </w:p>
          <w:p w14:paraId="02C09F26"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4)</w:t>
            </w:r>
            <w:r w:rsidRPr="00FB76A9">
              <w:rPr>
                <w:rFonts w:ascii="Times New Roman" w:hAnsi="Times New Roman" w:cs="Times New Roman"/>
                <w:szCs w:val="24"/>
              </w:rPr>
              <w:tab/>
              <w:t>termin wykonania decyzji.</w:t>
            </w:r>
          </w:p>
          <w:p w14:paraId="32A61B52"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8. Jeżeli podmiot gospodarczy nie wykonał decyzji, o której mowa w art. 68zj ust. 1 w zakresie określonym w art. 68zk ust. 2 pkt 4, oraz jeżeli jest konieczne podjęcie natychmiastowego działania mającego na celu usunięcie poważnego ryzyka stwarzanego przez pojazd, przedmiot wyposażenia lub część objętego decyzją lub doprowadzenie ich do stanu zgodności z wymaganiami technicznymi, Dyrektor TDT jako organ nadzoru rynku w drodze decyzji administracyjnej, nakazuje dostawcy usług społeczeństwa informacyjnego nieodpłatne ograniczenie temu podmiotowi, dostępu do interfejsu online lub wyłączenie dostępu do interfejsu online.</w:t>
            </w:r>
          </w:p>
          <w:p w14:paraId="2972DA35"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9. W decyzji, o której mowa w ust. 8, określa się:</w:t>
            </w:r>
          </w:p>
          <w:p w14:paraId="3629DD53"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nazwę podmiotu gospodarczego, wobec którego wydano decyzję, o której mowa w art. 68zj ust. 1;</w:t>
            </w:r>
          </w:p>
          <w:p w14:paraId="7F1C8A39"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szczegółowe dane dotyczące interfejsu online, do którego dostęp podlega ograniczeniu lub wyłączeniu;</w:t>
            </w:r>
          </w:p>
          <w:p w14:paraId="04EF9B15"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3)</w:t>
            </w:r>
            <w:r w:rsidRPr="00FB76A9">
              <w:rPr>
                <w:rFonts w:ascii="Times New Roman" w:hAnsi="Times New Roman" w:cs="Times New Roman"/>
                <w:szCs w:val="24"/>
              </w:rPr>
              <w:tab/>
              <w:t>termin wykonania decyzji.</w:t>
            </w:r>
          </w:p>
          <w:p w14:paraId="771D172B"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 xml:space="preserve">10. Decyzje, o których mowa w ust. 6 i 8, podlegają natychmiastowemu  wykonaniu. </w:t>
            </w:r>
          </w:p>
          <w:p w14:paraId="320EC2B6"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11. Operator platformy oraz dostawca usług społeczeństwa informacyjnego powiadamia Dyrektora TDT jako organ nadzoru rynku o wykonaniu decyzji, o której mowa w ust. 6 i 8, w terminie 14 dni od upływu tego termin wskazanego w tej decyzji.</w:t>
            </w:r>
          </w:p>
          <w:p w14:paraId="7B507DC8"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12. W przypadku, gdy organ nadzoru rynku innego państwa członkowskiego Unii Europejskiej lub Komisja Europejska wyda decyzję o wycofaniu z obrotu lub użytkowania pojazdu, przedmiotu wyposażenia lub części, Dyrektor TDT jako organ nadzoru rynku z urzędu wszczyna postępowanie administracyjne w tej sprawie i wydaje decyzję administracyjną o wycofaniu z obrotu lub użytkowania takiego pojazdu, przedmiotu wyposażenia lub części na terytorium Rzeczypospolitej Polskiej.</w:t>
            </w:r>
          </w:p>
          <w:p w14:paraId="59F64E4D"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 xml:space="preserve">13. W przypadku, gdy decyzja, o której mowa w art. 68zj ust. 1, dotyczy dystrybutora, środki naprawcze przewidziane w decyzji mają zastosowanie wyłącznie wobec pojazdów, przedmiotów wyposażenia lub części, które zostały przez niego udostępnione na rynku. </w:t>
            </w:r>
          </w:p>
          <w:p w14:paraId="5926C87F"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Art. 68zl. 1. Dyrektor TDT jako organ nadzoru rynku po wydaniu decyzji, o której mowa w art. 68zj ust. 1 lub art. 68zk ust. 12, informuje organ właściwy w sprawach homologacji, który przeprowadził ocenę zgodności pojazdu, przedmiotu wyposażenia lub części, o stwierdzeniu niezgodności z wymaganiami technicznymi lub stwarzaniu przez pojazd, przedmiot wyposażenia lub część poważnego ryzyka, wskazując stwierdzone niezgodności lub ryzyka.</w:t>
            </w:r>
          </w:p>
          <w:p w14:paraId="3FE698E3"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2. Dyrektor TDT jako organ nadzoru rynku powiadamia o wydaniu decyzji, o której mowa w art. 68zj ust. 1 lub art. 68zk ust. 12, w tym podjętych środków naprawczych, opinię publiczną w trybie określonym w art. 68zt oraz przekazuje informację o wydaniu decyzji Komisji Europejskiej oraz organom nadzoru rynku w państwach członkowskich Unii Europejskiej za pomocą systemu Safety Gate oraz systemu ICSMS.</w:t>
            </w:r>
          </w:p>
          <w:p w14:paraId="0C8413C3"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3. Dyrektor TDT jako organ nadzoru rynku przekazuje do ewidencji informacje, o wydaniu decyzji, o której mowa w art. 68zj ust. 1 lub art. 68zk ust. 12, w zakresie wycofania pojazdu z obrotu lub użytkowania.</w:t>
            </w:r>
          </w:p>
          <w:p w14:paraId="41F6C468"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Art. 68zm. Dyrektor TDT jako organ nadzoru rynku wydaje decyzję o umorzeniu postępowania, o którym mowa w art. 68zj  ust. 1, w przypadku gdy:</w:t>
            </w:r>
          </w:p>
          <w:p w14:paraId="32D995D6"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1)</w:t>
            </w:r>
            <w:r w:rsidRPr="00FB76A9">
              <w:rPr>
                <w:rFonts w:ascii="Times New Roman" w:hAnsi="Times New Roman" w:cs="Times New Roman"/>
                <w:szCs w:val="24"/>
              </w:rPr>
              <w:tab/>
              <w:t>stwierdzi, że pojazd, przedmiot wyposażenia lub część są zgodne z wymaganiami technicznymi lub nie stwarzają poważnego ryzyka;</w:t>
            </w:r>
          </w:p>
          <w:p w14:paraId="6055F43A" w14:textId="77777777" w:rsidR="007F324E" w:rsidRPr="00FB76A9" w:rsidRDefault="007F324E" w:rsidP="00FD5CD5">
            <w:pPr>
              <w:pStyle w:val="ZARTzmartartykuempunktem"/>
              <w:keepNext/>
              <w:spacing w:line="240" w:lineRule="auto"/>
              <w:ind w:left="70"/>
              <w:jc w:val="left"/>
              <w:rPr>
                <w:rFonts w:ascii="Times New Roman" w:hAnsi="Times New Roman" w:cs="Times New Roman"/>
                <w:szCs w:val="24"/>
              </w:rPr>
            </w:pPr>
            <w:r w:rsidRPr="00FB76A9">
              <w:rPr>
                <w:rFonts w:ascii="Times New Roman" w:hAnsi="Times New Roman" w:cs="Times New Roman"/>
                <w:szCs w:val="24"/>
              </w:rPr>
              <w:t>2)</w:t>
            </w:r>
            <w:r w:rsidRPr="00FB76A9">
              <w:rPr>
                <w:rFonts w:ascii="Times New Roman" w:hAnsi="Times New Roman" w:cs="Times New Roman"/>
                <w:szCs w:val="24"/>
              </w:rPr>
              <w:tab/>
              <w:t>postępowanie z innych przyczyn stało się bezprzedmiotowe.</w:t>
            </w:r>
          </w:p>
          <w:p w14:paraId="5C874BD5" w14:textId="77777777" w:rsidR="007F324E" w:rsidRPr="00FB76A9" w:rsidRDefault="007F324E" w:rsidP="00FD5CD5">
            <w:pPr>
              <w:pStyle w:val="ZARTzmartartykuempunktem"/>
              <w:keepNext/>
              <w:spacing w:line="240" w:lineRule="auto"/>
              <w:ind w:left="70" w:firstLine="0"/>
              <w:jc w:val="left"/>
              <w:rPr>
                <w:rFonts w:ascii="Times New Roman" w:hAnsi="Times New Roman" w:cs="Times New Roman"/>
                <w:szCs w:val="24"/>
              </w:rPr>
            </w:pPr>
            <w:r w:rsidRPr="00FB76A9">
              <w:rPr>
                <w:rFonts w:ascii="Times New Roman" w:hAnsi="Times New Roman" w:cs="Times New Roman"/>
                <w:noProof/>
                <w:szCs w:val="24"/>
              </w:rPr>
              <mc:AlternateContent>
                <mc:Choice Requires="wps">
                  <w:drawing>
                    <wp:anchor distT="0" distB="0" distL="114300" distR="114300" simplePos="0" relativeHeight="251659264" behindDoc="0" locked="0" layoutInCell="1" allowOverlap="1" wp14:anchorId="54BFF8A5" wp14:editId="63B2C2C8">
                      <wp:simplePos x="0" y="0"/>
                      <wp:positionH relativeFrom="column">
                        <wp:posOffset>-614045</wp:posOffset>
                      </wp:positionH>
                      <wp:positionV relativeFrom="paragraph">
                        <wp:posOffset>2457008</wp:posOffset>
                      </wp:positionV>
                      <wp:extent cx="601883" cy="5787"/>
                      <wp:effectExtent l="0" t="0" r="27305" b="32385"/>
                      <wp:wrapNone/>
                      <wp:docPr id="1" name="Łącznik prosty 1"/>
                      <wp:cNvGraphicFramePr/>
                      <a:graphic xmlns:a="http://schemas.openxmlformats.org/drawingml/2006/main">
                        <a:graphicData uri="http://schemas.microsoft.com/office/word/2010/wordprocessingShape">
                          <wps:wsp>
                            <wps:cNvCnPr/>
                            <wps:spPr>
                              <a:xfrm>
                                <a:off x="0" y="0"/>
                                <a:ext cx="601883" cy="578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4115FCDB" id="Łącznik prosty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8.35pt,193.45pt" to="-.95pt,19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" strokecolor="#5b9bd5 [3204]" strokeweight=".5pt">
                      <v:stroke joinstyle="miter"/>
                    </v:line>
                  </w:pict>
                </mc:Fallback>
              </mc:AlternateContent>
            </w:r>
            <w:r w:rsidRPr="00FB76A9">
              <w:rPr>
                <w:rFonts w:ascii="Times New Roman" w:hAnsi="Times New Roman" w:cs="Times New Roman"/>
                <w:szCs w:val="24"/>
              </w:rPr>
              <w:t>Art. 68zn. W przypadku wydania decyzji, o której mowa w art. 68zj ust. 1, w której stwierdzono, iż pojazd, przedmiot wyposażenia lub część stwarzają poważne ryzyko oraz znajdują się w posiadaniu użytkowników końcowych, Dyrektor TDT jako organ nadzoru rynku publikuje na stronie podmiotowej Transportowego Dozoru Technicznego informację o możliwości zwrotu pojazdu, przedmiotu wyposażenia lub części do podmiotu gospodarczego, który wprowadził do obrotu ten pojazd, przedmiot wyposażenia lub część oraz informację o poważnych ryzykach dotyczących tego pojazdu, przedmiotu wyposażenia lub części.”</w:t>
            </w:r>
          </w:p>
        </w:tc>
        <w:tc>
          <w:tcPr>
            <w:tcW w:w="2268" w:type="dxa"/>
            <w:vMerge w:val="restart"/>
            <w:tcBorders>
              <w:top w:val="single" w:sz="4" w:space="0" w:color="auto"/>
              <w:left w:val="single" w:sz="4" w:space="0" w:color="auto"/>
              <w:right w:val="single" w:sz="4" w:space="0" w:color="auto"/>
            </w:tcBorders>
          </w:tcPr>
          <w:p w14:paraId="4D750065" w14:textId="77777777" w:rsidR="007F324E" w:rsidRPr="00FB76A9" w:rsidRDefault="007F324E" w:rsidP="00FD5CD5">
            <w:pPr>
              <w:pStyle w:val="ZARTzmartartykuempunktem"/>
              <w:keepNext/>
              <w:spacing w:line="240" w:lineRule="auto"/>
              <w:ind w:left="70" w:right="3104" w:firstLine="0"/>
              <w:jc w:val="left"/>
              <w:rPr>
                <w:rFonts w:ascii="Times New Roman" w:hAnsi="Times New Roman" w:cs="Times New Roman"/>
                <w:szCs w:val="24"/>
                <w:highlight w:val="yellow"/>
              </w:rPr>
            </w:pPr>
          </w:p>
        </w:tc>
      </w:tr>
      <w:tr w:rsidR="007F324E" w:rsidRPr="00FB76A9" w14:paraId="489A5C40" w14:textId="77777777" w:rsidTr="00B923FC">
        <w:trPr>
          <w:trHeight w:val="470"/>
        </w:trPr>
        <w:tc>
          <w:tcPr>
            <w:tcW w:w="988" w:type="dxa"/>
            <w:tcBorders>
              <w:top w:val="single" w:sz="4" w:space="0" w:color="auto"/>
              <w:left w:val="single" w:sz="4" w:space="0" w:color="auto"/>
              <w:bottom w:val="single" w:sz="4" w:space="0" w:color="auto"/>
              <w:right w:val="single" w:sz="4" w:space="0" w:color="auto"/>
            </w:tcBorders>
          </w:tcPr>
          <w:p w14:paraId="50931C6B" w14:textId="77777777" w:rsidR="007F324E" w:rsidRPr="00FB76A9" w:rsidRDefault="007F324E"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Art. 24</w:t>
            </w:r>
          </w:p>
        </w:tc>
        <w:tc>
          <w:tcPr>
            <w:tcW w:w="4961" w:type="dxa"/>
            <w:vMerge/>
            <w:tcBorders>
              <w:left w:val="single" w:sz="4" w:space="0" w:color="auto"/>
              <w:bottom w:val="single" w:sz="4" w:space="0" w:color="auto"/>
              <w:right w:val="single" w:sz="4" w:space="0" w:color="auto"/>
            </w:tcBorders>
          </w:tcPr>
          <w:p w14:paraId="36B6165B" w14:textId="77777777" w:rsidR="007F324E" w:rsidRPr="00FB76A9" w:rsidRDefault="007F324E" w:rsidP="00FD5CD5">
            <w:pPr>
              <w:pStyle w:val="oj-normal"/>
              <w:shd w:val="clear" w:color="auto" w:fill="FFFFFF"/>
              <w:spacing w:before="0" w:beforeAutospacing="0" w:after="0" w:afterAutospacing="0"/>
            </w:pPr>
          </w:p>
        </w:tc>
        <w:tc>
          <w:tcPr>
            <w:tcW w:w="850" w:type="dxa"/>
            <w:gridSpan w:val="2"/>
            <w:vMerge/>
            <w:tcBorders>
              <w:left w:val="single" w:sz="4" w:space="0" w:color="auto"/>
              <w:bottom w:val="single" w:sz="4" w:space="0" w:color="auto"/>
              <w:right w:val="single" w:sz="4" w:space="0" w:color="auto"/>
            </w:tcBorders>
          </w:tcPr>
          <w:p w14:paraId="0284609A" w14:textId="77777777" w:rsidR="007F324E" w:rsidRPr="00FB76A9" w:rsidRDefault="007F324E" w:rsidP="00FD5CD5">
            <w:pPr>
              <w:spacing w:after="0" w:line="240" w:lineRule="auto"/>
              <w:rPr>
                <w:rFonts w:ascii="Times New Roman" w:eastAsia="Times New Roman" w:hAnsi="Times New Roman" w:cs="Times New Roman"/>
                <w:sz w:val="24"/>
                <w:szCs w:val="24"/>
                <w:lang w:eastAsia="pl-PL"/>
              </w:rPr>
            </w:pPr>
          </w:p>
        </w:tc>
        <w:tc>
          <w:tcPr>
            <w:tcW w:w="851" w:type="dxa"/>
            <w:gridSpan w:val="2"/>
            <w:vMerge/>
            <w:tcBorders>
              <w:left w:val="single" w:sz="4" w:space="0" w:color="auto"/>
              <w:right w:val="single" w:sz="4" w:space="0" w:color="auto"/>
            </w:tcBorders>
          </w:tcPr>
          <w:p w14:paraId="2B7AA89F" w14:textId="77777777" w:rsidR="007F324E" w:rsidRPr="00FB76A9" w:rsidRDefault="007F324E" w:rsidP="00FD5CD5">
            <w:pPr>
              <w:spacing w:after="0" w:line="240" w:lineRule="auto"/>
              <w:rPr>
                <w:rFonts w:ascii="Times New Roman" w:eastAsia="Times New Roman" w:hAnsi="Times New Roman" w:cs="Times New Roman"/>
                <w:sz w:val="24"/>
                <w:szCs w:val="24"/>
                <w:lang w:eastAsia="pl-PL"/>
              </w:rPr>
            </w:pPr>
          </w:p>
        </w:tc>
        <w:tc>
          <w:tcPr>
            <w:tcW w:w="5103" w:type="dxa"/>
            <w:gridSpan w:val="2"/>
            <w:vMerge/>
            <w:tcBorders>
              <w:left w:val="single" w:sz="4" w:space="0" w:color="auto"/>
              <w:bottom w:val="single" w:sz="4" w:space="0" w:color="auto"/>
              <w:right w:val="single" w:sz="4" w:space="0" w:color="auto"/>
            </w:tcBorders>
          </w:tcPr>
          <w:p w14:paraId="1BA3A9D8" w14:textId="77777777" w:rsidR="007F324E" w:rsidRPr="00FB76A9" w:rsidRDefault="007F324E" w:rsidP="00FD5CD5">
            <w:pPr>
              <w:pStyle w:val="ZPKTzmpktartykuempunktem"/>
              <w:spacing w:line="240" w:lineRule="auto"/>
              <w:ind w:left="637" w:hanging="426"/>
              <w:jc w:val="left"/>
              <w:rPr>
                <w:rFonts w:ascii="Times New Roman" w:hAnsi="Times New Roman" w:cs="Times New Roman"/>
                <w:szCs w:val="24"/>
              </w:rPr>
            </w:pPr>
          </w:p>
        </w:tc>
        <w:tc>
          <w:tcPr>
            <w:tcW w:w="2268" w:type="dxa"/>
            <w:vMerge/>
            <w:tcBorders>
              <w:left w:val="single" w:sz="4" w:space="0" w:color="auto"/>
              <w:bottom w:val="single" w:sz="4" w:space="0" w:color="auto"/>
              <w:right w:val="single" w:sz="4" w:space="0" w:color="auto"/>
            </w:tcBorders>
          </w:tcPr>
          <w:p w14:paraId="70B771EC" w14:textId="77777777" w:rsidR="007F324E" w:rsidRPr="00FB76A9" w:rsidRDefault="007F324E" w:rsidP="00FD5CD5">
            <w:pPr>
              <w:pStyle w:val="ZARTzmartartykuempunktem"/>
              <w:keepNext/>
              <w:spacing w:line="240" w:lineRule="auto"/>
              <w:ind w:left="70" w:right="3104" w:firstLine="0"/>
              <w:jc w:val="left"/>
              <w:rPr>
                <w:rFonts w:ascii="Times New Roman" w:hAnsi="Times New Roman" w:cs="Times New Roman"/>
                <w:szCs w:val="24"/>
                <w:highlight w:val="yellow"/>
              </w:rPr>
            </w:pPr>
          </w:p>
        </w:tc>
      </w:tr>
      <w:tr w:rsidR="00AB694F" w:rsidRPr="00FB76A9" w14:paraId="3EEA2A0A" w14:textId="77777777" w:rsidTr="00B923FC">
        <w:trPr>
          <w:trHeight w:val="470"/>
        </w:trPr>
        <w:tc>
          <w:tcPr>
            <w:tcW w:w="988" w:type="dxa"/>
            <w:vMerge w:val="restart"/>
            <w:tcBorders>
              <w:top w:val="single" w:sz="4" w:space="0" w:color="auto"/>
              <w:left w:val="single" w:sz="4" w:space="0" w:color="auto"/>
              <w:right w:val="single" w:sz="4" w:space="0" w:color="auto"/>
            </w:tcBorders>
          </w:tcPr>
          <w:p w14:paraId="64D1E448" w14:textId="77777777" w:rsidR="00AB694F" w:rsidRPr="00FB76A9" w:rsidRDefault="00AB694F" w:rsidP="00FD5CD5">
            <w:pPr>
              <w:spacing w:after="0" w:line="240" w:lineRule="auto"/>
              <w:rPr>
                <w:rFonts w:ascii="Times New Roman" w:eastAsia="Times New Roman" w:hAnsi="Times New Roman" w:cs="Times New Roman"/>
                <w:b/>
                <w:sz w:val="24"/>
                <w:szCs w:val="24"/>
                <w:lang w:eastAsia="pl-PL"/>
              </w:rPr>
            </w:pPr>
            <w:r w:rsidRPr="00EE3F5D">
              <w:rPr>
                <w:rFonts w:ascii="Times New Roman" w:eastAsia="Times New Roman" w:hAnsi="Times New Roman" w:cs="Times New Roman"/>
                <w:b/>
                <w:sz w:val="24"/>
                <w:szCs w:val="24"/>
                <w:lang w:eastAsia="pl-PL"/>
              </w:rPr>
              <w:t>Art. 25</w:t>
            </w:r>
          </w:p>
          <w:p w14:paraId="632F809C" w14:textId="77777777" w:rsidR="00AB694F" w:rsidRPr="00FB76A9" w:rsidRDefault="00AB694F"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Art. 26</w:t>
            </w:r>
          </w:p>
          <w:p w14:paraId="3065D470" w14:textId="77777777" w:rsidR="00AB694F" w:rsidRPr="00FB76A9" w:rsidRDefault="00AB694F"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 xml:space="preserve">Art. 27 </w:t>
            </w:r>
          </w:p>
          <w:p w14:paraId="4D939884" w14:textId="77777777" w:rsidR="00AB694F" w:rsidRPr="00FB76A9" w:rsidRDefault="00AB694F"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Art. 28</w:t>
            </w:r>
          </w:p>
        </w:tc>
        <w:tc>
          <w:tcPr>
            <w:tcW w:w="4961" w:type="dxa"/>
            <w:vMerge w:val="restart"/>
            <w:tcBorders>
              <w:top w:val="single" w:sz="4" w:space="0" w:color="auto"/>
              <w:left w:val="single" w:sz="4" w:space="0" w:color="auto"/>
              <w:right w:val="single" w:sz="4" w:space="0" w:color="auto"/>
            </w:tcBorders>
          </w:tcPr>
          <w:p w14:paraId="324ED2E6" w14:textId="77777777" w:rsidR="00AB694F" w:rsidRPr="00FB76A9" w:rsidRDefault="00AB694F"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 25  1.   Państwa członkowskie wyznaczają organy celne, co najmniej jeden organ nadzoru rynku lub dowolny inny organ na swoim terytorium jako organy odpowiedzialne za kontrolę produktów wprowadzanych na rynek Unii.</w:t>
            </w:r>
          </w:p>
          <w:p w14:paraId="14FD9E52" w14:textId="77777777" w:rsidR="00AB694F" w:rsidRPr="00FB76A9" w:rsidRDefault="00AB694F"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Każde państwo członkowskie powiadamia Komisję i pozostałe państwa członkowskie, za pośrednictwem systemu informacyjnego i komunikacyjnego, o którym mowa w art. 34, o organach wyznaczonych na podstawie akapitu pierwszego oraz o obszarach ich kompetencji.</w:t>
            </w:r>
          </w:p>
          <w:p w14:paraId="60AF5E51" w14:textId="77777777" w:rsidR="00AB694F" w:rsidRPr="00FB76A9" w:rsidRDefault="00AB694F"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2.   Organy wyznaczone na podstawie ust. 1 mają uprawnienia i zasoby niezbędne do właściwego wykonania powierzonych im zadań, o których mowa w tym ustępie.</w:t>
            </w:r>
          </w:p>
          <w:p w14:paraId="42C241E9" w14:textId="77777777" w:rsidR="00AB694F" w:rsidRPr="00FB76A9" w:rsidRDefault="00AB694F"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3.   Produkty podlegające prawu Unii, które mają zostać objęte procedurą celną „dopuszczenia do obrotu”, podlegają kontrolom przeprowadzanym przez organy wyznaczone na podstawie ust. 1 niniejszego artykułu. Organy te przeprowadzają wspomniane kontrole na podstawie analizy ryzyka zgodnie z art. 46 i 47 rozporządzenia (UE) nr 952/2013 oraz, w stosownych przypadkach, na podstawie podejścia opartego na analizie ryzyka, o którym mowa w art. 11 ust. 3 akapit drugi niniejszego rozporządzenia.</w:t>
            </w:r>
          </w:p>
          <w:p w14:paraId="3167647B" w14:textId="77777777" w:rsidR="00AB694F" w:rsidRPr="00FB76A9" w:rsidRDefault="00AB694F" w:rsidP="00FD5CD5">
            <w:pPr>
              <w:autoSpaceDE w:val="0"/>
              <w:autoSpaceDN w:val="0"/>
              <w:adjustRightInd w:val="0"/>
              <w:spacing w:before="60" w:after="6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4. Informacje na temat ryzyka są wymieniane między: </w:t>
            </w:r>
          </w:p>
          <w:p w14:paraId="66869E8B" w14:textId="77777777" w:rsidR="00AB694F" w:rsidRPr="00FB76A9" w:rsidRDefault="00AB694F" w:rsidP="00FD5CD5">
            <w:pPr>
              <w:autoSpaceDE w:val="0"/>
              <w:autoSpaceDN w:val="0"/>
              <w:adjustRightInd w:val="0"/>
              <w:spacing w:before="60" w:after="6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 organami wyznaczonymi na podstawie ust. 1 niniejszego artykułu zgodnie z art. 47 ust. 2 rozporządzenia (UE) nr 952/2013; a </w:t>
            </w:r>
          </w:p>
          <w:p w14:paraId="557D2EDC" w14:textId="77777777" w:rsidR="00AB694F" w:rsidRPr="00FB76A9" w:rsidRDefault="00AB694F" w:rsidP="00FD5CD5">
            <w:pPr>
              <w:autoSpaceDE w:val="0"/>
              <w:autoSpaceDN w:val="0"/>
              <w:adjustRightInd w:val="0"/>
              <w:spacing w:before="60" w:after="6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b) organami celnymi zgodnie z art. 46 ust. 5 rozporządzenia (UE) nr 952/2013. </w:t>
            </w:r>
          </w:p>
          <w:p w14:paraId="3E7B8B22" w14:textId="77777777" w:rsidR="00AB694F" w:rsidRPr="00FB76A9" w:rsidRDefault="00AB694F"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Jeżeli organy celne w pierwszym punkcie wprowadzenia mają powody, aby podejrzewać, że produkty podlegające prawu Unii, które podlegają czasowemu składowaniu albo które zostały objęte procedurą celną inną niż „dopuszczenie do obrotu”, są niezgodne z mającym zastosowanie prawem Unii lub stwarzają ryzyko, wówczas takie organy przekazują wszystkie stosowne informacje właściwemu urzędowi celnemu przeznaczenia.</w:t>
            </w:r>
          </w:p>
          <w:p w14:paraId="24956FB2" w14:textId="77777777" w:rsidR="00AB694F" w:rsidRPr="00FB76A9" w:rsidRDefault="00AB694F"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5.   Organy nadzoru rynku przekazują organom wyznaczonym na podstawie ust. 1 informacje na temat kategorii produktów lub tożsamości podmiotów gospodarczych w przypadku stwierdzenia wyższego poziomu ryzyka niezgodności.</w:t>
            </w:r>
          </w:p>
          <w:p w14:paraId="13EAB910" w14:textId="77777777" w:rsidR="00AB694F" w:rsidRPr="00FB76A9" w:rsidRDefault="00AB694F"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6.   Do dnia 31 marca każdego roku państwa członkowskie</w:t>
            </w:r>
            <w:bookmarkStart w:id="74" w:name="_Hlk233379741"/>
            <w:r w:rsidR="00A40560">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 xml:space="preserve">przedstawiają Komisji szczegółowe dane statystyczne obejmujące kontrole </w:t>
            </w:r>
            <w:bookmarkEnd w:id="74"/>
            <w:r w:rsidRPr="00FB76A9">
              <w:rPr>
                <w:rFonts w:ascii="Times New Roman" w:eastAsia="Times New Roman" w:hAnsi="Times New Roman" w:cs="Times New Roman"/>
                <w:sz w:val="24"/>
                <w:szCs w:val="24"/>
                <w:lang w:eastAsia="pl-PL"/>
              </w:rPr>
              <w:t>przeprowadzone w poprzednim roku kalendarzowym przez organy wyznaczone na podstawie ust. 1 w odniesieniu do produktów podlegających prawu Unii. Dane statystyczne obejmują liczbę interwencji w ramach kontroli takich produktów w odniesieniu do bezpieczeństwa produktów i ich zgodności z wymaganiami.</w:t>
            </w:r>
          </w:p>
          <w:p w14:paraId="2ECA5389" w14:textId="77777777" w:rsidR="00AB694F" w:rsidRPr="00FB76A9" w:rsidRDefault="00AB694F"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Do dnia 30 czerwca każdego roku Komisja sporządza sprawozdanie zawierające informacje przekazane przez państwa członkowskie za poprzedni rok kalendarzowy oraz analizę przedstawionych danych. Sprawozdanie publikuje się w systemie informacyjnym i komunikacyjnym, o którym mowa w art. 34.</w:t>
            </w:r>
          </w:p>
          <w:p w14:paraId="22F37581" w14:textId="77777777" w:rsidR="00AB694F" w:rsidRPr="00FB76A9" w:rsidRDefault="00AB694F"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7.   W przypadku otrzymania informacji o poważnym ryzyku stwarzanym przez produkty podlegające prawu Unii przywożone z państwa trzeciego Komisja zaleca danemu państwu członkowskiemu podjęcie odpowiednich środków nadzoru rynku.</w:t>
            </w:r>
          </w:p>
          <w:p w14:paraId="70EF9B52" w14:textId="77777777" w:rsidR="00AB694F" w:rsidRPr="00FB76A9" w:rsidRDefault="00AB694F"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8.   Komisja, po konsultacji z Siecią, może przyjmować akty wykonawcze określające poziomy odniesienia i techniki kontroli na podstawie wspólnej analizy ryzyka na poziomie Unii w celu zapewnienia spójnego egzekwowania prawa Unii, wzmocnienia kontroli produktów wprowadzanych na rynek Unii oraz zapewnienia skutecznego i jednolitego poziomu takich kontroli. Te akty wykonawcze przyjmuje się zgodnie z procedurą sprawdzającą, o której mowa w art. 43 ust. 2.</w:t>
            </w:r>
          </w:p>
          <w:p w14:paraId="3326813D" w14:textId="77777777" w:rsidR="00AB694F" w:rsidRPr="00FB76A9" w:rsidRDefault="00AB694F"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9.   Komisja przyjmuje akty wykonawcze dokładniej określające szczegóły dotyczące danych, które należy przedstawić na podstawie ust. 6 niniejszego artykułu. Te akty wykonawcze przyjmuje się zgodnie z procedurą sprawdzającą, o której mowa w art. 43 ust. 2.”</w:t>
            </w:r>
          </w:p>
          <w:p w14:paraId="6738E317" w14:textId="77777777" w:rsidR="00AB694F" w:rsidRPr="00FB76A9" w:rsidRDefault="00AB694F"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 26  1.   Organy wyznaczone na podstawie art. 25 ust. 1 zawieszają dopuszczenie produktu do obrotu, jeżeli w toku kontroli na mocy art. 25 ust. 3 zostanie ustalone, że:</w:t>
            </w:r>
          </w:p>
          <w:tbl>
            <w:tblPr>
              <w:tblW w:w="5000" w:type="pct"/>
              <w:tblLayout w:type="fixed"/>
              <w:tblCellMar>
                <w:left w:w="0" w:type="dxa"/>
                <w:right w:w="0" w:type="dxa"/>
              </w:tblCellMar>
              <w:tblLook w:val="04A0" w:firstRow="1" w:lastRow="0" w:firstColumn="1" w:lastColumn="0" w:noHBand="0" w:noVBand="1"/>
            </w:tblPr>
            <w:tblGrid>
              <w:gridCol w:w="105"/>
              <w:gridCol w:w="4716"/>
            </w:tblGrid>
            <w:tr w:rsidR="00AB694F" w:rsidRPr="00FB76A9" w14:paraId="2A935880" w14:textId="77777777" w:rsidTr="00B26E03">
              <w:tc>
                <w:tcPr>
                  <w:tcW w:w="187" w:type="dxa"/>
                  <w:hideMark/>
                </w:tcPr>
                <w:p w14:paraId="0C6CD2B5"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w:t>
                  </w:r>
                </w:p>
              </w:tc>
              <w:tc>
                <w:tcPr>
                  <w:tcW w:w="9219" w:type="dxa"/>
                  <w:hideMark/>
                </w:tcPr>
                <w:p w14:paraId="45DC2C11"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)produktowi nie towarzyszy dokumentacja wymagana na mocy prawa Unii mającego zastosowanie do takiego produktu lub istnieją uzasadnione wątpliwości co do autentyczności, dokładności lub kompletności takiej dokumentacji;</w:t>
                  </w:r>
                </w:p>
              </w:tc>
            </w:tr>
          </w:tbl>
          <w:p w14:paraId="71B6F58C" w14:textId="77777777" w:rsidR="00AB694F" w:rsidRPr="00FB76A9" w:rsidRDefault="00AB694F" w:rsidP="00FD5CD5">
            <w:pPr>
              <w:shd w:val="clear" w:color="auto" w:fill="FFFFFF"/>
              <w:spacing w:after="0" w:line="240" w:lineRule="auto"/>
              <w:rPr>
                <w:rFonts w:ascii="Times New Roman" w:eastAsia="Times New Roman" w:hAnsi="Times New Roman" w:cs="Times New Roman"/>
                <w:vanish/>
                <w:sz w:val="24"/>
                <w:szCs w:val="24"/>
                <w:lang w:eastAsia="pl-PL"/>
              </w:rPr>
            </w:pPr>
          </w:p>
          <w:tbl>
            <w:tblPr>
              <w:tblW w:w="5000" w:type="pct"/>
              <w:tblLayout w:type="fixed"/>
              <w:tblCellMar>
                <w:left w:w="0" w:type="dxa"/>
                <w:right w:w="0" w:type="dxa"/>
              </w:tblCellMar>
              <w:tblLook w:val="04A0" w:firstRow="1" w:lastRow="0" w:firstColumn="1" w:lastColumn="0" w:noHBand="0" w:noVBand="1"/>
            </w:tblPr>
            <w:tblGrid>
              <w:gridCol w:w="112"/>
              <w:gridCol w:w="4709"/>
            </w:tblGrid>
            <w:tr w:rsidR="00AB694F" w:rsidRPr="00FB76A9" w14:paraId="07D1D7D9" w14:textId="77777777" w:rsidTr="00B26E03">
              <w:tc>
                <w:tcPr>
                  <w:tcW w:w="200" w:type="dxa"/>
                  <w:hideMark/>
                </w:tcPr>
                <w:p w14:paraId="12F6EDE7"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b</w:t>
                  </w:r>
                </w:p>
              </w:tc>
              <w:tc>
                <w:tcPr>
                  <w:tcW w:w="9206" w:type="dxa"/>
                  <w:hideMark/>
                </w:tcPr>
                <w:p w14:paraId="26117C14"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)produkt nie został oznakowany ani etykietowany zgodnie z prawem Unii, które ma do niego zastosowanie;</w:t>
                  </w:r>
                </w:p>
              </w:tc>
            </w:tr>
          </w:tbl>
          <w:p w14:paraId="18524560" w14:textId="77777777" w:rsidR="00AB694F" w:rsidRPr="00FB76A9" w:rsidRDefault="00AB694F" w:rsidP="00FD5CD5">
            <w:pPr>
              <w:shd w:val="clear" w:color="auto" w:fill="FFFFFF"/>
              <w:spacing w:after="0" w:line="240" w:lineRule="auto"/>
              <w:rPr>
                <w:rFonts w:ascii="Times New Roman" w:eastAsia="Times New Roman" w:hAnsi="Times New Roman" w:cs="Times New Roman"/>
                <w:vanish/>
                <w:sz w:val="24"/>
                <w:szCs w:val="24"/>
                <w:lang w:eastAsia="pl-PL"/>
              </w:rPr>
            </w:pPr>
          </w:p>
          <w:tbl>
            <w:tblPr>
              <w:tblW w:w="5000" w:type="pct"/>
              <w:tblLayout w:type="fixed"/>
              <w:tblCellMar>
                <w:left w:w="0" w:type="dxa"/>
                <w:right w:w="0" w:type="dxa"/>
              </w:tblCellMar>
              <w:tblLook w:val="04A0" w:firstRow="1" w:lastRow="0" w:firstColumn="1" w:lastColumn="0" w:noHBand="0" w:noVBand="1"/>
            </w:tblPr>
            <w:tblGrid>
              <w:gridCol w:w="105"/>
              <w:gridCol w:w="4716"/>
            </w:tblGrid>
            <w:tr w:rsidR="00AB694F" w:rsidRPr="00FB76A9" w14:paraId="19894E6E" w14:textId="77777777" w:rsidTr="00B26E03">
              <w:tc>
                <w:tcPr>
                  <w:tcW w:w="187" w:type="dxa"/>
                  <w:hideMark/>
                </w:tcPr>
                <w:p w14:paraId="273C276D"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c</w:t>
                  </w:r>
                </w:p>
              </w:tc>
              <w:tc>
                <w:tcPr>
                  <w:tcW w:w="9219" w:type="dxa"/>
                  <w:hideMark/>
                </w:tcPr>
                <w:p w14:paraId="49C1593D"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)produkt posiada oznakowanie CE lub inne oznakowanie wymagane na mocy prawa Unii, które ma do niego zastosowanie, jednak oznakowanie jest fałszywe lub umieszczone w sposób wprowadzający w błąd;</w:t>
                  </w:r>
                </w:p>
              </w:tc>
            </w:tr>
          </w:tbl>
          <w:p w14:paraId="4392A090" w14:textId="77777777" w:rsidR="00AB694F" w:rsidRPr="00FB76A9" w:rsidRDefault="00AB694F" w:rsidP="00FD5CD5">
            <w:pPr>
              <w:shd w:val="clear" w:color="auto" w:fill="FFFFFF"/>
              <w:spacing w:after="0" w:line="240" w:lineRule="auto"/>
              <w:rPr>
                <w:rFonts w:ascii="Times New Roman" w:eastAsia="Times New Roman" w:hAnsi="Times New Roman" w:cs="Times New Roman"/>
                <w:vanish/>
                <w:sz w:val="24"/>
                <w:szCs w:val="24"/>
                <w:lang w:eastAsia="pl-PL"/>
              </w:rPr>
            </w:pPr>
          </w:p>
          <w:tbl>
            <w:tblPr>
              <w:tblW w:w="5000" w:type="pct"/>
              <w:tblLayout w:type="fixed"/>
              <w:tblCellMar>
                <w:left w:w="0" w:type="dxa"/>
                <w:right w:w="0" w:type="dxa"/>
              </w:tblCellMar>
              <w:tblLook w:val="04A0" w:firstRow="1" w:lastRow="0" w:firstColumn="1" w:lastColumn="0" w:noHBand="0" w:noVBand="1"/>
            </w:tblPr>
            <w:tblGrid>
              <w:gridCol w:w="112"/>
              <w:gridCol w:w="4709"/>
            </w:tblGrid>
            <w:tr w:rsidR="00AB694F" w:rsidRPr="00FB76A9" w14:paraId="0582C045" w14:textId="77777777" w:rsidTr="00B26E03">
              <w:tc>
                <w:tcPr>
                  <w:tcW w:w="200" w:type="dxa"/>
                  <w:hideMark/>
                </w:tcPr>
                <w:p w14:paraId="6B267C8B"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d</w:t>
                  </w:r>
                </w:p>
              </w:tc>
              <w:tc>
                <w:tcPr>
                  <w:tcW w:w="9206" w:type="dxa"/>
                  <w:hideMark/>
                </w:tcPr>
                <w:p w14:paraId="3E84BE3B"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)nazwa, zarejestrowana nazwa handlowa lub zarejestrowany znak towarowy oraz dane kontaktowe, w tym adres pocztowy, podmiotu gospodarczego wykonującego zadania dotyczące produktu objętego określonym unijnym prawodawstwem harmonizacyjnym nie zostały podane ani nie można ich ustalić zgodnie z art. 4 ust. 4; lub</w:t>
                  </w:r>
                </w:p>
              </w:tc>
            </w:tr>
          </w:tbl>
          <w:p w14:paraId="0416BA96" w14:textId="77777777" w:rsidR="00AB694F" w:rsidRPr="00FB76A9" w:rsidRDefault="00AB694F" w:rsidP="00FD5CD5">
            <w:pPr>
              <w:shd w:val="clear" w:color="auto" w:fill="FFFFFF"/>
              <w:spacing w:after="0" w:line="240" w:lineRule="auto"/>
              <w:rPr>
                <w:rFonts w:ascii="Times New Roman" w:eastAsia="Times New Roman" w:hAnsi="Times New Roman" w:cs="Times New Roman"/>
                <w:vanish/>
                <w:sz w:val="24"/>
                <w:szCs w:val="24"/>
                <w:lang w:eastAsia="pl-PL"/>
              </w:rPr>
            </w:pPr>
          </w:p>
          <w:tbl>
            <w:tblPr>
              <w:tblW w:w="5000" w:type="pct"/>
              <w:tblLayout w:type="fixed"/>
              <w:tblCellMar>
                <w:left w:w="0" w:type="dxa"/>
                <w:right w:w="0" w:type="dxa"/>
              </w:tblCellMar>
              <w:tblLook w:val="04A0" w:firstRow="1" w:lastRow="0" w:firstColumn="1" w:lastColumn="0" w:noHBand="0" w:noVBand="1"/>
            </w:tblPr>
            <w:tblGrid>
              <w:gridCol w:w="105"/>
              <w:gridCol w:w="4716"/>
            </w:tblGrid>
            <w:tr w:rsidR="00AB694F" w:rsidRPr="00FB76A9" w14:paraId="6EEE0D20" w14:textId="77777777" w:rsidTr="00B26E03">
              <w:tc>
                <w:tcPr>
                  <w:tcW w:w="187" w:type="dxa"/>
                  <w:hideMark/>
                </w:tcPr>
                <w:p w14:paraId="7700C3B6"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e</w:t>
                  </w:r>
                </w:p>
              </w:tc>
              <w:tc>
                <w:tcPr>
                  <w:tcW w:w="9219" w:type="dxa"/>
                  <w:hideMark/>
                </w:tcPr>
                <w:p w14:paraId="7361184C"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z innych względów, gdy istnieją przesłanki, by przypuszczać, że produkt nie jest zgodny z prawem Unii, które ma do niego zastosowanie, lub że produkt stwarza poważne ryzyko dla zdrowia, bezpieczeństwa, środowiska lub jakiegokolwiek innego interesu publicznego, o którym mowa w art. 1.</w:t>
                  </w:r>
                </w:p>
              </w:tc>
            </w:tr>
          </w:tbl>
          <w:p w14:paraId="3D7A65A8" w14:textId="77777777" w:rsidR="00AB694F" w:rsidRPr="00FB76A9" w:rsidRDefault="00AB694F"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2.   Organy wyznaczone na podstawie art. 25 ust. 1 natychmiast powiadamiają organy nadzoru rynku o zawieszeniu dopuszczenia, o którym mowa w ust. 1 niniejszego artykułu.</w:t>
            </w:r>
          </w:p>
          <w:p w14:paraId="1B9AC091" w14:textId="77777777" w:rsidR="00AB694F" w:rsidRPr="00FB76A9" w:rsidRDefault="00AB694F"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3.   Jeżeli organy nadzoru rynku mają uzasadnione podstawy, by sądzić, że produkt nie jest zgodny z prawem Unii mającym do niego zastosowanie lub stwarza poważne ryzyko, zwracają się one do organów wyznaczonych na podstawie art. 25 ust. 1 z wnioskiem o zawieszenie procesu dopuszczenia do obrotu w odniesieniu do tego produktu.</w:t>
            </w:r>
          </w:p>
          <w:p w14:paraId="1ADA28AF" w14:textId="77777777" w:rsidR="00AB694F" w:rsidRPr="00FB76A9" w:rsidRDefault="00AB694F"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4.   Powiadomienia na podstawie ust. 2 i wnioski na podstawie ust. 3 niniejszego artykułu mogą być składane za pomocą systemu informacyjnego i komunikacyjnego, o którym mowa w art. 34, w tym z wykorzystaniem elektronicznych interfejsów między tym systemem a systemami używanymi przez organy celne, o ile są one dostępne.”</w:t>
            </w:r>
          </w:p>
          <w:p w14:paraId="3E578948" w14:textId="77777777" w:rsidR="00AB694F" w:rsidRPr="00FB76A9" w:rsidRDefault="00AB694F"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 27 W przypadku gdy dopuszczanie produktu do obrotu zawieszono zgodnie z art. 26, produkt ten dopuszcza się do obrotu, jeżeli spełnione zostały wszelkie pozostałe wymagania i formalności związane z takim dopuszczeniem do obrotu oraz jeżeli spełniony został co najmniej jeden z poniższych warunków:</w:t>
            </w:r>
          </w:p>
          <w:tbl>
            <w:tblPr>
              <w:tblW w:w="5000" w:type="pct"/>
              <w:shd w:val="clear" w:color="auto" w:fill="FFFFFF"/>
              <w:tblLayout w:type="fixed"/>
              <w:tblCellMar>
                <w:left w:w="0" w:type="dxa"/>
                <w:right w:w="0" w:type="dxa"/>
              </w:tblCellMar>
              <w:tblLook w:val="04A0" w:firstRow="1" w:lastRow="0" w:firstColumn="1" w:lastColumn="0" w:noHBand="0" w:noVBand="1"/>
            </w:tblPr>
            <w:tblGrid>
              <w:gridCol w:w="117"/>
              <w:gridCol w:w="4704"/>
            </w:tblGrid>
            <w:tr w:rsidR="00AB694F" w:rsidRPr="00FB76A9" w14:paraId="71884399" w14:textId="77777777" w:rsidTr="00B26E03">
              <w:tc>
                <w:tcPr>
                  <w:tcW w:w="210" w:type="dxa"/>
                  <w:shd w:val="clear" w:color="auto" w:fill="FFFFFF"/>
                  <w:hideMark/>
                </w:tcPr>
                <w:p w14:paraId="3F3A627A"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w:t>
                  </w:r>
                </w:p>
              </w:tc>
              <w:tc>
                <w:tcPr>
                  <w:tcW w:w="9196" w:type="dxa"/>
                  <w:shd w:val="clear" w:color="auto" w:fill="FFFFFF"/>
                  <w:hideMark/>
                </w:tcPr>
                <w:p w14:paraId="3DE0BB8F"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)w ciągu czterech dni roboczych od dnia zawieszenia organy nadzoru rynku nie zwróciły się do organów wyznaczonych na podstawie art. 25 ust. 1 o utrzymanie zawieszenia;</w:t>
                  </w:r>
                </w:p>
              </w:tc>
            </w:tr>
          </w:tbl>
          <w:p w14:paraId="13963EF1" w14:textId="77777777" w:rsidR="00AB694F" w:rsidRPr="00FB76A9" w:rsidRDefault="00AB694F" w:rsidP="00FD5CD5">
            <w:pPr>
              <w:spacing w:after="0" w:line="240" w:lineRule="auto"/>
              <w:rPr>
                <w:rFonts w:ascii="Times New Roman" w:eastAsia="Times New Roman" w:hAnsi="Times New Roman" w:cs="Times New Roman"/>
                <w:vanish/>
                <w:sz w:val="24"/>
                <w:szCs w:val="24"/>
                <w:lang w:eastAsia="pl-PL"/>
              </w:rPr>
            </w:pPr>
          </w:p>
          <w:tbl>
            <w:tblPr>
              <w:tblW w:w="5000" w:type="pct"/>
              <w:shd w:val="clear" w:color="auto" w:fill="FFFFFF"/>
              <w:tblLayout w:type="fixed"/>
              <w:tblCellMar>
                <w:left w:w="0" w:type="dxa"/>
                <w:right w:w="0" w:type="dxa"/>
              </w:tblCellMar>
              <w:tblLook w:val="04A0" w:firstRow="1" w:lastRow="0" w:firstColumn="1" w:lastColumn="0" w:noHBand="0" w:noVBand="1"/>
            </w:tblPr>
            <w:tblGrid>
              <w:gridCol w:w="125"/>
              <w:gridCol w:w="4696"/>
            </w:tblGrid>
            <w:tr w:rsidR="00AB694F" w:rsidRPr="00FB76A9" w14:paraId="288A959A" w14:textId="77777777" w:rsidTr="00B26E03">
              <w:tc>
                <w:tcPr>
                  <w:tcW w:w="225" w:type="dxa"/>
                  <w:shd w:val="clear" w:color="auto" w:fill="FFFFFF"/>
                  <w:hideMark/>
                </w:tcPr>
                <w:p w14:paraId="05F96EDC"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b</w:t>
                  </w:r>
                </w:p>
              </w:tc>
              <w:tc>
                <w:tcPr>
                  <w:tcW w:w="9181" w:type="dxa"/>
                  <w:shd w:val="clear" w:color="auto" w:fill="FFFFFF"/>
                  <w:hideMark/>
                </w:tcPr>
                <w:p w14:paraId="4D1E9017"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)organy wyznaczone na podstawie art. 25 ust. 1 zostały poinformowane przez organy nadzoru rynku o udzielonej przez nie zgodzie na dopuszczenie produktu do obrotu.</w:t>
                  </w:r>
                </w:p>
              </w:tc>
            </w:tr>
          </w:tbl>
          <w:p w14:paraId="679A0737" w14:textId="77777777" w:rsidR="00AB694F" w:rsidRPr="00FB76A9" w:rsidRDefault="00AB694F" w:rsidP="00FD5CD5">
            <w:pPr>
              <w:shd w:val="clear" w:color="auto" w:fill="FFFFFF"/>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Dopuszczenia do obrotu nie należy uważać za dowód zgodności z prawem Unii.”</w:t>
            </w:r>
          </w:p>
          <w:p w14:paraId="1B13B3C2" w14:textId="77777777" w:rsidR="00AB694F" w:rsidRPr="00FB76A9" w:rsidRDefault="00AB694F" w:rsidP="00FD5CD5">
            <w:pPr>
              <w:pStyle w:val="oj-normal"/>
              <w:shd w:val="clear" w:color="auto" w:fill="FFFFFF"/>
              <w:spacing w:before="0" w:beforeAutospacing="0" w:after="0" w:afterAutospacing="0"/>
            </w:pPr>
            <w:r w:rsidRPr="00FB76A9">
              <w:t>„Art. 28  1.  W przypadku gdy organy nadzoru rynku stwierdzą, że dany produkt stwarza poważne ryzyko, podejmują środki w celu zakazania wprowadzenia produktu do obrotu i zwracają się do organów wyznaczonych na podstawie art. 25 ust. 1 o niedopuszczenie go do obrotu. Zwracają się do tych organów również o zamieszczenie poniższej adnotacji w celnym systemie przetwarzania danych i, w stosownych przypadkach, na fakturze handlowej towarzyszącej produktowi i na każdym innym istotnym dokumencie towarzyszącym:</w:t>
            </w:r>
          </w:p>
          <w:p w14:paraId="5DE3C6BB" w14:textId="77777777" w:rsidR="00AB694F" w:rsidRPr="00FB76A9" w:rsidRDefault="00AB694F" w:rsidP="00FD5CD5">
            <w:pPr>
              <w:pStyle w:val="oj-normal"/>
              <w:shd w:val="clear" w:color="auto" w:fill="FFFFFF"/>
              <w:spacing w:before="0" w:beforeAutospacing="0" w:after="0" w:afterAutospacing="0"/>
            </w:pPr>
            <w:r w:rsidRPr="00FB76A9">
              <w:t>„Produkt niebezpieczny – niedopuszczony do obrotu – rozporządzenie (UE) 2019/1020”.</w:t>
            </w:r>
          </w:p>
          <w:p w14:paraId="064BE90D" w14:textId="77777777" w:rsidR="00AB694F" w:rsidRPr="00FB76A9" w:rsidRDefault="00AB694F" w:rsidP="00FD5CD5">
            <w:pPr>
              <w:pStyle w:val="oj-normal"/>
              <w:shd w:val="clear" w:color="auto" w:fill="FFFFFF"/>
              <w:spacing w:before="0" w:beforeAutospacing="0" w:after="0" w:afterAutospacing="0"/>
            </w:pPr>
            <w:r w:rsidRPr="00FB76A9">
              <w:t>Organy nadzoru rynku natychmiast wprowadzają tę informację do systemu informacyjnego i komunikacyjnego, o którym mowa w art. 34.</w:t>
            </w:r>
          </w:p>
          <w:p w14:paraId="29384787" w14:textId="77777777" w:rsidR="00AB694F" w:rsidRPr="00FB76A9" w:rsidRDefault="00AB694F" w:rsidP="00FD5CD5">
            <w:pPr>
              <w:pStyle w:val="oj-normal"/>
              <w:shd w:val="clear" w:color="auto" w:fill="FFFFFF"/>
              <w:spacing w:before="0" w:beforeAutospacing="0" w:after="0" w:afterAutospacing="0"/>
            </w:pPr>
            <w:r w:rsidRPr="00FB76A9">
              <w:t>2.   W przypadku gdy organy nadzoru rynku stwierdzą, że danego produktu nie można wprowadzić do obrotu, ponieważ nie jest on zgodny z prawem Unii, które ma do niego zastosowanie, podejmują środki w celu zakazania wprowadzenia produktu do obrotu i zwracają się do organów wyznaczonych na podstawie art. 25 ust. 1 o niedopuszczenie go do obrotu. Zwracają się do tych organów również o zamieszczenie poniższej adnotacji w systemie przetwarzania danych organów celnych i, w stosownych przypadkach, na fakturze handlowej towarzyszącej produktowi i na każdym innym istotnym dokumencie towarzyszącym:</w:t>
            </w:r>
          </w:p>
          <w:p w14:paraId="6F1CDB89" w14:textId="77777777" w:rsidR="00AB694F" w:rsidRPr="00FB76A9" w:rsidRDefault="00AB694F" w:rsidP="00FD5CD5">
            <w:pPr>
              <w:pStyle w:val="oj-normal"/>
              <w:shd w:val="clear" w:color="auto" w:fill="FFFFFF"/>
              <w:spacing w:before="0" w:beforeAutospacing="0" w:after="0" w:afterAutospacing="0"/>
            </w:pPr>
            <w:r w:rsidRPr="00FB76A9">
              <w:t>„Produkt niezgodny z przepisami – niedopuszczony do obrotu – rozporządzenie (UE) 2019/1020”.</w:t>
            </w:r>
          </w:p>
          <w:p w14:paraId="411EFA46" w14:textId="77777777" w:rsidR="00AB694F" w:rsidRPr="00FB76A9" w:rsidRDefault="00AB694F" w:rsidP="00FD5CD5">
            <w:pPr>
              <w:pStyle w:val="oj-normal"/>
              <w:shd w:val="clear" w:color="auto" w:fill="FFFFFF"/>
              <w:spacing w:before="0" w:beforeAutospacing="0" w:after="0" w:afterAutospacing="0"/>
            </w:pPr>
            <w:r w:rsidRPr="00FB76A9">
              <w:t>Organy nadzoru rynku natychmiast wprowadzają tę informację do systemu informacyjnego i komunikacyjnego, o którym mowa w art. 34.</w:t>
            </w:r>
          </w:p>
          <w:p w14:paraId="5C7431A9" w14:textId="77777777" w:rsidR="00AB694F" w:rsidRPr="00FB76A9" w:rsidRDefault="00AB694F" w:rsidP="00FD5CD5">
            <w:pPr>
              <w:pStyle w:val="oj-normal"/>
              <w:shd w:val="clear" w:color="auto" w:fill="FFFFFF"/>
              <w:spacing w:before="0" w:beforeAutospacing="0" w:after="0" w:afterAutospacing="0"/>
            </w:pPr>
            <w:r w:rsidRPr="00FB76A9">
              <w:t>3.   W przypadku gdy produkt, o którym mowa w ust. 1 lub 2, jest następnie zgłaszany do procedury celnej innej niż dopuszczenie do obrotu, a także pod warunkiem że organy nadzoru rynku nie zgłaszają zastrzeżeń, adnotacje wymagane na podstawie ust. 1 lub 2 zamieszcza się również – pod takimi samymi warunkami jak określono w ust. 1 lub 2 – na dokumentach wykorzystywanych w związku z tą procedurą.</w:t>
            </w:r>
          </w:p>
          <w:p w14:paraId="70A1FF40" w14:textId="77777777" w:rsidR="00AB694F" w:rsidRPr="00FB76A9" w:rsidRDefault="00AB694F" w:rsidP="00FD5CD5">
            <w:pPr>
              <w:pStyle w:val="oj-normal"/>
              <w:shd w:val="clear" w:color="auto" w:fill="FFFFFF"/>
              <w:spacing w:before="0" w:beforeAutospacing="0" w:after="0" w:afterAutospacing="0"/>
            </w:pPr>
            <w:r w:rsidRPr="00FB76A9">
              <w:t>4.   Organy wyznaczone na podstawie art. 25 ust. 1 mogą zniszczyć produkty stwarzające ryzyko dla zdrowia i bezpieczeństwa użytkowników końcowych lub w inny sposób sprawić, że staną się one niezdatne do użytku, gdy dany organ uzna to za niezbędne i proporcjonalne. Koszty takiego środka ponosi osoba fizyczna lub prawna zgłaszająca produkt do dopuszczenia do obrotu.</w:t>
            </w:r>
          </w:p>
          <w:p w14:paraId="11CA38CF" w14:textId="77777777" w:rsidR="00AB694F" w:rsidRPr="00FB76A9" w:rsidRDefault="00AB694F" w:rsidP="00FD5CD5">
            <w:pPr>
              <w:pStyle w:val="oj-normal"/>
              <w:shd w:val="clear" w:color="auto" w:fill="FFFFFF"/>
              <w:spacing w:before="0" w:after="0"/>
            </w:pPr>
            <w:r w:rsidRPr="00FB76A9">
              <w:t>Art. 197 i 198 rozporządzenia (UE) nr 952/2013 stosuje się odpowiednio.”</w:t>
            </w:r>
          </w:p>
        </w:tc>
        <w:tc>
          <w:tcPr>
            <w:tcW w:w="850" w:type="dxa"/>
            <w:gridSpan w:val="2"/>
            <w:vMerge w:val="restart"/>
            <w:tcBorders>
              <w:top w:val="single" w:sz="4" w:space="0" w:color="auto"/>
              <w:left w:val="single" w:sz="4" w:space="0" w:color="auto"/>
              <w:right w:val="single" w:sz="4" w:space="0" w:color="auto"/>
            </w:tcBorders>
          </w:tcPr>
          <w:p w14:paraId="15F208BC"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p w14:paraId="0145DC3B"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p>
        </w:tc>
        <w:tc>
          <w:tcPr>
            <w:tcW w:w="851" w:type="dxa"/>
            <w:gridSpan w:val="2"/>
            <w:vMerge/>
            <w:tcBorders>
              <w:left w:val="single" w:sz="4" w:space="0" w:color="auto"/>
              <w:bottom w:val="single" w:sz="4" w:space="0" w:color="auto"/>
              <w:right w:val="single" w:sz="4" w:space="0" w:color="auto"/>
            </w:tcBorders>
          </w:tcPr>
          <w:p w14:paraId="701E854B"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p>
        </w:tc>
        <w:tc>
          <w:tcPr>
            <w:tcW w:w="5103" w:type="dxa"/>
            <w:gridSpan w:val="2"/>
            <w:vMerge w:val="restart"/>
            <w:tcBorders>
              <w:top w:val="single" w:sz="4" w:space="0" w:color="auto"/>
              <w:left w:val="single" w:sz="4" w:space="0" w:color="auto"/>
              <w:right w:val="single" w:sz="4" w:space="0" w:color="auto"/>
            </w:tcBorders>
          </w:tcPr>
          <w:p w14:paraId="5DEC817C" w14:textId="77777777" w:rsidR="00AB694F" w:rsidRPr="00A51D93" w:rsidRDefault="00AB694F" w:rsidP="00FD5CD5">
            <w:pPr>
              <w:pStyle w:val="ZARTzmartartykuempunktem"/>
              <w:keepNext/>
              <w:spacing w:line="240" w:lineRule="auto"/>
              <w:ind w:left="0" w:firstLine="0"/>
              <w:jc w:val="left"/>
              <w:rPr>
                <w:rFonts w:ascii="Times New Roman" w:hAnsi="Times New Roman" w:cs="Times New Roman"/>
                <w:szCs w:val="24"/>
              </w:rPr>
            </w:pPr>
            <w:r w:rsidRPr="00A51D93">
              <w:rPr>
                <w:rFonts w:ascii="Times New Roman" w:hAnsi="Times New Roman" w:cs="Times New Roman"/>
                <w:szCs w:val="24"/>
              </w:rPr>
              <w:t>„Art. 68s 1. Dyrektor TDT jako organ nadzoru rynku jest uprawniony do:</w:t>
            </w:r>
          </w:p>
          <w:p w14:paraId="5530655C" w14:textId="77777777" w:rsidR="00AB694F" w:rsidRPr="00A51D93" w:rsidRDefault="00AB694F" w:rsidP="00FD5CD5">
            <w:pPr>
              <w:pStyle w:val="ZARTzmartartykuempunktem"/>
              <w:keepNext/>
              <w:spacing w:line="240" w:lineRule="auto"/>
              <w:ind w:left="0" w:firstLine="0"/>
              <w:jc w:val="left"/>
              <w:rPr>
                <w:rFonts w:ascii="Times New Roman" w:hAnsi="Times New Roman" w:cs="Times New Roman"/>
                <w:szCs w:val="24"/>
              </w:rPr>
            </w:pPr>
            <w:r w:rsidRPr="00A51D93">
              <w:rPr>
                <w:rFonts w:ascii="Times New Roman" w:hAnsi="Times New Roman" w:cs="Times New Roman"/>
                <w:szCs w:val="24"/>
              </w:rPr>
              <w:t>2)</w:t>
            </w:r>
            <w:r w:rsidRPr="00A51D93">
              <w:rPr>
                <w:rFonts w:ascii="Times New Roman" w:hAnsi="Times New Roman" w:cs="Times New Roman"/>
                <w:szCs w:val="24"/>
              </w:rPr>
              <w:tab/>
              <w:t>realizacji zadań, o których mowa w art. 12, art. 22−24 i rozdziale VII rozporządzenia 2019/1020;”</w:t>
            </w:r>
          </w:p>
          <w:p w14:paraId="3CAD692B" w14:textId="77777777" w:rsidR="00AB694F" w:rsidRDefault="00AB694F" w:rsidP="00FD5CD5">
            <w:pPr>
              <w:pStyle w:val="ZARTzmartartykuempunktem"/>
              <w:keepNext/>
              <w:spacing w:line="240" w:lineRule="auto"/>
              <w:ind w:left="70" w:firstLine="0"/>
              <w:jc w:val="left"/>
              <w:rPr>
                <w:rFonts w:ascii="Times New Roman" w:hAnsi="Times New Roman" w:cs="Times New Roman"/>
                <w:szCs w:val="24"/>
              </w:rPr>
            </w:pPr>
            <w:r w:rsidRPr="00A51D93">
              <w:rPr>
                <w:rFonts w:ascii="Times New Roman" w:hAnsi="Times New Roman" w:cs="Times New Roman"/>
                <w:szCs w:val="24"/>
              </w:rPr>
              <w:t>„Art. 68zz.</w:t>
            </w:r>
            <w:r w:rsidRPr="00AB694F">
              <w:rPr>
                <w:rFonts w:ascii="Times New Roman" w:hAnsi="Times New Roman" w:cs="Times New Roman"/>
                <w:szCs w:val="24"/>
              </w:rPr>
              <w:t xml:space="preserve"> Zasady postępowania Dyrektora TDT jako organu nadzoru rynku w odniesieniu do pojazdów, przedmiotów wyposażenia lub części objętych procedurą celną dopuszczenia do obrotu, o której mowa w art. 25 ust. 3 rozporządzenia 2019/1020, realizowaną przez organy celne, określają przepisy art. 26–28 tego rozporządzenia.”</w:t>
            </w:r>
          </w:p>
          <w:p w14:paraId="63A85BEE" w14:textId="77777777" w:rsidR="00A51D93" w:rsidRDefault="00A51D93" w:rsidP="00FD5CD5">
            <w:pPr>
              <w:pStyle w:val="ZARTzmartartykuempunktem"/>
              <w:keepNext/>
              <w:spacing w:line="240" w:lineRule="auto"/>
              <w:ind w:left="70" w:firstLine="0"/>
              <w:jc w:val="left"/>
              <w:rPr>
                <w:rFonts w:ascii="Times New Roman" w:hAnsi="Times New Roman" w:cs="Times New Roman"/>
                <w:szCs w:val="24"/>
              </w:rPr>
            </w:pPr>
          </w:p>
          <w:p w14:paraId="4CDB93F9" w14:textId="77777777" w:rsidR="00A51D93" w:rsidRDefault="00A51D93" w:rsidP="00A51D93">
            <w:pPr>
              <w:pStyle w:val="Tekstkomentarza"/>
              <w:rPr>
                <w:rFonts w:ascii="Times New Roman" w:eastAsia="Times New Roman" w:hAnsi="Times New Roman" w:cs="Times New Roman"/>
                <w:b/>
                <w:sz w:val="24"/>
                <w:szCs w:val="24"/>
                <w:lang w:eastAsia="pl-PL"/>
              </w:rPr>
            </w:pPr>
            <w:r w:rsidRPr="00A82B4D">
              <w:rPr>
                <w:rFonts w:ascii="Times New Roman" w:eastAsia="Times New Roman" w:hAnsi="Times New Roman" w:cs="Times New Roman"/>
                <w:b/>
                <w:sz w:val="24"/>
                <w:szCs w:val="24"/>
                <w:lang w:eastAsia="pl-PL"/>
              </w:rPr>
              <w:t>Głównym aktem prawnym regulującym ustrój oraz właściwość organów celnych w Polsce jest ustawa z dnia 19 marca 2004 r. – Prawo celne (Dz.</w:t>
            </w:r>
            <w:r w:rsidR="00A82B4D">
              <w:rPr>
                <w:rFonts w:ascii="Times New Roman" w:eastAsia="Times New Roman" w:hAnsi="Times New Roman" w:cs="Times New Roman"/>
                <w:b/>
                <w:sz w:val="24"/>
                <w:szCs w:val="24"/>
                <w:lang w:eastAsia="pl-PL"/>
              </w:rPr>
              <w:t xml:space="preserve"> </w:t>
            </w:r>
            <w:r w:rsidRPr="00A82B4D">
              <w:rPr>
                <w:rFonts w:ascii="Times New Roman" w:eastAsia="Times New Roman" w:hAnsi="Times New Roman" w:cs="Times New Roman"/>
                <w:b/>
                <w:sz w:val="24"/>
                <w:szCs w:val="24"/>
                <w:lang w:eastAsia="pl-PL"/>
              </w:rPr>
              <w:t xml:space="preserve">U. z 2024 r. poz. 1373) – organy celne i ich właściwość wskazuje art. 69 tej ustawy. </w:t>
            </w:r>
          </w:p>
          <w:p w14:paraId="1EC8A17C" w14:textId="77777777" w:rsidR="00A82B4D" w:rsidRPr="00A82B4D" w:rsidRDefault="00A82B4D" w:rsidP="00A51D93">
            <w:pPr>
              <w:pStyle w:val="Tekstkomentarza"/>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4 pkt 3 odnosi się do unijnego kodeksu celnego w odniesieniu do rozporządzenia (UE) 952/2013, z kolei art. 5 wskazuje na zakres przemieszczania się towarów w Unii. </w:t>
            </w:r>
          </w:p>
          <w:p w14:paraId="11E7C65A" w14:textId="77777777" w:rsidR="00AB694F" w:rsidRDefault="00AB694F" w:rsidP="00FD5CD5">
            <w:pPr>
              <w:pStyle w:val="ZARTzmartartykuempunktem"/>
              <w:keepNext/>
              <w:spacing w:line="240" w:lineRule="auto"/>
              <w:ind w:left="70"/>
              <w:jc w:val="left"/>
              <w:rPr>
                <w:rFonts w:ascii="Times New Roman" w:hAnsi="Times New Roman" w:cs="Times New Roman"/>
                <w:szCs w:val="24"/>
              </w:rPr>
            </w:pPr>
          </w:p>
          <w:p w14:paraId="03B115EF"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3BA31DE2"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7BBE3972"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4BAEBC28"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09751A2F"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6C7A33C5"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2720FD56"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37A38DF5"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1889AEF2"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75094391"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7F7200B7"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5392742D"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347FBA64"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231E5237"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5D44D12F"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3419E3AC"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60401107"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14DA27B1"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1031653B"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52053730"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2D231377"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35AE8CB4"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0458B261"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59BFF6AC"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3467109B"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70F4E844"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7E7F705C"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7A067CC5"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65ED7B70"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62A56ADA"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7F010E00"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668309E9"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4C202FD9"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09D86982"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4E545341"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140AB2D7"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797BADDB"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18C99CE7" w14:textId="77777777" w:rsidR="00A40560" w:rsidRDefault="00A40560" w:rsidP="00FD5CD5">
            <w:pPr>
              <w:pStyle w:val="ZARTzmartartykuempunktem"/>
              <w:keepNext/>
              <w:spacing w:line="240" w:lineRule="auto"/>
              <w:ind w:left="70"/>
              <w:jc w:val="left"/>
              <w:rPr>
                <w:rFonts w:ascii="Times New Roman" w:hAnsi="Times New Roman" w:cs="Times New Roman"/>
                <w:szCs w:val="24"/>
              </w:rPr>
            </w:pPr>
          </w:p>
          <w:p w14:paraId="09950497" w14:textId="77777777" w:rsidR="00A40560" w:rsidRPr="00A40560" w:rsidRDefault="00A40560" w:rsidP="00A40560">
            <w:pPr>
              <w:pStyle w:val="ZUSTzmustartykuempunktem"/>
              <w:spacing w:line="240" w:lineRule="auto"/>
              <w:ind w:left="0" w:firstLine="0"/>
              <w:jc w:val="left"/>
              <w:rPr>
                <w:rFonts w:ascii="Times New Roman" w:hAnsi="Times New Roman" w:cs="Times New Roman"/>
                <w:b/>
                <w:szCs w:val="24"/>
                <w:u w:val="single"/>
              </w:rPr>
            </w:pPr>
            <w:r w:rsidRPr="00A40560">
              <w:rPr>
                <w:rFonts w:ascii="Times New Roman" w:hAnsi="Times New Roman" w:cs="Times New Roman"/>
                <w:b/>
                <w:szCs w:val="24"/>
                <w:u w:val="single"/>
              </w:rPr>
              <w:t>W odniesieniu do art. 25 ust. 6 – patrz wyjaśnienia w zakresie art. 6 ust. 8 i 9, art. 8 ust. 6 i 7 rozporządzenia UE 858:</w:t>
            </w:r>
          </w:p>
          <w:p w14:paraId="34DDD0F3" w14:textId="77777777" w:rsidR="00A40560" w:rsidRPr="00A40560" w:rsidRDefault="00A40560" w:rsidP="00A40560">
            <w:pPr>
              <w:rPr>
                <w:rFonts w:ascii="Times New Roman" w:eastAsiaTheme="minorEastAsia" w:hAnsi="Times New Roman" w:cs="Times New Roman"/>
                <w:b/>
                <w:sz w:val="24"/>
                <w:szCs w:val="24"/>
                <w:lang w:eastAsia="pl-PL"/>
              </w:rPr>
            </w:pPr>
          </w:p>
        </w:tc>
        <w:tc>
          <w:tcPr>
            <w:tcW w:w="2268" w:type="dxa"/>
            <w:tcBorders>
              <w:top w:val="single" w:sz="4" w:space="0" w:color="auto"/>
              <w:left w:val="single" w:sz="4" w:space="0" w:color="auto"/>
              <w:bottom w:val="single" w:sz="4" w:space="0" w:color="auto"/>
              <w:right w:val="single" w:sz="4" w:space="0" w:color="auto"/>
            </w:tcBorders>
          </w:tcPr>
          <w:p w14:paraId="3CA5C7AE" w14:textId="77777777" w:rsidR="00AB694F" w:rsidRPr="00FB76A9" w:rsidRDefault="00AB694F" w:rsidP="00FD5CD5">
            <w:pPr>
              <w:pStyle w:val="ZARTzmartartykuempunktem"/>
              <w:keepNext/>
              <w:spacing w:line="240" w:lineRule="auto"/>
              <w:ind w:left="70" w:right="3104" w:firstLine="0"/>
              <w:jc w:val="left"/>
              <w:rPr>
                <w:rFonts w:ascii="Times New Roman" w:hAnsi="Times New Roman" w:cs="Times New Roman"/>
                <w:szCs w:val="24"/>
                <w:highlight w:val="yellow"/>
              </w:rPr>
            </w:pPr>
          </w:p>
        </w:tc>
      </w:tr>
      <w:tr w:rsidR="00AB694F" w:rsidRPr="00FB76A9" w14:paraId="117F78DB" w14:textId="77777777" w:rsidTr="00B923FC">
        <w:trPr>
          <w:trHeight w:val="470"/>
        </w:trPr>
        <w:tc>
          <w:tcPr>
            <w:tcW w:w="988" w:type="dxa"/>
            <w:vMerge/>
            <w:tcBorders>
              <w:left w:val="single" w:sz="4" w:space="0" w:color="auto"/>
              <w:right w:val="single" w:sz="4" w:space="0" w:color="auto"/>
            </w:tcBorders>
          </w:tcPr>
          <w:p w14:paraId="385B9494" w14:textId="77777777" w:rsidR="00AB694F" w:rsidRPr="00FB76A9" w:rsidRDefault="00AB694F" w:rsidP="00FD5CD5">
            <w:pPr>
              <w:spacing w:after="0" w:line="240" w:lineRule="auto"/>
              <w:rPr>
                <w:rFonts w:ascii="Times New Roman" w:eastAsia="Times New Roman" w:hAnsi="Times New Roman" w:cs="Times New Roman"/>
                <w:b/>
                <w:sz w:val="24"/>
                <w:szCs w:val="24"/>
                <w:lang w:eastAsia="pl-PL"/>
              </w:rPr>
            </w:pPr>
          </w:p>
        </w:tc>
        <w:tc>
          <w:tcPr>
            <w:tcW w:w="4961" w:type="dxa"/>
            <w:vMerge/>
            <w:tcBorders>
              <w:left w:val="single" w:sz="4" w:space="0" w:color="auto"/>
              <w:right w:val="single" w:sz="4" w:space="0" w:color="auto"/>
            </w:tcBorders>
          </w:tcPr>
          <w:p w14:paraId="2C5FCE87" w14:textId="77777777" w:rsidR="00AB694F" w:rsidRPr="00FB76A9" w:rsidRDefault="00AB694F" w:rsidP="00FD5CD5">
            <w:pPr>
              <w:pStyle w:val="oj-normal"/>
              <w:shd w:val="clear" w:color="auto" w:fill="FFFFFF"/>
              <w:spacing w:before="0" w:after="0"/>
            </w:pPr>
          </w:p>
        </w:tc>
        <w:tc>
          <w:tcPr>
            <w:tcW w:w="850" w:type="dxa"/>
            <w:gridSpan w:val="2"/>
            <w:vMerge/>
            <w:tcBorders>
              <w:left w:val="single" w:sz="4" w:space="0" w:color="auto"/>
              <w:right w:val="single" w:sz="4" w:space="0" w:color="auto"/>
            </w:tcBorders>
          </w:tcPr>
          <w:p w14:paraId="7282E5EF"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p>
        </w:tc>
        <w:tc>
          <w:tcPr>
            <w:tcW w:w="851" w:type="dxa"/>
            <w:gridSpan w:val="2"/>
            <w:vMerge w:val="restart"/>
            <w:tcBorders>
              <w:top w:val="single" w:sz="4" w:space="0" w:color="auto"/>
              <w:left w:val="single" w:sz="4" w:space="0" w:color="auto"/>
              <w:right w:val="single" w:sz="4" w:space="0" w:color="auto"/>
            </w:tcBorders>
          </w:tcPr>
          <w:p w14:paraId="22BBFA50"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p>
        </w:tc>
        <w:tc>
          <w:tcPr>
            <w:tcW w:w="5103" w:type="dxa"/>
            <w:gridSpan w:val="2"/>
            <w:vMerge/>
            <w:tcBorders>
              <w:left w:val="single" w:sz="4" w:space="0" w:color="auto"/>
              <w:right w:val="single" w:sz="4" w:space="0" w:color="auto"/>
            </w:tcBorders>
          </w:tcPr>
          <w:p w14:paraId="207E858A" w14:textId="77777777" w:rsidR="00AB694F" w:rsidRPr="00FB76A9" w:rsidRDefault="00AB694F" w:rsidP="00FD5CD5">
            <w:pPr>
              <w:pStyle w:val="ZARTzmartartykuempunktem"/>
              <w:spacing w:line="240" w:lineRule="auto"/>
              <w:ind w:left="70"/>
              <w:jc w:val="left"/>
              <w:rPr>
                <w:rFonts w:ascii="Times New Roman" w:hAnsi="Times New Roman" w:cs="Times New Roman"/>
                <w:szCs w:val="24"/>
              </w:rPr>
            </w:pPr>
          </w:p>
        </w:tc>
        <w:tc>
          <w:tcPr>
            <w:tcW w:w="2268" w:type="dxa"/>
            <w:tcBorders>
              <w:top w:val="single" w:sz="4" w:space="0" w:color="auto"/>
              <w:left w:val="single" w:sz="4" w:space="0" w:color="auto"/>
              <w:bottom w:val="single" w:sz="4" w:space="0" w:color="auto"/>
              <w:right w:val="single" w:sz="4" w:space="0" w:color="auto"/>
            </w:tcBorders>
          </w:tcPr>
          <w:p w14:paraId="30D5B4A2" w14:textId="77777777" w:rsidR="00AB694F" w:rsidRPr="00FB76A9" w:rsidRDefault="00AB694F" w:rsidP="00FD5CD5">
            <w:pPr>
              <w:pStyle w:val="ZARTzmartartykuempunktem"/>
              <w:keepNext/>
              <w:spacing w:line="240" w:lineRule="auto"/>
              <w:ind w:left="70" w:right="3104" w:firstLine="0"/>
              <w:jc w:val="left"/>
              <w:rPr>
                <w:rFonts w:ascii="Times New Roman" w:hAnsi="Times New Roman" w:cs="Times New Roman"/>
                <w:szCs w:val="24"/>
                <w:highlight w:val="yellow"/>
              </w:rPr>
            </w:pPr>
          </w:p>
        </w:tc>
      </w:tr>
      <w:tr w:rsidR="00AB694F" w:rsidRPr="00FB76A9" w14:paraId="6F725EF7" w14:textId="77777777" w:rsidTr="00B923FC">
        <w:trPr>
          <w:trHeight w:val="470"/>
        </w:trPr>
        <w:tc>
          <w:tcPr>
            <w:tcW w:w="988" w:type="dxa"/>
            <w:vMerge/>
            <w:tcBorders>
              <w:left w:val="single" w:sz="4" w:space="0" w:color="auto"/>
              <w:right w:val="single" w:sz="4" w:space="0" w:color="auto"/>
            </w:tcBorders>
          </w:tcPr>
          <w:p w14:paraId="624C2068" w14:textId="77777777" w:rsidR="00AB694F" w:rsidRPr="00FB76A9" w:rsidRDefault="00AB694F" w:rsidP="00FD5CD5">
            <w:pPr>
              <w:spacing w:after="0" w:line="240" w:lineRule="auto"/>
              <w:rPr>
                <w:rFonts w:ascii="Times New Roman" w:eastAsia="Times New Roman" w:hAnsi="Times New Roman" w:cs="Times New Roman"/>
                <w:b/>
                <w:sz w:val="24"/>
                <w:szCs w:val="24"/>
                <w:lang w:eastAsia="pl-PL"/>
              </w:rPr>
            </w:pPr>
          </w:p>
        </w:tc>
        <w:tc>
          <w:tcPr>
            <w:tcW w:w="4961" w:type="dxa"/>
            <w:vMerge/>
            <w:tcBorders>
              <w:left w:val="single" w:sz="4" w:space="0" w:color="auto"/>
              <w:right w:val="single" w:sz="4" w:space="0" w:color="auto"/>
            </w:tcBorders>
          </w:tcPr>
          <w:p w14:paraId="1D840E20" w14:textId="77777777" w:rsidR="00AB694F" w:rsidRPr="00FB76A9" w:rsidRDefault="00AB694F" w:rsidP="00FD5CD5">
            <w:pPr>
              <w:pStyle w:val="oj-normal"/>
              <w:shd w:val="clear" w:color="auto" w:fill="FFFFFF"/>
              <w:spacing w:before="0" w:after="0"/>
            </w:pPr>
          </w:p>
        </w:tc>
        <w:tc>
          <w:tcPr>
            <w:tcW w:w="850" w:type="dxa"/>
            <w:gridSpan w:val="2"/>
            <w:vMerge/>
            <w:tcBorders>
              <w:left w:val="single" w:sz="4" w:space="0" w:color="auto"/>
              <w:right w:val="single" w:sz="4" w:space="0" w:color="auto"/>
            </w:tcBorders>
          </w:tcPr>
          <w:p w14:paraId="6E1E9B05"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p>
        </w:tc>
        <w:tc>
          <w:tcPr>
            <w:tcW w:w="851" w:type="dxa"/>
            <w:gridSpan w:val="2"/>
            <w:vMerge/>
            <w:tcBorders>
              <w:left w:val="single" w:sz="4" w:space="0" w:color="auto"/>
              <w:right w:val="single" w:sz="4" w:space="0" w:color="auto"/>
            </w:tcBorders>
          </w:tcPr>
          <w:p w14:paraId="272DEDE7"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p>
        </w:tc>
        <w:tc>
          <w:tcPr>
            <w:tcW w:w="5103" w:type="dxa"/>
            <w:gridSpan w:val="2"/>
            <w:vMerge/>
            <w:tcBorders>
              <w:left w:val="single" w:sz="4" w:space="0" w:color="auto"/>
              <w:right w:val="single" w:sz="4" w:space="0" w:color="auto"/>
            </w:tcBorders>
          </w:tcPr>
          <w:p w14:paraId="280C7DBA" w14:textId="77777777" w:rsidR="00AB694F" w:rsidRPr="00FB76A9" w:rsidRDefault="00AB694F" w:rsidP="00FD5CD5">
            <w:pPr>
              <w:pStyle w:val="ZARTzmartartykuempunktem"/>
              <w:spacing w:line="240" w:lineRule="auto"/>
              <w:ind w:left="70"/>
              <w:jc w:val="left"/>
              <w:rPr>
                <w:rFonts w:ascii="Times New Roman" w:hAnsi="Times New Roman" w:cs="Times New Roman"/>
                <w:szCs w:val="24"/>
              </w:rPr>
            </w:pPr>
          </w:p>
        </w:tc>
        <w:tc>
          <w:tcPr>
            <w:tcW w:w="2268" w:type="dxa"/>
            <w:tcBorders>
              <w:top w:val="single" w:sz="4" w:space="0" w:color="auto"/>
              <w:left w:val="single" w:sz="4" w:space="0" w:color="auto"/>
              <w:bottom w:val="single" w:sz="4" w:space="0" w:color="auto"/>
              <w:right w:val="single" w:sz="4" w:space="0" w:color="auto"/>
            </w:tcBorders>
          </w:tcPr>
          <w:p w14:paraId="02401500" w14:textId="77777777" w:rsidR="00AB694F" w:rsidRPr="00FB76A9" w:rsidRDefault="00AB694F" w:rsidP="00FD5CD5">
            <w:pPr>
              <w:pStyle w:val="ZARTzmartartykuempunktem"/>
              <w:keepNext/>
              <w:spacing w:line="240" w:lineRule="auto"/>
              <w:ind w:left="70" w:right="3104" w:firstLine="0"/>
              <w:jc w:val="left"/>
              <w:rPr>
                <w:rFonts w:ascii="Times New Roman" w:hAnsi="Times New Roman" w:cs="Times New Roman"/>
                <w:szCs w:val="24"/>
                <w:highlight w:val="yellow"/>
              </w:rPr>
            </w:pPr>
          </w:p>
        </w:tc>
      </w:tr>
      <w:tr w:rsidR="00AB694F" w:rsidRPr="00FB76A9" w14:paraId="23443BE0" w14:textId="77777777" w:rsidTr="00B923FC">
        <w:trPr>
          <w:trHeight w:val="470"/>
        </w:trPr>
        <w:tc>
          <w:tcPr>
            <w:tcW w:w="988" w:type="dxa"/>
            <w:vMerge/>
            <w:tcBorders>
              <w:left w:val="single" w:sz="4" w:space="0" w:color="auto"/>
              <w:bottom w:val="single" w:sz="4" w:space="0" w:color="auto"/>
              <w:right w:val="single" w:sz="4" w:space="0" w:color="auto"/>
            </w:tcBorders>
          </w:tcPr>
          <w:p w14:paraId="11B20BE4" w14:textId="77777777" w:rsidR="00AB694F" w:rsidRPr="00FB76A9" w:rsidRDefault="00AB694F" w:rsidP="00FD5CD5">
            <w:pPr>
              <w:spacing w:after="0" w:line="240" w:lineRule="auto"/>
              <w:rPr>
                <w:rFonts w:ascii="Times New Roman" w:eastAsia="Times New Roman" w:hAnsi="Times New Roman" w:cs="Times New Roman"/>
                <w:b/>
                <w:sz w:val="24"/>
                <w:szCs w:val="24"/>
                <w:lang w:eastAsia="pl-PL"/>
              </w:rPr>
            </w:pPr>
          </w:p>
        </w:tc>
        <w:tc>
          <w:tcPr>
            <w:tcW w:w="4961" w:type="dxa"/>
            <w:vMerge/>
            <w:tcBorders>
              <w:left w:val="single" w:sz="4" w:space="0" w:color="auto"/>
              <w:bottom w:val="single" w:sz="4" w:space="0" w:color="auto"/>
              <w:right w:val="single" w:sz="4" w:space="0" w:color="auto"/>
            </w:tcBorders>
          </w:tcPr>
          <w:p w14:paraId="767EF26E" w14:textId="77777777" w:rsidR="00AB694F" w:rsidRPr="00FB76A9" w:rsidRDefault="00AB694F" w:rsidP="00FD5CD5">
            <w:pPr>
              <w:pStyle w:val="oj-normal"/>
              <w:shd w:val="clear" w:color="auto" w:fill="FFFFFF"/>
              <w:spacing w:before="0" w:beforeAutospacing="0" w:after="0" w:afterAutospacing="0"/>
            </w:pPr>
          </w:p>
        </w:tc>
        <w:tc>
          <w:tcPr>
            <w:tcW w:w="850" w:type="dxa"/>
            <w:gridSpan w:val="2"/>
            <w:vMerge/>
            <w:tcBorders>
              <w:left w:val="single" w:sz="4" w:space="0" w:color="auto"/>
              <w:bottom w:val="single" w:sz="4" w:space="0" w:color="auto"/>
              <w:right w:val="single" w:sz="4" w:space="0" w:color="auto"/>
            </w:tcBorders>
          </w:tcPr>
          <w:p w14:paraId="7F276689"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p>
        </w:tc>
        <w:tc>
          <w:tcPr>
            <w:tcW w:w="851" w:type="dxa"/>
            <w:gridSpan w:val="2"/>
            <w:vMerge/>
            <w:tcBorders>
              <w:left w:val="single" w:sz="4" w:space="0" w:color="auto"/>
              <w:bottom w:val="single" w:sz="4" w:space="0" w:color="auto"/>
              <w:right w:val="single" w:sz="4" w:space="0" w:color="auto"/>
            </w:tcBorders>
          </w:tcPr>
          <w:p w14:paraId="25958A49" w14:textId="77777777" w:rsidR="00AB694F" w:rsidRPr="00FB76A9" w:rsidRDefault="00AB694F" w:rsidP="00FD5CD5">
            <w:pPr>
              <w:spacing w:after="0" w:line="240" w:lineRule="auto"/>
              <w:rPr>
                <w:rFonts w:ascii="Times New Roman" w:eastAsia="Times New Roman" w:hAnsi="Times New Roman" w:cs="Times New Roman"/>
                <w:sz w:val="24"/>
                <w:szCs w:val="24"/>
                <w:lang w:eastAsia="pl-PL"/>
              </w:rPr>
            </w:pPr>
          </w:p>
        </w:tc>
        <w:tc>
          <w:tcPr>
            <w:tcW w:w="5103" w:type="dxa"/>
            <w:gridSpan w:val="2"/>
            <w:vMerge/>
            <w:tcBorders>
              <w:left w:val="single" w:sz="4" w:space="0" w:color="auto"/>
              <w:bottom w:val="single" w:sz="4" w:space="0" w:color="auto"/>
              <w:right w:val="single" w:sz="4" w:space="0" w:color="auto"/>
            </w:tcBorders>
          </w:tcPr>
          <w:p w14:paraId="74E6D760" w14:textId="77777777" w:rsidR="00AB694F" w:rsidRPr="00FB76A9" w:rsidRDefault="00AB694F" w:rsidP="00FD5CD5">
            <w:pPr>
              <w:pStyle w:val="ZARTzmartartykuempunktem"/>
              <w:spacing w:line="240" w:lineRule="auto"/>
              <w:ind w:left="70" w:firstLine="0"/>
              <w:jc w:val="left"/>
              <w:rPr>
                <w:rFonts w:ascii="Times New Roman" w:hAnsi="Times New Roman" w:cs="Times New Roman"/>
                <w:szCs w:val="24"/>
              </w:rPr>
            </w:pPr>
          </w:p>
        </w:tc>
        <w:tc>
          <w:tcPr>
            <w:tcW w:w="2268" w:type="dxa"/>
            <w:tcBorders>
              <w:top w:val="single" w:sz="4" w:space="0" w:color="auto"/>
              <w:left w:val="single" w:sz="4" w:space="0" w:color="auto"/>
              <w:bottom w:val="single" w:sz="4" w:space="0" w:color="auto"/>
              <w:right w:val="single" w:sz="4" w:space="0" w:color="auto"/>
            </w:tcBorders>
          </w:tcPr>
          <w:p w14:paraId="56E17B4E" w14:textId="77777777" w:rsidR="00AB694F" w:rsidRPr="00FB76A9" w:rsidRDefault="00AB694F" w:rsidP="00FD5CD5">
            <w:pPr>
              <w:pStyle w:val="ZARTzmartartykuempunktem"/>
              <w:keepNext/>
              <w:spacing w:line="240" w:lineRule="auto"/>
              <w:ind w:left="70" w:right="3104" w:firstLine="0"/>
              <w:jc w:val="left"/>
              <w:rPr>
                <w:rFonts w:ascii="Times New Roman" w:hAnsi="Times New Roman" w:cs="Times New Roman"/>
                <w:szCs w:val="24"/>
                <w:highlight w:val="yellow"/>
              </w:rPr>
            </w:pPr>
          </w:p>
        </w:tc>
      </w:tr>
      <w:tr w:rsidR="003A7971" w:rsidRPr="00FB76A9" w14:paraId="3CF94561" w14:textId="77777777" w:rsidTr="00B923FC">
        <w:trPr>
          <w:trHeight w:val="470"/>
        </w:trPr>
        <w:tc>
          <w:tcPr>
            <w:tcW w:w="988" w:type="dxa"/>
            <w:tcBorders>
              <w:left w:val="single" w:sz="4" w:space="0" w:color="auto"/>
              <w:bottom w:val="single" w:sz="4" w:space="0" w:color="auto"/>
              <w:right w:val="single" w:sz="4" w:space="0" w:color="auto"/>
            </w:tcBorders>
          </w:tcPr>
          <w:p w14:paraId="0BB9C05E" w14:textId="77777777" w:rsidR="003A7971" w:rsidRPr="00FB76A9" w:rsidRDefault="003A7971" w:rsidP="00FD5CD5">
            <w:pPr>
              <w:spacing w:after="0" w:line="240" w:lineRule="auto"/>
              <w:rPr>
                <w:rFonts w:ascii="Times New Roman" w:eastAsia="Times New Roman" w:hAnsi="Times New Roman" w:cs="Times New Roman"/>
                <w:b/>
                <w:sz w:val="24"/>
                <w:szCs w:val="24"/>
                <w:lang w:eastAsia="pl-PL"/>
              </w:rPr>
            </w:pPr>
            <w:r w:rsidRPr="007A610C">
              <w:rPr>
                <w:rFonts w:ascii="Times New Roman" w:eastAsia="Times New Roman" w:hAnsi="Times New Roman" w:cs="Times New Roman"/>
                <w:b/>
                <w:sz w:val="24"/>
                <w:szCs w:val="24"/>
                <w:lang w:eastAsia="pl-PL"/>
              </w:rPr>
              <w:t>Art. 34.4</w:t>
            </w:r>
          </w:p>
        </w:tc>
        <w:tc>
          <w:tcPr>
            <w:tcW w:w="4961" w:type="dxa"/>
            <w:tcBorders>
              <w:left w:val="single" w:sz="4" w:space="0" w:color="auto"/>
              <w:bottom w:val="single" w:sz="4" w:space="0" w:color="auto"/>
              <w:right w:val="single" w:sz="4" w:space="0" w:color="auto"/>
            </w:tcBorders>
          </w:tcPr>
          <w:p w14:paraId="70158E44" w14:textId="77777777" w:rsidR="003A7971" w:rsidRPr="003A7971" w:rsidRDefault="003A7971" w:rsidP="00FD5CD5">
            <w:pPr>
              <w:pStyle w:val="oj-normal"/>
              <w:shd w:val="clear" w:color="auto" w:fill="FFFFFF"/>
              <w:spacing w:before="0" w:beforeAutospacing="0" w:after="0" w:afterAutospacing="0"/>
              <w:rPr>
                <w:bCs/>
              </w:rPr>
            </w:pPr>
            <w:r w:rsidRPr="003A7971">
              <w:rPr>
                <w:bCs/>
              </w:rPr>
              <w:t xml:space="preserve">Art. </w:t>
            </w:r>
            <w:r>
              <w:rPr>
                <w:bCs/>
              </w:rPr>
              <w:t>34.4 „</w:t>
            </w:r>
            <w:r w:rsidRPr="003A7971">
              <w:rPr>
                <w:bCs/>
              </w:rPr>
              <w:t>4. Organy nadzoru rynku wprowadzają do systemu informacyjnego i komunikacyjnego następujące informacje dotyczące produktów udostępnionych na rynku, w odniesieniu do których przeprowadzono szczegółową kontrolę zgodności, nie naruszając przepisów art. 12 dyrektywy 2001/95/WE ani art. 20 niniejszego rozporządzenia, oraz, w stosownych przypadkach, dotyczące produktów wprowadzanych na rynek Unii, w przypadku których na terytorium tych organów zawieszono proces dopuszczenia do obrotu zgodnie z art. 26 niniejszego rozporządzenia:</w:t>
            </w:r>
          </w:p>
          <w:p w14:paraId="05FFC8C8" w14:textId="77777777" w:rsidR="003A7971" w:rsidRPr="003A7971" w:rsidRDefault="003A7971" w:rsidP="00FD5CD5">
            <w:pPr>
              <w:pStyle w:val="oj-normal"/>
              <w:shd w:val="clear" w:color="auto" w:fill="FFFFFF"/>
              <w:spacing w:before="0" w:beforeAutospacing="0" w:after="0" w:afterAutospacing="0"/>
              <w:rPr>
                <w:bCs/>
              </w:rPr>
            </w:pPr>
            <w:r w:rsidRPr="003A7971">
              <w:rPr>
                <w:bCs/>
              </w:rPr>
              <w:t>a) środki zgodnie z art. 16 ust. 5 podjęte przez ten organ nadzoru rynku;</w:t>
            </w:r>
          </w:p>
          <w:p w14:paraId="40C660B8" w14:textId="77777777" w:rsidR="003A7971" w:rsidRPr="003A7971" w:rsidRDefault="003A7971" w:rsidP="00FD5CD5">
            <w:pPr>
              <w:pStyle w:val="oj-normal"/>
              <w:shd w:val="clear" w:color="auto" w:fill="FFFFFF"/>
              <w:spacing w:before="0" w:beforeAutospacing="0" w:after="0" w:afterAutospacing="0"/>
              <w:rPr>
                <w:bCs/>
              </w:rPr>
            </w:pPr>
            <w:r w:rsidRPr="003A7971">
              <w:rPr>
                <w:bCs/>
              </w:rPr>
              <w:t>b) sprawozdania z przeprowadzonych przez nie badań;</w:t>
            </w:r>
          </w:p>
          <w:p w14:paraId="1579584D" w14:textId="77777777" w:rsidR="003A7971" w:rsidRPr="003A7971" w:rsidRDefault="003A7971" w:rsidP="00FD5CD5">
            <w:pPr>
              <w:pStyle w:val="oj-normal"/>
              <w:shd w:val="clear" w:color="auto" w:fill="FFFFFF"/>
              <w:spacing w:before="0" w:beforeAutospacing="0" w:after="0" w:afterAutospacing="0"/>
              <w:rPr>
                <w:bCs/>
              </w:rPr>
            </w:pPr>
            <w:r w:rsidRPr="003A7971">
              <w:rPr>
                <w:bCs/>
              </w:rPr>
              <w:t>c) działania naprawcze podjęte przez zainteresowane podmioty gospodarcze;</w:t>
            </w:r>
          </w:p>
          <w:p w14:paraId="6B3D3333" w14:textId="77777777" w:rsidR="003A7971" w:rsidRPr="003A7971" w:rsidRDefault="003A7971" w:rsidP="00FD5CD5">
            <w:pPr>
              <w:pStyle w:val="oj-normal"/>
              <w:shd w:val="clear" w:color="auto" w:fill="FFFFFF"/>
              <w:spacing w:before="0" w:beforeAutospacing="0" w:after="0" w:afterAutospacing="0"/>
              <w:rPr>
                <w:bCs/>
              </w:rPr>
            </w:pPr>
            <w:r w:rsidRPr="003A7971">
              <w:rPr>
                <w:bCs/>
              </w:rPr>
              <w:t>d) łatwo dostępne raporty o urazach spowodowanych przez dany produkt;</w:t>
            </w:r>
          </w:p>
          <w:p w14:paraId="25E21255" w14:textId="77777777" w:rsidR="003A7971" w:rsidRPr="003A7971" w:rsidRDefault="003A7971" w:rsidP="00FD5CD5">
            <w:pPr>
              <w:pStyle w:val="oj-normal"/>
              <w:shd w:val="clear" w:color="auto" w:fill="FFFFFF"/>
              <w:spacing w:before="0" w:beforeAutospacing="0" w:after="0" w:afterAutospacing="0"/>
              <w:rPr>
                <w:bCs/>
              </w:rPr>
            </w:pPr>
            <w:r w:rsidRPr="003A7971">
              <w:rPr>
                <w:bCs/>
              </w:rPr>
              <w:t>e) wszelkie sprzeciwy wniesione przez państwo członkowskie zgodnie z mającymi zastosowanie procedurami ochronnymi określonymi w unijnym prawodawstwie harmonizacyjnym, które mają zastosowanie do produktu, i wszelkie późniejsze działania następcze;</w:t>
            </w:r>
          </w:p>
          <w:p w14:paraId="6CE60272" w14:textId="77777777" w:rsidR="003A7971" w:rsidRPr="003A7971" w:rsidRDefault="003A7971" w:rsidP="00FD5CD5">
            <w:pPr>
              <w:pStyle w:val="oj-normal"/>
              <w:shd w:val="clear" w:color="auto" w:fill="FFFFFF"/>
              <w:spacing w:before="0" w:beforeAutospacing="0" w:after="0" w:afterAutospacing="0"/>
              <w:rPr>
                <w:bCs/>
              </w:rPr>
            </w:pPr>
            <w:r w:rsidRPr="003A7971">
              <w:rPr>
                <w:bCs/>
              </w:rPr>
              <w:t>f) jeśli te informacje są dostępne – przypadki niedopełnienia przez upoważnionych przedstawicieli obowiązków wynikających z art. 5 ust. 2;</w:t>
            </w:r>
          </w:p>
          <w:p w14:paraId="4EF8B8C3" w14:textId="77777777" w:rsidR="003A7971" w:rsidRPr="003A7971" w:rsidRDefault="003A7971" w:rsidP="00FD5CD5">
            <w:pPr>
              <w:pStyle w:val="oj-normal"/>
              <w:shd w:val="clear" w:color="auto" w:fill="FFFFFF"/>
              <w:spacing w:before="0" w:beforeAutospacing="0" w:after="0" w:afterAutospacing="0"/>
              <w:rPr>
                <w:bCs/>
              </w:rPr>
            </w:pPr>
            <w:r w:rsidRPr="003A7971">
              <w:rPr>
                <w:bCs/>
              </w:rPr>
              <w:t>g) jeśli te informacje są dostępne – przypadki niedopełnienia przez producentów obowiązków wynikających z art. 5 ust. 1.</w:t>
            </w:r>
            <w:r>
              <w:rPr>
                <w:bCs/>
              </w:rPr>
              <w:t>”</w:t>
            </w:r>
          </w:p>
        </w:tc>
        <w:tc>
          <w:tcPr>
            <w:tcW w:w="850" w:type="dxa"/>
            <w:gridSpan w:val="2"/>
            <w:tcBorders>
              <w:left w:val="single" w:sz="4" w:space="0" w:color="auto"/>
              <w:bottom w:val="single" w:sz="4" w:space="0" w:color="auto"/>
              <w:right w:val="single" w:sz="4" w:space="0" w:color="auto"/>
            </w:tcBorders>
          </w:tcPr>
          <w:p w14:paraId="36D4F9AA" w14:textId="77777777" w:rsidR="003A7971" w:rsidRPr="00FB76A9" w:rsidRDefault="003A7971" w:rsidP="00FD5CD5">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w:t>
            </w:r>
          </w:p>
        </w:tc>
        <w:tc>
          <w:tcPr>
            <w:tcW w:w="851" w:type="dxa"/>
            <w:gridSpan w:val="2"/>
            <w:tcBorders>
              <w:left w:val="single" w:sz="4" w:space="0" w:color="auto"/>
              <w:bottom w:val="single" w:sz="4" w:space="0" w:color="auto"/>
              <w:right w:val="single" w:sz="4" w:space="0" w:color="auto"/>
            </w:tcBorders>
          </w:tcPr>
          <w:p w14:paraId="237ACD05" w14:textId="77777777" w:rsidR="003A7971" w:rsidRPr="00FB76A9" w:rsidRDefault="003A7971"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 1 pkt 2</w:t>
            </w:r>
            <w:r>
              <w:rPr>
                <w:rFonts w:ascii="Times New Roman" w:eastAsia="Times New Roman" w:hAnsi="Times New Roman" w:cs="Times New Roman"/>
                <w:sz w:val="24"/>
                <w:szCs w:val="24"/>
                <w:lang w:eastAsia="pl-PL"/>
              </w:rPr>
              <w:t>1</w:t>
            </w:r>
          </w:p>
        </w:tc>
        <w:tc>
          <w:tcPr>
            <w:tcW w:w="5103" w:type="dxa"/>
            <w:gridSpan w:val="2"/>
            <w:tcBorders>
              <w:left w:val="single" w:sz="4" w:space="0" w:color="auto"/>
              <w:bottom w:val="single" w:sz="4" w:space="0" w:color="auto"/>
              <w:right w:val="single" w:sz="4" w:space="0" w:color="auto"/>
            </w:tcBorders>
          </w:tcPr>
          <w:p w14:paraId="3917FFA0" w14:textId="77777777" w:rsidR="003A7971" w:rsidRPr="003A7971" w:rsidRDefault="003A7971" w:rsidP="00FD5CD5">
            <w:pPr>
              <w:pStyle w:val="ZARTzmartartykuempunktem"/>
              <w:spacing w:line="240" w:lineRule="auto"/>
              <w:ind w:left="70" w:firstLine="0"/>
              <w:jc w:val="left"/>
              <w:rPr>
                <w:rFonts w:ascii="Times New Roman" w:hAnsi="Times New Roman" w:cs="Times New Roman"/>
                <w:szCs w:val="24"/>
              </w:rPr>
            </w:pPr>
            <w:r w:rsidRPr="003A7971">
              <w:rPr>
                <w:rFonts w:ascii="Times New Roman" w:hAnsi="Times New Roman" w:cs="Times New Roman"/>
                <w:szCs w:val="24"/>
              </w:rPr>
              <w:t>„Art. 68s 1. Dyrektor TDT jako organ nadzoru rynku jest uprawniony do:</w:t>
            </w:r>
          </w:p>
          <w:p w14:paraId="68B6698D" w14:textId="77777777" w:rsidR="003A7971" w:rsidRPr="00FB76A9" w:rsidRDefault="003A7971" w:rsidP="00FD5CD5">
            <w:pPr>
              <w:pStyle w:val="ZARTzmartartykuempunktem"/>
              <w:spacing w:line="240" w:lineRule="auto"/>
              <w:ind w:left="70" w:firstLine="0"/>
              <w:jc w:val="left"/>
              <w:rPr>
                <w:rFonts w:ascii="Times New Roman" w:hAnsi="Times New Roman" w:cs="Times New Roman"/>
                <w:szCs w:val="24"/>
              </w:rPr>
            </w:pPr>
            <w:r w:rsidRPr="003A7971">
              <w:rPr>
                <w:rFonts w:ascii="Times New Roman" w:hAnsi="Times New Roman" w:cs="Times New Roman"/>
                <w:szCs w:val="24"/>
              </w:rPr>
              <w:t>9)</w:t>
            </w:r>
            <w:r w:rsidRPr="003A7971">
              <w:rPr>
                <w:rFonts w:ascii="Times New Roman" w:hAnsi="Times New Roman" w:cs="Times New Roman"/>
                <w:szCs w:val="24"/>
              </w:rPr>
              <w:tab/>
              <w:t>pozyskiwania od podmiotu gospodarczego informacji o przeprowadzanej akcji serwisowej w drodze powiadomienia, o którym mowa w art. 70 ust. 2 lub art. 71 ust. 2, w celu umieszczenia ich w systemie szybkiej wymiany informacji, o którym mowa w art. 20 ust. 4 rozporządzenia 2019/1020, zwanym dalej „systemem Safety Gate”, i systemie informacyjnym i komunikacyjnym do celów nadzoru rynku, o którym mowa w art. 34 ust. 1 rozporządzenia 2019/1020, zwanym dalej „systemem ICSMS”, oraz na stronie podmiotowej Transportowego Dozoru Technicznego;”</w:t>
            </w:r>
          </w:p>
        </w:tc>
        <w:tc>
          <w:tcPr>
            <w:tcW w:w="2268" w:type="dxa"/>
            <w:tcBorders>
              <w:top w:val="single" w:sz="4" w:space="0" w:color="auto"/>
              <w:left w:val="single" w:sz="4" w:space="0" w:color="auto"/>
              <w:bottom w:val="single" w:sz="4" w:space="0" w:color="auto"/>
              <w:right w:val="single" w:sz="4" w:space="0" w:color="auto"/>
            </w:tcBorders>
          </w:tcPr>
          <w:p w14:paraId="38FC2A8D" w14:textId="77777777" w:rsidR="003A7971" w:rsidRPr="00FB76A9" w:rsidRDefault="003A7971" w:rsidP="00FD5CD5">
            <w:pPr>
              <w:pStyle w:val="ZARTzmartartykuempunktem"/>
              <w:keepNext/>
              <w:spacing w:line="240" w:lineRule="auto"/>
              <w:ind w:left="70" w:right="3104" w:firstLine="0"/>
              <w:jc w:val="left"/>
              <w:rPr>
                <w:rFonts w:ascii="Times New Roman" w:hAnsi="Times New Roman" w:cs="Times New Roman"/>
                <w:szCs w:val="24"/>
                <w:highlight w:val="yellow"/>
              </w:rPr>
            </w:pPr>
          </w:p>
        </w:tc>
      </w:tr>
      <w:tr w:rsidR="00A54745" w:rsidRPr="00FB76A9" w14:paraId="2D0CDDC4" w14:textId="77777777" w:rsidTr="003C2855">
        <w:trPr>
          <w:trHeight w:val="3309"/>
        </w:trPr>
        <w:tc>
          <w:tcPr>
            <w:tcW w:w="988" w:type="dxa"/>
            <w:tcBorders>
              <w:top w:val="single" w:sz="4" w:space="0" w:color="auto"/>
              <w:left w:val="single" w:sz="4" w:space="0" w:color="auto"/>
              <w:bottom w:val="single" w:sz="4" w:space="0" w:color="auto"/>
              <w:right w:val="single" w:sz="4" w:space="0" w:color="auto"/>
            </w:tcBorders>
          </w:tcPr>
          <w:p w14:paraId="41E77221" w14:textId="77777777" w:rsidR="00A54745" w:rsidRPr="00FB76A9" w:rsidRDefault="009720FB" w:rsidP="00FD5CD5">
            <w:pPr>
              <w:spacing w:after="0" w:line="240" w:lineRule="auto"/>
              <w:rPr>
                <w:rFonts w:ascii="Times New Roman" w:eastAsia="Times New Roman" w:hAnsi="Times New Roman" w:cs="Times New Roman"/>
                <w:b/>
                <w:sz w:val="24"/>
                <w:szCs w:val="24"/>
                <w:lang w:eastAsia="pl-PL"/>
              </w:rPr>
            </w:pPr>
            <w:r w:rsidRPr="00FB76A9">
              <w:rPr>
                <w:rFonts w:ascii="Times New Roman" w:eastAsia="Times New Roman" w:hAnsi="Times New Roman" w:cs="Times New Roman"/>
                <w:b/>
                <w:sz w:val="24"/>
                <w:szCs w:val="24"/>
                <w:lang w:eastAsia="pl-PL"/>
              </w:rPr>
              <w:t>Art. 41</w:t>
            </w:r>
          </w:p>
        </w:tc>
        <w:tc>
          <w:tcPr>
            <w:tcW w:w="4961" w:type="dxa"/>
            <w:tcBorders>
              <w:top w:val="single" w:sz="4" w:space="0" w:color="auto"/>
              <w:left w:val="single" w:sz="4" w:space="0" w:color="auto"/>
              <w:bottom w:val="single" w:sz="4" w:space="0" w:color="auto"/>
              <w:right w:val="single" w:sz="4" w:space="0" w:color="auto"/>
            </w:tcBorders>
          </w:tcPr>
          <w:p w14:paraId="6712384C" w14:textId="77777777" w:rsidR="00A54745" w:rsidRPr="00FB76A9" w:rsidRDefault="009720FB" w:rsidP="00FD5CD5">
            <w:pPr>
              <w:pStyle w:val="oj-normal"/>
              <w:shd w:val="clear" w:color="auto" w:fill="FFFFFF"/>
              <w:spacing w:before="0" w:beforeAutospacing="0" w:after="0" w:afterAutospacing="0"/>
            </w:pPr>
            <w:r w:rsidRPr="00FB76A9">
              <w:t>„</w:t>
            </w:r>
            <w:r w:rsidR="00A54745" w:rsidRPr="00FB76A9">
              <w:t>Art. 41  1.  Państwa członkowskie ustanawiają przepisy dotyczące sankcji mających zastosowanie do naruszeń przepisów niniejszego rozporządzenia oraz unijnego prawodawstwa harmonizacyjnego wymienionego w załączniku II, na mocy których nakłada się zobowiązania na podmioty gospodarcze, oraz podejmują wszystkie środki niezbędne w celu zapewnienia ich wykonywania zgodnie z prawem krajowym.</w:t>
            </w:r>
          </w:p>
          <w:p w14:paraId="4106B36C" w14:textId="77777777" w:rsidR="00A54745" w:rsidRPr="00FB76A9" w:rsidRDefault="00A54745" w:rsidP="00FD5CD5">
            <w:pPr>
              <w:pStyle w:val="oj-normal"/>
              <w:shd w:val="clear" w:color="auto" w:fill="FFFFFF"/>
              <w:spacing w:before="0" w:beforeAutospacing="0" w:after="0" w:afterAutospacing="0"/>
            </w:pPr>
            <w:r w:rsidRPr="00FB76A9">
              <w:t>2.   Przewidziane sankcje muszą być skuteczne, proporcjonalne i odstraszające.</w:t>
            </w:r>
          </w:p>
          <w:p w14:paraId="391DFAB8" w14:textId="77777777" w:rsidR="00A54745" w:rsidRPr="00FB76A9" w:rsidRDefault="00A54745" w:rsidP="00FD5CD5">
            <w:pPr>
              <w:pStyle w:val="oj-normal"/>
              <w:shd w:val="clear" w:color="auto" w:fill="FFFFFF"/>
              <w:spacing w:before="0" w:beforeAutospacing="0" w:after="0" w:afterAutospacing="0"/>
            </w:pPr>
            <w:r w:rsidRPr="00FB76A9">
              <w:t>3.   Państwa członkowskie powiadamiają Komisję o tych przepisach, jeżeli nie zostały one wcześniej zgłoszone, do dnia 16 października 2021 r., a także powiadamiają ją niezwłocznie o wszelkich późniejszych zmianach, które ich dotyczą.</w:t>
            </w:r>
            <w:r w:rsidR="009720FB" w:rsidRPr="00FB76A9">
              <w:t>”</w:t>
            </w:r>
          </w:p>
          <w:p w14:paraId="4E283F6E" w14:textId="77777777" w:rsidR="00A54745" w:rsidRPr="00FB76A9" w:rsidRDefault="00A54745" w:rsidP="00FD5CD5">
            <w:pPr>
              <w:spacing w:after="0" w:line="240" w:lineRule="auto"/>
              <w:rPr>
                <w:rFonts w:ascii="Times New Roman" w:hAnsi="Times New Roman" w:cs="Times New Roman"/>
                <w:sz w:val="24"/>
                <w:szCs w:val="24"/>
              </w:rPr>
            </w:pPr>
          </w:p>
          <w:p w14:paraId="79164FF3" w14:textId="77777777" w:rsidR="00A54745" w:rsidRPr="00FB76A9" w:rsidRDefault="00A54745" w:rsidP="00FD5CD5">
            <w:pPr>
              <w:spacing w:after="0" w:line="240" w:lineRule="auto"/>
              <w:rPr>
                <w:rFonts w:ascii="Times New Roman" w:hAnsi="Times New Roman" w:cs="Times New Roman"/>
                <w:sz w:val="24"/>
                <w:szCs w:val="24"/>
              </w:rPr>
            </w:pPr>
          </w:p>
          <w:p w14:paraId="68061A2E" w14:textId="77777777" w:rsidR="00A54745" w:rsidRPr="00FB76A9" w:rsidRDefault="00A54745" w:rsidP="00FD5CD5">
            <w:pPr>
              <w:spacing w:after="0" w:line="240" w:lineRule="auto"/>
              <w:rPr>
                <w:rFonts w:ascii="Times New Roman" w:hAnsi="Times New Roman" w:cs="Times New Roman"/>
                <w:sz w:val="24"/>
                <w:szCs w:val="24"/>
              </w:rPr>
            </w:pPr>
          </w:p>
          <w:p w14:paraId="4D274F1F" w14:textId="77777777" w:rsidR="00A54745" w:rsidRPr="00FB76A9" w:rsidRDefault="00A54745" w:rsidP="00FD5CD5">
            <w:pPr>
              <w:spacing w:after="0" w:line="240" w:lineRule="auto"/>
              <w:rPr>
                <w:rFonts w:ascii="Times New Roman" w:hAnsi="Times New Roman" w:cs="Times New Roman"/>
                <w:sz w:val="24"/>
                <w:szCs w:val="24"/>
              </w:rPr>
            </w:pPr>
          </w:p>
          <w:p w14:paraId="78132E20" w14:textId="77777777" w:rsidR="00A54745" w:rsidRPr="00FB76A9" w:rsidRDefault="00A54745" w:rsidP="00FD5CD5">
            <w:pPr>
              <w:spacing w:after="0" w:line="240" w:lineRule="auto"/>
              <w:rPr>
                <w:rFonts w:ascii="Times New Roman" w:hAnsi="Times New Roman" w:cs="Times New Roman"/>
                <w:sz w:val="24"/>
                <w:szCs w:val="24"/>
              </w:rPr>
            </w:pPr>
          </w:p>
          <w:p w14:paraId="12DD87F9" w14:textId="77777777" w:rsidR="00A54745" w:rsidRPr="00FB76A9" w:rsidRDefault="00A54745" w:rsidP="00FD5CD5">
            <w:pPr>
              <w:spacing w:after="0" w:line="240" w:lineRule="auto"/>
              <w:rPr>
                <w:rFonts w:ascii="Times New Roman" w:hAnsi="Times New Roman" w:cs="Times New Roman"/>
                <w:sz w:val="24"/>
                <w:szCs w:val="24"/>
              </w:rPr>
            </w:pPr>
          </w:p>
          <w:p w14:paraId="57B62928" w14:textId="77777777" w:rsidR="00A54745" w:rsidRPr="00FB76A9" w:rsidRDefault="00A54745" w:rsidP="00FD5CD5">
            <w:pPr>
              <w:spacing w:after="0" w:line="240" w:lineRule="auto"/>
              <w:rPr>
                <w:rFonts w:ascii="Times New Roman" w:hAnsi="Times New Roman" w:cs="Times New Roman"/>
                <w:sz w:val="24"/>
                <w:szCs w:val="24"/>
              </w:rPr>
            </w:pPr>
          </w:p>
          <w:p w14:paraId="0255CB3C" w14:textId="77777777" w:rsidR="00A54745" w:rsidRPr="00FB76A9" w:rsidRDefault="00A54745" w:rsidP="00FD5CD5">
            <w:pPr>
              <w:spacing w:after="0" w:line="240" w:lineRule="auto"/>
              <w:rPr>
                <w:rFonts w:ascii="Times New Roman" w:hAnsi="Times New Roman" w:cs="Times New Roman"/>
                <w:sz w:val="24"/>
                <w:szCs w:val="24"/>
              </w:rPr>
            </w:pPr>
          </w:p>
          <w:p w14:paraId="30627F42" w14:textId="77777777" w:rsidR="00A54745" w:rsidRPr="00FB76A9" w:rsidRDefault="00A54745" w:rsidP="00FD5CD5">
            <w:pPr>
              <w:spacing w:after="0" w:line="240" w:lineRule="auto"/>
              <w:rPr>
                <w:rFonts w:ascii="Times New Roman" w:hAnsi="Times New Roman" w:cs="Times New Roman"/>
                <w:sz w:val="24"/>
                <w:szCs w:val="24"/>
              </w:rPr>
            </w:pPr>
          </w:p>
          <w:p w14:paraId="4DB8E53D" w14:textId="77777777" w:rsidR="00A54745" w:rsidRPr="00FB76A9" w:rsidRDefault="00A54745" w:rsidP="00FD5CD5">
            <w:pPr>
              <w:spacing w:after="0" w:line="240" w:lineRule="auto"/>
              <w:rPr>
                <w:rFonts w:ascii="Times New Roman" w:hAnsi="Times New Roman" w:cs="Times New Roman"/>
                <w:sz w:val="24"/>
                <w:szCs w:val="24"/>
              </w:rPr>
            </w:pPr>
          </w:p>
          <w:p w14:paraId="493F32F8" w14:textId="77777777" w:rsidR="00A54745" w:rsidRPr="00FB76A9" w:rsidRDefault="00A54745" w:rsidP="00FD5CD5">
            <w:pPr>
              <w:spacing w:after="0" w:line="240" w:lineRule="auto"/>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14:paraId="18933DD2" w14:textId="77777777" w:rsidR="00A54745" w:rsidRPr="00FB76A9" w:rsidRDefault="009720FB"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p>
        </w:tc>
        <w:tc>
          <w:tcPr>
            <w:tcW w:w="851" w:type="dxa"/>
            <w:gridSpan w:val="2"/>
            <w:tcBorders>
              <w:top w:val="single" w:sz="4" w:space="0" w:color="auto"/>
              <w:left w:val="single" w:sz="4" w:space="0" w:color="auto"/>
              <w:bottom w:val="single" w:sz="4" w:space="0" w:color="auto"/>
              <w:right w:val="single" w:sz="4" w:space="0" w:color="auto"/>
            </w:tcBorders>
          </w:tcPr>
          <w:p w14:paraId="63B76014" w14:textId="77777777" w:rsidR="00A54745" w:rsidRPr="00FB76A9" w:rsidRDefault="009720FB"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 xml:space="preserve">Art. 1 pkt </w:t>
            </w:r>
            <w:r w:rsidR="004611F5" w:rsidRPr="00FB76A9">
              <w:rPr>
                <w:rFonts w:ascii="Times New Roman" w:eastAsia="Times New Roman" w:hAnsi="Times New Roman" w:cs="Times New Roman"/>
                <w:sz w:val="24"/>
                <w:szCs w:val="24"/>
                <w:lang w:eastAsia="pl-PL"/>
              </w:rPr>
              <w:t>24</w:t>
            </w:r>
            <w:r w:rsidRPr="00FB76A9">
              <w:rPr>
                <w:rFonts w:ascii="Times New Roman" w:eastAsia="Times New Roman" w:hAnsi="Times New Roman" w:cs="Times New Roman"/>
                <w:sz w:val="24"/>
                <w:szCs w:val="24"/>
                <w:lang w:eastAsia="pl-PL"/>
              </w:rPr>
              <w:t xml:space="preserve"> </w:t>
            </w:r>
          </w:p>
        </w:tc>
        <w:tc>
          <w:tcPr>
            <w:tcW w:w="5103" w:type="dxa"/>
            <w:gridSpan w:val="2"/>
            <w:tcBorders>
              <w:top w:val="single" w:sz="4" w:space="0" w:color="auto"/>
              <w:left w:val="single" w:sz="4" w:space="0" w:color="auto"/>
              <w:bottom w:val="single" w:sz="4" w:space="0" w:color="auto"/>
              <w:right w:val="single" w:sz="4" w:space="0" w:color="auto"/>
            </w:tcBorders>
          </w:tcPr>
          <w:p w14:paraId="0CEDC15A" w14:textId="77777777" w:rsidR="00F55332" w:rsidRPr="00FB76A9" w:rsidRDefault="00F55332" w:rsidP="00FD5CD5">
            <w:pPr>
              <w:pStyle w:val="ZARTzmartartykuempunktem"/>
              <w:keepNext/>
              <w:spacing w:line="240" w:lineRule="auto"/>
              <w:ind w:left="78" w:firstLine="70"/>
              <w:jc w:val="left"/>
              <w:rPr>
                <w:rFonts w:ascii="Times New Roman" w:hAnsi="Times New Roman" w:cs="Times New Roman"/>
                <w:szCs w:val="24"/>
              </w:rPr>
            </w:pPr>
            <w:r w:rsidRPr="00FB76A9">
              <w:rPr>
                <w:rFonts w:ascii="Times New Roman" w:hAnsi="Times New Roman" w:cs="Times New Roman"/>
                <w:szCs w:val="24"/>
              </w:rPr>
              <w:t>„Rozdział 6a</w:t>
            </w:r>
          </w:p>
          <w:p w14:paraId="181F4442" w14:textId="77777777" w:rsidR="00F55332" w:rsidRPr="00FB76A9" w:rsidRDefault="00F55332" w:rsidP="00FD5CD5">
            <w:pPr>
              <w:pStyle w:val="ZARTzmartartykuempunktem"/>
              <w:keepNext/>
              <w:spacing w:line="240" w:lineRule="auto"/>
              <w:ind w:left="78" w:firstLine="70"/>
              <w:jc w:val="left"/>
              <w:rPr>
                <w:rFonts w:ascii="Times New Roman" w:hAnsi="Times New Roman" w:cs="Times New Roman"/>
                <w:szCs w:val="24"/>
              </w:rPr>
            </w:pPr>
            <w:r w:rsidRPr="00FB76A9">
              <w:rPr>
                <w:rFonts w:ascii="Times New Roman" w:hAnsi="Times New Roman" w:cs="Times New Roman"/>
                <w:szCs w:val="24"/>
              </w:rPr>
              <w:t>Administracyjne kary pieniężne</w:t>
            </w:r>
          </w:p>
          <w:p w14:paraId="028A520D" w14:textId="77777777" w:rsidR="008D6689" w:rsidRDefault="008D6689" w:rsidP="00FD5CD5">
            <w:pPr>
              <w:spacing w:after="0" w:line="240" w:lineRule="auto"/>
              <w:ind w:firstLine="70"/>
              <w:rPr>
                <w:rFonts w:ascii="Times New Roman" w:eastAsia="Times New Roman" w:hAnsi="Times New Roman" w:cs="Times New Roman"/>
                <w:sz w:val="24"/>
                <w:szCs w:val="24"/>
                <w:lang w:eastAsia="pl-PL"/>
              </w:rPr>
            </w:pPr>
          </w:p>
          <w:p w14:paraId="0F7A676F"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Art. 71a. 1. Podmiot gospodarczy, który narusza zakaz, o którym mowa w art. 14 ust. 4 lub ust. 5, podlega administracyjnej karze pieniężnej do wysokości dwunastokrotności przeciętnego wynagrodzenia, o którym mowa w art. 68g ust. 4, ogłaszanego za czwarty kwartał roku poprzedzającego nałożenie kary, za każdy pojazd, przedmiot wyposażenia lub część, które wprowadził do obrotu.</w:t>
            </w:r>
          </w:p>
          <w:p w14:paraId="65DED555"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2. Podmiot gospodarczy, który narusza zakaz, o którym mowa w art. 14 ust. 6, podlega administracyjnej karze pieniężnej do wysokości dwukrotności przeciętnego wynagrodzenia, o którym mowa w art. 68g ust. 4, ogłaszanego za czwarty kwartał roku poprzedzającego nałożenie kary, za każdy rower, wózek rowerowy, hulajnogę elektrycznych lub urządzenie transportu osobistego. </w:t>
            </w:r>
          </w:p>
          <w:p w14:paraId="30AAFDB7"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3. Podmiot gospodarczy, który naruszył zakaz, o którym mowa w art. 14 ust. 7, podlega administracyjnej karze pieniężnej do wysokości jednokrotności przeciętnego wynagrodzenia, o którym mowa w art. 68g ust. 4, ogłaszanego za czwarty kwartał roku poprzedzającego nałożenie kary, za każdy montaż tej instalacji w pojeździe.</w:t>
            </w:r>
          </w:p>
          <w:p w14:paraId="2AD4152C"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4. Podmiot gospodarczy, który narusza zakaz, o którym mowa w art. 14 ust. 8, podlega administracyjnej karze pieniężnej do wysokości sześciokrotności przeciętnego wynagrodzenia, o którym mowa w art. 68g ust. 4, ogłaszanego za czwarty kwartał roku poprzedzającego nałożenie kary, za każdy pojazd, przedmiot wyposażenia lub część, w odniesieniu do którego naruszono zakaz. </w:t>
            </w:r>
          </w:p>
          <w:p w14:paraId="253CFB99"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5. Producent, który narusza zakaz, o którym mowa w art. 14 ust. 9, podlega administracyjnej karze pieniężnej do wysokości sześciokrotności przeciętnego wynagrodzenia, o którym mowa w art. 68g ust. 4, ogłaszanego za czwarty kwartał roku poprzedzającego nałożenie kary. </w:t>
            </w:r>
          </w:p>
          <w:p w14:paraId="2F8CE26B"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6. Podmiot gospodarczy oraz  niezależny podmiot, który narusza zakaz, o którym mowa w art. 14 ust. 10, podlega administracyjnej karze pieniężnej do wysokości sześciokrotności przeciętnego wynagrodzenia, o którym mowa w art. 68g ust. 4, ogłaszanego za czwarty kwartał roku poprzedzającego nałożenie kary. </w:t>
            </w:r>
          </w:p>
          <w:p w14:paraId="4AD6E170"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7. Podmiot gospodarczy, który narusza zakaz, o którym mowa w art. 14 ust. 11, podlega administracyjnej karze pieniężnej do wysokości sześciokrotności przeciętnego wynagrodzenia, o którym mowa w art. 68g ust. 4, ogłaszanego za czwarty kwartał roku poprzedzającego nałożenie kary.</w:t>
            </w:r>
          </w:p>
          <w:p w14:paraId="309352DD"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Art. 71b. Podmiot gospodarczy, który:</w:t>
            </w:r>
          </w:p>
          <w:p w14:paraId="1EDEC593"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1)</w:t>
            </w:r>
            <w:r w:rsidRPr="00EC084A">
              <w:rPr>
                <w:rFonts w:ascii="Times New Roman" w:eastAsia="Times New Roman" w:hAnsi="Times New Roman" w:cs="Times New Roman"/>
                <w:sz w:val="24"/>
                <w:szCs w:val="24"/>
                <w:lang w:eastAsia="pl-PL"/>
              </w:rPr>
              <w:tab/>
              <w:t>nie wykonał decyzji, o której mowa w art. 68zj ust. 1, w zakresie, o którym mowa w art. 68zk ust. 1 pkt 1, podlega administracyjnej karze pieniężnej do wysokości dwukrotności przeciętnego wynagrodzenia, o którym mowa w art. 68g ust. 4, ogłaszanego za czwarty kwartał roku poprzedzającego nałożenie kary;</w:t>
            </w:r>
          </w:p>
          <w:p w14:paraId="634E5159"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2)</w:t>
            </w:r>
            <w:r w:rsidRPr="00EC084A">
              <w:rPr>
                <w:rFonts w:ascii="Times New Roman" w:eastAsia="Times New Roman" w:hAnsi="Times New Roman" w:cs="Times New Roman"/>
                <w:sz w:val="24"/>
                <w:szCs w:val="24"/>
                <w:lang w:eastAsia="pl-PL"/>
              </w:rPr>
              <w:tab/>
              <w:t>nie wykonał decyzji, o której mowa w art. 68zj ust. 1, w zakresie, o którym mowa w art. 68zk ust. 1 pkt 2, podlega administracyjnej karze pieniężnej w wysokości równoważnej ceny sprzedaży objętego decyzją pojazdu, przedmiotu wyposażenia lub części, roweru, wózka rowerowego, hulajnogi elektrycznej oraz urządzenia transportu osobistego, użytkownikowi końcowemu z faktury</w:t>
            </w:r>
            <w:r w:rsidR="00C32BF3">
              <w:rPr>
                <w:rFonts w:ascii="Times New Roman" w:eastAsia="Times New Roman" w:hAnsi="Times New Roman" w:cs="Times New Roman"/>
                <w:sz w:val="24"/>
                <w:szCs w:val="24"/>
                <w:lang w:eastAsia="pl-PL"/>
              </w:rPr>
              <w:t xml:space="preserve"> </w:t>
            </w:r>
            <w:r w:rsidRPr="00EC084A">
              <w:rPr>
                <w:rFonts w:ascii="Times New Roman" w:eastAsia="Times New Roman" w:hAnsi="Times New Roman" w:cs="Times New Roman"/>
                <w:sz w:val="24"/>
                <w:szCs w:val="24"/>
                <w:lang w:eastAsia="pl-PL"/>
              </w:rPr>
              <w:t xml:space="preserve">lub rachunku; </w:t>
            </w:r>
          </w:p>
          <w:p w14:paraId="4E939EF8"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3)</w:t>
            </w:r>
            <w:r w:rsidRPr="00EC084A">
              <w:rPr>
                <w:rFonts w:ascii="Times New Roman" w:eastAsia="Times New Roman" w:hAnsi="Times New Roman" w:cs="Times New Roman"/>
                <w:sz w:val="24"/>
                <w:szCs w:val="24"/>
                <w:lang w:eastAsia="pl-PL"/>
              </w:rPr>
              <w:tab/>
              <w:t xml:space="preserve">ponownie udostępnił na rynku pojazd, przedmiot wyposażenia lub cześć, rower, wózek rowerowy, hulajnogę elektryczną oraz urządzenie transportu osobistego pomimo zakazu, o którym mowa w art. 14 ust. 11, podlega administracyjnej karze pieniężnej w wysokości równoważnej cenie sprzedaży pojazdu, przedmiotu wyposażenia lub części, roweru, wózka rowerowego, hulajnogi elektrycznej lub urządzenia transportu osobistego użytkownikowi końcowemu z faktury lub rachunku.  </w:t>
            </w:r>
          </w:p>
          <w:p w14:paraId="10466F8E"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Art. 71c. Podmiot gospodarczy, który wprowadził do obrotu pojazd, przedmiot wyposażenia lub część niezgodnie z wymaganiami określonymi w:</w:t>
            </w:r>
          </w:p>
          <w:p w14:paraId="79325DCB"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1) </w:t>
            </w:r>
            <w:r w:rsidRPr="00EC084A">
              <w:rPr>
                <w:rFonts w:ascii="Times New Roman" w:eastAsia="Times New Roman" w:hAnsi="Times New Roman" w:cs="Times New Roman"/>
                <w:sz w:val="24"/>
                <w:szCs w:val="24"/>
                <w:lang w:eastAsia="pl-PL"/>
              </w:rPr>
              <w:tab/>
              <w:t>art. 27 ustawy,</w:t>
            </w:r>
          </w:p>
          <w:p w14:paraId="1C453254"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2) </w:t>
            </w:r>
            <w:r w:rsidRPr="00EC084A">
              <w:rPr>
                <w:rFonts w:ascii="Times New Roman" w:eastAsia="Times New Roman" w:hAnsi="Times New Roman" w:cs="Times New Roman"/>
                <w:sz w:val="24"/>
                <w:szCs w:val="24"/>
                <w:lang w:eastAsia="pl-PL"/>
              </w:rPr>
              <w:tab/>
              <w:t>art. 33 i art. 34 rozporządzenia 167/2013,</w:t>
            </w:r>
          </w:p>
          <w:p w14:paraId="25A8847A"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3) </w:t>
            </w:r>
            <w:r w:rsidRPr="00EC084A">
              <w:rPr>
                <w:rFonts w:ascii="Times New Roman" w:eastAsia="Times New Roman" w:hAnsi="Times New Roman" w:cs="Times New Roman"/>
                <w:sz w:val="24"/>
                <w:szCs w:val="24"/>
                <w:lang w:eastAsia="pl-PL"/>
              </w:rPr>
              <w:tab/>
              <w:t>art. 34, art. 38 i art. 39 rozporządzenia 168/2013,</w:t>
            </w:r>
          </w:p>
          <w:p w14:paraId="4CEF0C7E"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4) </w:t>
            </w:r>
            <w:r w:rsidRPr="00EC084A">
              <w:rPr>
                <w:rFonts w:ascii="Times New Roman" w:eastAsia="Times New Roman" w:hAnsi="Times New Roman" w:cs="Times New Roman"/>
                <w:sz w:val="24"/>
                <w:szCs w:val="24"/>
                <w:lang w:eastAsia="pl-PL"/>
              </w:rPr>
              <w:tab/>
              <w:t>art. 33, art. 36 i art. 38 rozporządzenia 2018/858,</w:t>
            </w:r>
          </w:p>
          <w:p w14:paraId="09BF2541"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7) </w:t>
            </w:r>
            <w:r w:rsidRPr="00EC084A">
              <w:rPr>
                <w:rFonts w:ascii="Times New Roman" w:eastAsia="Times New Roman" w:hAnsi="Times New Roman" w:cs="Times New Roman"/>
                <w:sz w:val="24"/>
                <w:szCs w:val="24"/>
                <w:lang w:eastAsia="pl-PL"/>
              </w:rPr>
              <w:tab/>
              <w:t>art. 4 i art. 5 rozporządzenia (WE) nr 715/2007 Parlamentu Europejskiego i Rady z dnia 20 czerwca 2007 r. w sprawie homologacji typu pojazdów silnikowych w odniesieniu do emisji zanieczyszczeń pochodzących z lekkich pojazdów pasażerskich i użytkowych (Euro 5 i Euro 6) oraz w sprawie dostępu do informacji dotyczących naprawy i utrzymania pojazdów (Dz. Urz. UE L 171 z 29.06.2007, str. 1, z późn. zm. )), zwanego dalej „rozporządzeniem 715/2007”,</w:t>
            </w:r>
          </w:p>
          <w:p w14:paraId="0504DC2C"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8) </w:t>
            </w:r>
            <w:r w:rsidRPr="00EC084A">
              <w:rPr>
                <w:rFonts w:ascii="Times New Roman" w:eastAsia="Times New Roman" w:hAnsi="Times New Roman" w:cs="Times New Roman"/>
                <w:sz w:val="24"/>
                <w:szCs w:val="24"/>
                <w:lang w:eastAsia="pl-PL"/>
              </w:rPr>
              <w:tab/>
              <w:t>art. 4–11 rozporządzenia Parlamentu Europejskiego i Rady (UE) 2019/2144 z dnia 27 listopada 2019 r. w sprawie wymogów dotyczących homologacji typu pojazdów silnikowych i ich przyczep oraz układów, komponentów i oddzielnych zespołów technicznych przeznaczonych do tych pojazdów, w odniesieniu do ich ogólnego bezpieczeństwa oraz ochrony osób znajdujących się w pojeździe i niechronionych uczestników ruchu drogowego, zmieniającego rozporządzenie Parlamentu Europejskiego i Rady (UE) 2018/858 oraz uchylającego rozporządzenia Parlamentu Europejskiego i Rady (WE) nr 78/2009, (WE) nr 79/2009 i (WE) nr 661/2009 oraz rozporządzenia Komisji (WE) nr 631/2009, (UE) nr 406/2010, (UE) nr 672/2010, (UE) nr 1003/2010, (UE) nr 1005/2010, (UE) nr 1008/2010, (UE) nr 1009/2010, (UE) nr 19/2011, (UE) nr 109/2011, (UE) nr 458/2011, (UE) nr 65/2012, (UE) nr 130/2012, (UE) nr 347/2012, (UE) nr 351/2012, (UE) nr 1230/2012 i (UE) 2015/166 (Dz. Urz. UE L 325 z 16.12.2019, str. 1, z późn. zm. )), zwanego dalej „rozporządzeniem 2019/2144”,</w:t>
            </w:r>
          </w:p>
          <w:p w14:paraId="267F483F"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10)</w:t>
            </w:r>
            <w:r w:rsidRPr="00EC084A">
              <w:rPr>
                <w:rFonts w:ascii="Times New Roman" w:eastAsia="Times New Roman" w:hAnsi="Times New Roman" w:cs="Times New Roman"/>
                <w:sz w:val="24"/>
                <w:szCs w:val="24"/>
                <w:lang w:eastAsia="pl-PL"/>
              </w:rPr>
              <w:tab/>
              <w:t xml:space="preserve"> art. 4, art. 5, art. 5a i art. 7 rozporządzenia Parlamentu Europejskiego i Rady (WE) nr 595/2009 z dnia 18 czerwca 2009 r. dotyczącego homologacji typu pojazdów silnikowych i silników w odniesieniu do emisji zanieczyszczeń pochodzących z pojazdów ciężarowych o dużej ładowności (Euro VI) i zmieniającego rozporządzenie (WE) nr 715/2007 i dyrektywę 2007/46/WE oraz uchylającego dyrektywy 80/1269/EWG, 2005/55/WE i 2005/78/WE (Dz. Urz. UE L 188 z 18.07.2009, str. 1, z późn. zm. )), zwanego dalej „rozporządzeniem 595/2009”,</w:t>
            </w:r>
          </w:p>
          <w:p w14:paraId="7C035E91"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11) </w:t>
            </w:r>
            <w:r w:rsidRPr="00EC084A">
              <w:rPr>
                <w:rFonts w:ascii="Times New Roman" w:eastAsia="Times New Roman" w:hAnsi="Times New Roman" w:cs="Times New Roman"/>
                <w:sz w:val="24"/>
                <w:szCs w:val="24"/>
                <w:lang w:eastAsia="pl-PL"/>
              </w:rPr>
              <w:tab/>
              <w:t>art. 5–8 rozporządzenia Parlamentu Europejskiego i Rady (UE) nr 540/2014 z dnia 16 kwietnia 2014 r. w sprawie poziomu dźwięku pojazdów silnikowych i zamiennych układów tłumiących oraz zmieniającego dyrektywę 2007/46/WE i uchylającego dyrektywę 70/157/EWG (Dz. Urz. UE L 158 z 27.05.2014, str. 131, z późn. zm. )), zwanego dalej „rozporządzeniem 540/2014”,</w:t>
            </w:r>
          </w:p>
          <w:p w14:paraId="284FDE08"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12) </w:t>
            </w:r>
            <w:r w:rsidRPr="00EC084A">
              <w:rPr>
                <w:rFonts w:ascii="Times New Roman" w:eastAsia="Times New Roman" w:hAnsi="Times New Roman" w:cs="Times New Roman"/>
                <w:sz w:val="24"/>
                <w:szCs w:val="24"/>
                <w:lang w:eastAsia="pl-PL"/>
              </w:rPr>
              <w:tab/>
              <w:t>art. 4–9, art. 12 oraz art. 14</w:t>
            </w:r>
            <w:r w:rsidR="00804F0D">
              <w:rPr>
                <w:rFonts w:ascii="Times New Roman" w:eastAsia="Times New Roman" w:hAnsi="Times New Roman" w:cs="Times New Roman"/>
                <w:sz w:val="24"/>
                <w:szCs w:val="24"/>
                <w:lang w:eastAsia="pl-PL"/>
              </w:rPr>
              <w:t xml:space="preserve"> ust. 1</w:t>
            </w:r>
            <w:r w:rsidRPr="00EC084A">
              <w:rPr>
                <w:rFonts w:ascii="Times New Roman" w:eastAsia="Times New Roman" w:hAnsi="Times New Roman" w:cs="Times New Roman"/>
                <w:sz w:val="24"/>
                <w:szCs w:val="24"/>
                <w:lang w:eastAsia="pl-PL"/>
              </w:rPr>
              <w:t xml:space="preserve"> rozporządzenia 2024/1257,</w:t>
            </w:r>
          </w:p>
          <w:p w14:paraId="1B05AE67"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13) </w:t>
            </w:r>
            <w:r w:rsidRPr="00EC084A">
              <w:rPr>
                <w:rFonts w:ascii="Times New Roman" w:eastAsia="Times New Roman" w:hAnsi="Times New Roman" w:cs="Times New Roman"/>
                <w:sz w:val="24"/>
                <w:szCs w:val="24"/>
                <w:lang w:eastAsia="pl-PL"/>
              </w:rPr>
              <w:tab/>
              <w:t>regulaminów ONZ</w:t>
            </w:r>
          </w:p>
          <w:p w14:paraId="4400628F"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 podlega administracyjnej karze pieniężnej do wysokości dwunastokrotności przeciętnego wynagrodzenia, o którym mowa w art. 68g ust. 4, ogłaszanego za czwarty kwartał roku poprzedzającego nałożenie kary, za każdy pojazd, przedmiot wyposażenia lub część, które wprowadził do obrotu. </w:t>
            </w:r>
          </w:p>
          <w:p w14:paraId="5DD1EA2E"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Art. 71d. Podmiot,  który naruszył obowiązek powiadomienia, o którym mowa w art. 28 ust. 1, art. 38 ust. 1, art. 51 ust. 1, art. 68zk ust. 5 lub 11, art. 70 ust. 2 i art. 71 ust. 2, podlega administracyjnej karze pieniężnej do wysokości dwukrotności przeciętnego wynagrodzenia, o którym mowa w art. 68g ust. 4, ogłaszanego za czwarty kwartał roku poprzedzającego nałożenie kary, za każdy przypadek braku powiadomienia.</w:t>
            </w:r>
          </w:p>
          <w:p w14:paraId="5911C592"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Art. 71e. Producent, który naruszył obowiązek, o którym mowa w art. 49, podlega administracyjnej karze pieniężnej do wysokości półkrotności przeciętnego wynagrodzenia, o którym mowa w art. 68g ust. 4, ogłaszanego za czwarty kwartał roku poprzedzającego nałożenie kary, za każdy przypadek naruszenia obowiązku. </w:t>
            </w:r>
          </w:p>
          <w:p w14:paraId="19D54A3B"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Art. 71f. Podmiot gospodarczy, który naruszył obowiązki, o których mowa w art. 53a, podlega administracyjnej karze pieniężnej, w wysokości równoważnej cenie sprzedaży pojazdu, przedmiotu wyposażenia lub części, roweru, wózka rowerowego, hulajnogi elektrycznej lub urządzenia transportu osobistego, użytkownikowi końcowemu z faktury lub rachunku. </w:t>
            </w:r>
          </w:p>
          <w:p w14:paraId="268D8B42"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Art. 71g. Producent, który naruszył obowiązki w zakresie:</w:t>
            </w:r>
          </w:p>
          <w:p w14:paraId="1F2423F1"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1)</w:t>
            </w:r>
            <w:r w:rsidRPr="00EC084A">
              <w:rPr>
                <w:rFonts w:ascii="Times New Roman" w:eastAsia="Times New Roman" w:hAnsi="Times New Roman" w:cs="Times New Roman"/>
                <w:sz w:val="24"/>
                <w:szCs w:val="24"/>
                <w:lang w:eastAsia="pl-PL"/>
              </w:rPr>
              <w:tab/>
              <w:t>wyznaczenia przedstawiciela mającego siedzibę w Unii Europejskiej do celu reprezentowania przed Dyrektorem TDT, gdy producent pojazdów, przedmiotów wyposażenia lub części ma siedzibę poza Unią Europejską,</w:t>
            </w:r>
          </w:p>
          <w:p w14:paraId="48839A89"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2)</w:t>
            </w:r>
            <w:r w:rsidRPr="00EC084A">
              <w:rPr>
                <w:rFonts w:ascii="Times New Roman" w:eastAsia="Times New Roman" w:hAnsi="Times New Roman" w:cs="Times New Roman"/>
                <w:sz w:val="24"/>
                <w:szCs w:val="24"/>
                <w:lang w:eastAsia="pl-PL"/>
              </w:rPr>
              <w:tab/>
              <w:t>podania nazwy, zarejestrowanej nazwy handlowej lub zarejestrowanego znaku towarowego oraz adresu w Unii Europejskiej na pojazdach, przedmiotach wyposażenia lub częściach udostępnionych na rynku albo na opakowaniu lub w dokumencie dołączonym do danego przedmiotu wyposażenia lub części</w:t>
            </w:r>
          </w:p>
          <w:p w14:paraId="7BCC4645"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podlega administracyjnej karze pieniężnej do wysokości dwukrotności przeciętnego wynagrodzenia, o którym mowa w art. 68g ust. 4, ogłaszanego za czwarty kwartał roku poprzedzającego nałożenie kary, za każdy przypadek naruszenia obowiązku.</w:t>
            </w:r>
          </w:p>
          <w:p w14:paraId="66B0B05D"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Art. 71h. Podmiot gospodarczy, który wbrew obowiązkowi lub na żądanie Dyrektora TDT nie udostępnia informacji i dokumentacji niezbędnych do wykonywania zadań realizowanych przez Dyrektora TDT w przypadkach, o których mowa w: </w:t>
            </w:r>
          </w:p>
          <w:p w14:paraId="236ABDD2"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1) </w:t>
            </w:r>
            <w:r w:rsidRPr="00EC084A">
              <w:rPr>
                <w:rFonts w:ascii="Times New Roman" w:eastAsia="Times New Roman" w:hAnsi="Times New Roman" w:cs="Times New Roman"/>
                <w:sz w:val="24"/>
                <w:szCs w:val="24"/>
                <w:lang w:eastAsia="pl-PL"/>
              </w:rPr>
              <w:tab/>
              <w:t>art. 9 ust. 1, 2 i 4, art. 11 ust. 3, art. 12 ust. 2–4, art. 14 ust. 3 i 4, art. 29 ust. 1, art. 32 ust. 4 i 5 oraz art. 47 ust. 1–3 rozporządzenia 167/2013,</w:t>
            </w:r>
          </w:p>
          <w:p w14:paraId="5100F98E"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2) </w:t>
            </w:r>
            <w:r w:rsidRPr="00EC084A">
              <w:rPr>
                <w:rFonts w:ascii="Times New Roman" w:eastAsia="Times New Roman" w:hAnsi="Times New Roman" w:cs="Times New Roman"/>
                <w:sz w:val="24"/>
                <w:szCs w:val="24"/>
                <w:lang w:eastAsia="pl-PL"/>
              </w:rPr>
              <w:tab/>
              <w:t xml:space="preserve">art. 10 ust. 1, 2 i 4, art. 12 ust. 3, art. 13 ust. 2–4, art. 34 ust. 1, art. 37 ust. 4 i 5 </w:t>
            </w:r>
          </w:p>
          <w:p w14:paraId="2D729561"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oraz art. 52 ust. 2 rozporządzenia 168/2013,</w:t>
            </w:r>
          </w:p>
          <w:p w14:paraId="1FD96715"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3) </w:t>
            </w:r>
            <w:r w:rsidRPr="00EC084A">
              <w:rPr>
                <w:rFonts w:ascii="Times New Roman" w:eastAsia="Times New Roman" w:hAnsi="Times New Roman" w:cs="Times New Roman"/>
                <w:sz w:val="24"/>
                <w:szCs w:val="24"/>
                <w:lang w:eastAsia="pl-PL"/>
              </w:rPr>
              <w:tab/>
              <w:t xml:space="preserve">art. 14 ust. 1, 2 i 4, art. 17 ust. 2 i 4, art. 19 ust. </w:t>
            </w:r>
            <w:r w:rsidR="00EE28E7">
              <w:rPr>
                <w:rFonts w:ascii="Times New Roman" w:eastAsia="Times New Roman" w:hAnsi="Times New Roman" w:cs="Times New Roman"/>
                <w:sz w:val="24"/>
                <w:szCs w:val="24"/>
                <w:lang w:eastAsia="pl-PL"/>
              </w:rPr>
              <w:t>3</w:t>
            </w:r>
            <w:r w:rsidRPr="00EC084A">
              <w:rPr>
                <w:rFonts w:ascii="Times New Roman" w:eastAsia="Times New Roman" w:hAnsi="Times New Roman" w:cs="Times New Roman"/>
                <w:sz w:val="24"/>
                <w:szCs w:val="24"/>
                <w:lang w:eastAsia="pl-PL"/>
              </w:rPr>
              <w:t xml:space="preserve">, art. 33 ust. 1 oraz art. 35 </w:t>
            </w:r>
          </w:p>
          <w:p w14:paraId="725456FC"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ust. 4 i 5 rozporządzenia 2018/858,</w:t>
            </w:r>
          </w:p>
          <w:p w14:paraId="2899F0E4"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4) </w:t>
            </w:r>
            <w:r w:rsidRPr="00EC084A">
              <w:rPr>
                <w:rFonts w:ascii="Times New Roman" w:eastAsia="Times New Roman" w:hAnsi="Times New Roman" w:cs="Times New Roman"/>
                <w:sz w:val="24"/>
                <w:szCs w:val="24"/>
                <w:lang w:eastAsia="pl-PL"/>
              </w:rPr>
              <w:tab/>
              <w:t>art. 4 i art. 5 rozporządzenia 715/2007,</w:t>
            </w:r>
          </w:p>
          <w:p w14:paraId="34BB31AC"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5) </w:t>
            </w:r>
            <w:r w:rsidRPr="00EC084A">
              <w:rPr>
                <w:rFonts w:ascii="Times New Roman" w:eastAsia="Times New Roman" w:hAnsi="Times New Roman" w:cs="Times New Roman"/>
                <w:sz w:val="24"/>
                <w:szCs w:val="24"/>
                <w:lang w:eastAsia="pl-PL"/>
              </w:rPr>
              <w:tab/>
              <w:t>art. 4–11 rozporządzenia 2019/2144,</w:t>
            </w:r>
          </w:p>
          <w:p w14:paraId="0C6D5AF8"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6) </w:t>
            </w:r>
            <w:r w:rsidRPr="00EC084A">
              <w:rPr>
                <w:rFonts w:ascii="Times New Roman" w:eastAsia="Times New Roman" w:hAnsi="Times New Roman" w:cs="Times New Roman"/>
                <w:sz w:val="24"/>
                <w:szCs w:val="24"/>
                <w:lang w:eastAsia="pl-PL"/>
              </w:rPr>
              <w:tab/>
              <w:t>art. 4, art. 5, art. 5a i art. 7 rozporządzenia 595/2009,</w:t>
            </w:r>
          </w:p>
          <w:p w14:paraId="5A479A82"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7) </w:t>
            </w:r>
            <w:r w:rsidRPr="00EC084A">
              <w:rPr>
                <w:rFonts w:ascii="Times New Roman" w:eastAsia="Times New Roman" w:hAnsi="Times New Roman" w:cs="Times New Roman"/>
                <w:sz w:val="24"/>
                <w:szCs w:val="24"/>
                <w:lang w:eastAsia="pl-PL"/>
              </w:rPr>
              <w:tab/>
              <w:t>art. 5–8 rozporządzenia 540/2014,</w:t>
            </w:r>
          </w:p>
          <w:p w14:paraId="07FF52D5"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8) </w:t>
            </w:r>
            <w:r w:rsidRPr="00EC084A">
              <w:rPr>
                <w:rFonts w:ascii="Times New Roman" w:eastAsia="Times New Roman" w:hAnsi="Times New Roman" w:cs="Times New Roman"/>
                <w:sz w:val="24"/>
                <w:szCs w:val="24"/>
                <w:lang w:eastAsia="pl-PL"/>
              </w:rPr>
              <w:tab/>
              <w:t xml:space="preserve">art. 4–9, art. 12 i art. 14 </w:t>
            </w:r>
            <w:r w:rsidR="00EE28E7">
              <w:rPr>
                <w:rFonts w:ascii="Times New Roman" w:eastAsia="Times New Roman" w:hAnsi="Times New Roman" w:cs="Times New Roman"/>
                <w:sz w:val="24"/>
                <w:szCs w:val="24"/>
                <w:lang w:eastAsia="pl-PL"/>
              </w:rPr>
              <w:t xml:space="preserve">ust. 1 </w:t>
            </w:r>
            <w:r w:rsidRPr="00EC084A">
              <w:rPr>
                <w:rFonts w:ascii="Times New Roman" w:eastAsia="Times New Roman" w:hAnsi="Times New Roman" w:cs="Times New Roman"/>
                <w:sz w:val="24"/>
                <w:szCs w:val="24"/>
                <w:lang w:eastAsia="pl-PL"/>
              </w:rPr>
              <w:t>rozporządzenia 2024/1257</w:t>
            </w:r>
          </w:p>
          <w:p w14:paraId="6919748B"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9) </w:t>
            </w:r>
            <w:r w:rsidRPr="00EC084A">
              <w:rPr>
                <w:rFonts w:ascii="Times New Roman" w:eastAsia="Times New Roman" w:hAnsi="Times New Roman" w:cs="Times New Roman"/>
                <w:sz w:val="24"/>
                <w:szCs w:val="24"/>
                <w:lang w:eastAsia="pl-PL"/>
              </w:rPr>
              <w:tab/>
              <w:t>regulaminów ONZ</w:t>
            </w:r>
          </w:p>
          <w:p w14:paraId="1098D70F"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podlega administracyjnej karze pieniężnej do wysokości dwukrotności przeciętnego wynagrodzenia, o którym mowa w art. 68g ust. 4, ogłaszanego za czwarty kwartał roku poprzedzającego nałożenie kary, za każdy przypadek nieudostępnienia informacji lub dokumentacji.</w:t>
            </w:r>
          </w:p>
          <w:p w14:paraId="527F16C4"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Art. 71i. Operator platformy oraz dostawca usług społeczeństwa informacyjnego, który nie realizuje obowiązku, o którym mowa w art. 68w, albo nie realizuje obowiązku nałożonego w decyzji, o której mowa w art. 68zk ust. 6 i 8,  podlega administracyjnej karze pieniężnej do wysokości półkrotności przeciętnego wynagrodzenia, o którym mowa w art. 68g ust. 4, ogłaszanego za czwarty kwartał roku, za każdy przypadek naruszenia obowiązku. </w:t>
            </w:r>
          </w:p>
          <w:p w14:paraId="70993F82"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Art. 71j. Podmioty, które uniemożliwiają rozpoczęcie lub utrudniają Dyrektorowi TDT jako organowi nadzoru rynku prowadzenie czynności, o których mowa w art. 68z lub art. 68za, lub nie realizują obowiązków lub żądań, o których mowa w tych przepisach, podlegają administracyjnej karze pieniężnej do wysokości jednokrotności przeciętnego wynagrodzenia, o którym mowa w art. 68g ust. 4, ogłaszanego za czwarty kwartał roku poprzedzającego nałożenie kary.</w:t>
            </w:r>
          </w:p>
          <w:p w14:paraId="4226440E"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Art. 71k. 1. Służba techniczna, która narusza obowiązki określone w: </w:t>
            </w:r>
          </w:p>
          <w:p w14:paraId="510DA13B"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1)</w:t>
            </w:r>
            <w:r w:rsidRPr="00EC084A">
              <w:rPr>
                <w:rFonts w:ascii="Times New Roman" w:eastAsia="Times New Roman" w:hAnsi="Times New Roman" w:cs="Times New Roman"/>
                <w:sz w:val="24"/>
                <w:szCs w:val="24"/>
                <w:lang w:eastAsia="pl-PL"/>
              </w:rPr>
              <w:tab/>
              <w:t xml:space="preserve"> art. 66 lub art. 67 rozporządzenia 167/2013,</w:t>
            </w:r>
          </w:p>
          <w:p w14:paraId="12EF2D9A"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2)</w:t>
            </w:r>
            <w:r w:rsidRPr="00EC084A">
              <w:rPr>
                <w:rFonts w:ascii="Times New Roman" w:eastAsia="Times New Roman" w:hAnsi="Times New Roman" w:cs="Times New Roman"/>
                <w:sz w:val="24"/>
                <w:szCs w:val="24"/>
                <w:lang w:eastAsia="pl-PL"/>
              </w:rPr>
              <w:tab/>
              <w:t xml:space="preserve"> art. 70 lub art. 71 rozporządzenia 168/2013,</w:t>
            </w:r>
          </w:p>
          <w:p w14:paraId="7CB52643"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3)</w:t>
            </w:r>
            <w:r w:rsidRPr="00EC084A">
              <w:rPr>
                <w:rFonts w:ascii="Times New Roman" w:eastAsia="Times New Roman" w:hAnsi="Times New Roman" w:cs="Times New Roman"/>
                <w:sz w:val="24"/>
                <w:szCs w:val="24"/>
                <w:lang w:eastAsia="pl-PL"/>
              </w:rPr>
              <w:tab/>
              <w:t xml:space="preserve"> art. 80 lub art. 81 rozporządzenia 2018/858</w:t>
            </w:r>
          </w:p>
          <w:p w14:paraId="4C89D6D1"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 podlega administracyjnej karze pieniężnej do wysokości dwukrotności przeciętnego wynagrodzenia, o którym mowa w art. 68g ust. 4, ogłaszanego za czwarty kwartał roku poprzedzającego nałożenie kary, za każde stwierdzone naruszenie. </w:t>
            </w:r>
          </w:p>
          <w:p w14:paraId="5F030124"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2. W przypadku gdy służba techniczna:</w:t>
            </w:r>
          </w:p>
          <w:p w14:paraId="114FAD87"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1)</w:t>
            </w:r>
            <w:r w:rsidRPr="00EC084A">
              <w:rPr>
                <w:rFonts w:ascii="Times New Roman" w:eastAsia="Times New Roman" w:hAnsi="Times New Roman" w:cs="Times New Roman"/>
                <w:sz w:val="24"/>
                <w:szCs w:val="24"/>
                <w:lang w:eastAsia="pl-PL"/>
              </w:rPr>
              <w:tab/>
              <w:t>nie zawiadomi Dyrektora TDT o zaprzestaniu prowadzenia działalności w kategoriach działań, do których została wyznaczona w trybie określonym w art. 8,</w:t>
            </w:r>
          </w:p>
          <w:p w14:paraId="38C0D9A7"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2)</w:t>
            </w:r>
            <w:r w:rsidRPr="00EC084A">
              <w:rPr>
                <w:rFonts w:ascii="Times New Roman" w:eastAsia="Times New Roman" w:hAnsi="Times New Roman" w:cs="Times New Roman"/>
                <w:sz w:val="24"/>
                <w:szCs w:val="24"/>
                <w:lang w:eastAsia="pl-PL"/>
              </w:rPr>
              <w:tab/>
              <w:t>nie przekaże Dyrektorowi TDT dokumentów lub ich kopii dotyczących wykonywanych przez nią działań w trybie wynikającym z art. 9 ust. 1,</w:t>
            </w:r>
          </w:p>
          <w:p w14:paraId="596AABB1"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3)</w:t>
            </w:r>
            <w:r w:rsidRPr="00EC084A">
              <w:rPr>
                <w:rFonts w:ascii="Times New Roman" w:eastAsia="Times New Roman" w:hAnsi="Times New Roman" w:cs="Times New Roman"/>
                <w:sz w:val="24"/>
                <w:szCs w:val="24"/>
                <w:lang w:eastAsia="pl-PL"/>
              </w:rPr>
              <w:tab/>
              <w:t>nie zawiadomi Dyrektora TDT o zaprzestaniu spełnienia jednego bądź kilku warunków określonych w art. 4 ust. 2 oraz w przepisach wydanych na podstawie art. 11 ust. 1,</w:t>
            </w:r>
          </w:p>
          <w:p w14:paraId="6C497ED6"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4)</w:t>
            </w:r>
            <w:r w:rsidRPr="00EC084A">
              <w:rPr>
                <w:rFonts w:ascii="Times New Roman" w:eastAsia="Times New Roman" w:hAnsi="Times New Roman" w:cs="Times New Roman"/>
                <w:sz w:val="24"/>
                <w:szCs w:val="24"/>
                <w:lang w:eastAsia="pl-PL"/>
              </w:rPr>
              <w:tab/>
              <w:t xml:space="preserve">nie realizuje działań, do których została wyznaczona zgodnie z art. 10 oraz przepisami wydanymi na podstawie art. 11 ust. 1 </w:t>
            </w:r>
          </w:p>
          <w:p w14:paraId="5A93DA44"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podlega administracyjnej karze pieniężnej do wysokości sześciokrotności przeciętnego wynagrodzenia, o którym mowa w art. 68g ust. 4, ogłaszanego za czwarty kwartał roku poprzedzającego nałożenie kary, za każde stwierdzone naruszenie.</w:t>
            </w:r>
          </w:p>
          <w:p w14:paraId="75294CB9"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Art. 71l. Producent tramwaju lub producent trolejbusu, który:</w:t>
            </w:r>
          </w:p>
          <w:p w14:paraId="4C71563C"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1)</w:t>
            </w:r>
            <w:r w:rsidRPr="00EC084A">
              <w:rPr>
                <w:rFonts w:ascii="Times New Roman" w:eastAsia="Times New Roman" w:hAnsi="Times New Roman" w:cs="Times New Roman"/>
                <w:sz w:val="24"/>
                <w:szCs w:val="24"/>
                <w:lang w:eastAsia="pl-PL"/>
              </w:rPr>
              <w:tab/>
              <w:t>wprowadza do obrotu tramwaj lub trolejbus bez wymaganego świadectwa zgodności, na podstawie świadectwa zgodności sfałszowanego lub podpisanego przez osobę nieuprawnioną,</w:t>
            </w:r>
          </w:p>
          <w:p w14:paraId="33060D8B"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2)</w:t>
            </w:r>
            <w:r w:rsidRPr="00EC084A">
              <w:rPr>
                <w:rFonts w:ascii="Times New Roman" w:eastAsia="Times New Roman" w:hAnsi="Times New Roman" w:cs="Times New Roman"/>
                <w:sz w:val="24"/>
                <w:szCs w:val="24"/>
                <w:lang w:eastAsia="pl-PL"/>
              </w:rPr>
              <w:tab/>
              <w:t xml:space="preserve">narusza wymogi wynikające z przepisów wydanych na podstawie art. 55 </w:t>
            </w:r>
          </w:p>
          <w:p w14:paraId="0A426DDC"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podlega administracyjnej karze pieniężnej do wysokości dwunastokrotności przeciętnego wynagrodzenia, o którym mowa w art. 68g ust. 4, ogłaszanego za czwarty kwartał roku poprzedzającego nałożenie kary, za każde wprowadzenie do obrotu tramwaju lub trolejbusu, w odniesieniu do których nie wypełnił obowiązku.</w:t>
            </w:r>
          </w:p>
          <w:p w14:paraId="317D34AA"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Art. 71m. Podmiot dokonujący montażu dodatkowej instalacji zasilania gazem pojazdu, który:</w:t>
            </w:r>
          </w:p>
          <w:p w14:paraId="2B5A29E3"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1)</w:t>
            </w:r>
            <w:r w:rsidRPr="00EC084A">
              <w:rPr>
                <w:rFonts w:ascii="Times New Roman" w:eastAsia="Times New Roman" w:hAnsi="Times New Roman" w:cs="Times New Roman"/>
                <w:sz w:val="24"/>
                <w:szCs w:val="24"/>
                <w:lang w:eastAsia="pl-PL"/>
              </w:rPr>
              <w:tab/>
              <w:t xml:space="preserve">dokonuje montażu dodatkowej instalacji zasilania gazem pojazdu bez wymaganego wyciągu ze świadectwa homologacji montażu dodatkowej instalacji zasilania gazem pojazdu oraz instrukcji montażu, na podstawie wyciągu i instrukcji sfałszowanej lub podpisanej przez osobę nieuprawnioną, </w:t>
            </w:r>
          </w:p>
          <w:p w14:paraId="3D05B1EC"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2)</w:t>
            </w:r>
            <w:r w:rsidRPr="00EC084A">
              <w:rPr>
                <w:rFonts w:ascii="Times New Roman" w:eastAsia="Times New Roman" w:hAnsi="Times New Roman" w:cs="Times New Roman"/>
                <w:sz w:val="24"/>
                <w:szCs w:val="24"/>
                <w:lang w:eastAsia="pl-PL"/>
              </w:rPr>
              <w:tab/>
              <w:t>narusza obowiązki, o których mowa w art. 36, art. 38 ust. 4 i art. 43,</w:t>
            </w:r>
          </w:p>
          <w:p w14:paraId="1E877704"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3)</w:t>
            </w:r>
            <w:r w:rsidRPr="00EC084A">
              <w:rPr>
                <w:rFonts w:ascii="Times New Roman" w:eastAsia="Times New Roman" w:hAnsi="Times New Roman" w:cs="Times New Roman"/>
                <w:sz w:val="24"/>
                <w:szCs w:val="24"/>
                <w:lang w:eastAsia="pl-PL"/>
              </w:rPr>
              <w:tab/>
              <w:t xml:space="preserve">narusza wymagania techniczne obowiązujące w procedurze homologacji dodatkowej instalacji zasilania gazem pojazdu oraz wymagania w zakresie tabliczki informacyjnej, wynikające z przepisów wydanych na podstawie art. 58 </w:t>
            </w:r>
          </w:p>
          <w:p w14:paraId="4DED847B"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podlega administracyjnej karze pieniężnej do wysokości jednokrotności przeciętnego wynagrodzenia, o którym mowa w art. 68g ust. 4, ogłaszanego za czwarty kwartał roku poprzedzającego nałożenie kary, za każdy montaż dodatkowej instalacji zasilania gazem pojazdu, w odniesieniu do którego nie wypełnił obowiązku.</w:t>
            </w:r>
          </w:p>
          <w:p w14:paraId="2C004D15"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Art. 71n. Podmiot gospodarczy, który nie realizuje obowiązku udostępnienia użytkownikom końcowym informacji o konieczności sprawdzenia stanu technicznego pojazdu w warunkach serwisowych producenta, o którym mowa w art. 70 ust. 3 lub art. 71 ust. 3 pkt 3, podlega administracyjnej karze pieniężnej do wysokości jednokrotności przeciętnego wynagrodzenia, o którym mowa w art. 68g ust. 4, ogłaszanego za czwarty kwartał roku poprzedzającego nałożenie kary, za każdy przypadek nieudostępnienia informacji dotyczącej pojazdu objętego koniecznością sprawdzenia stanu technicznego w warunkach serwisowych producenta.</w:t>
            </w:r>
          </w:p>
          <w:p w14:paraId="2299F5C6"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Art. 71o. Podmiot, o którym mowa odpowiednio w art. 68zu ust. 2 albo art. 68zv ust. 3, który:</w:t>
            </w:r>
          </w:p>
          <w:p w14:paraId="077669ED"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1) </w:t>
            </w:r>
            <w:r w:rsidRPr="00EC084A">
              <w:rPr>
                <w:rFonts w:ascii="Times New Roman" w:eastAsia="Times New Roman" w:hAnsi="Times New Roman" w:cs="Times New Roman"/>
                <w:sz w:val="24"/>
                <w:szCs w:val="24"/>
                <w:lang w:eastAsia="pl-PL"/>
              </w:rPr>
              <w:tab/>
              <w:t>nie realizuje obowiązku, o którym mowa w art. 68zv ust. 1, podlega administracyjnej karze pieniężnej do wysokości dziesięciokrotności przeciętnego wynagrodzenia, o którym mowa w art. 68g ust. 4, ogłaszanego za czwarty kwartał roku poprzedzającego nałożenie kary;</w:t>
            </w:r>
          </w:p>
          <w:p w14:paraId="64CA5707"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2) </w:t>
            </w:r>
            <w:r w:rsidRPr="00EC084A">
              <w:rPr>
                <w:rFonts w:ascii="Times New Roman" w:eastAsia="Times New Roman" w:hAnsi="Times New Roman" w:cs="Times New Roman"/>
                <w:sz w:val="24"/>
                <w:szCs w:val="24"/>
                <w:lang w:eastAsia="pl-PL"/>
              </w:rPr>
              <w:tab/>
              <w:t>nie przekazuje informacji o wysokości obliczonych i uiszczonych opłat za nadzór rynku motoryzacyjnego w terminie, o którym mowa w art. 68zv ust. 2, podlega administracyjnej karze pieniężnej do wysokości dziesięciokrotności przeciętnego wynagrodzenia, o którym mowa w art. 68g ust. 4, ogłaszanego za czwarty kwartał roku poprzedzającego nałożenie kary;</w:t>
            </w:r>
          </w:p>
          <w:p w14:paraId="41798EA5"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3) </w:t>
            </w:r>
            <w:r w:rsidRPr="00EC084A">
              <w:rPr>
                <w:rFonts w:ascii="Times New Roman" w:eastAsia="Times New Roman" w:hAnsi="Times New Roman" w:cs="Times New Roman"/>
                <w:sz w:val="24"/>
                <w:szCs w:val="24"/>
                <w:lang w:eastAsia="pl-PL"/>
              </w:rPr>
              <w:tab/>
              <w:t xml:space="preserve">nie przekazuje zbiorczej informacji o podmiotach wprowadzających do obrotu pojazdy w terminie, o którym mowa w art. 68zv ust. 3, podlega administracyjnej karze pieniężnej do wysokości dziesięciokrotności przeciętnego wynagrodzenia, o którym mowa w art. 68g ust. 4, ogłaszanego za czwarty kwartał roku poprzedzającego nałożenie kary; </w:t>
            </w:r>
          </w:p>
          <w:p w14:paraId="6F622761"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4) </w:t>
            </w:r>
            <w:r w:rsidRPr="00EC084A">
              <w:rPr>
                <w:rFonts w:ascii="Times New Roman" w:eastAsia="Times New Roman" w:hAnsi="Times New Roman" w:cs="Times New Roman"/>
                <w:sz w:val="24"/>
                <w:szCs w:val="24"/>
                <w:lang w:eastAsia="pl-PL"/>
              </w:rPr>
              <w:tab/>
              <w:t>fałszuje lub zataja dane, na podstawie których wypełniona została informacja, o której mowa w art. 68zv ust. 2 lub 3, lub podaje nieprawdziwe dane w tej informacji podlega administracyjnej karze pieniężnej do wysokości dziesięciokrotności przeciętnego wynagrodzenia, o którym mowa w art. 68g ust. 4, ogłaszanego za czwarty kwartał roku poprzedzającego nałożenie kary;</w:t>
            </w:r>
          </w:p>
          <w:p w14:paraId="238DB378"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5) </w:t>
            </w:r>
            <w:r w:rsidRPr="00EC084A">
              <w:rPr>
                <w:rFonts w:ascii="Times New Roman" w:eastAsia="Times New Roman" w:hAnsi="Times New Roman" w:cs="Times New Roman"/>
                <w:sz w:val="24"/>
                <w:szCs w:val="24"/>
                <w:lang w:eastAsia="pl-PL"/>
              </w:rPr>
              <w:tab/>
              <w:t xml:space="preserve">nie przechowuje przekazywanych Dyrektorowi TDT jako organowi nadzoru rynku informacji przez okres, o którym mowa w art. 68zv ust. 4, podlega administracyjnej karze pieniężnej do wysokości trzykrotności przeciętnego wynagrodzenia, o którym mowa w art. 68g ust. 4, ogłaszanego za czwarty kwartał roku poprzedzającego nałożenie kary; </w:t>
            </w:r>
          </w:p>
          <w:p w14:paraId="0E2AC68F"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6) </w:t>
            </w:r>
            <w:r w:rsidRPr="00EC084A">
              <w:rPr>
                <w:rFonts w:ascii="Times New Roman" w:eastAsia="Times New Roman" w:hAnsi="Times New Roman" w:cs="Times New Roman"/>
                <w:sz w:val="24"/>
                <w:szCs w:val="24"/>
                <w:lang w:eastAsia="pl-PL"/>
              </w:rPr>
              <w:tab/>
              <w:t xml:space="preserve">nie okazuje informacji i  dokumentów w toku kontroli, o której mowa w art. 68zw ust. 1, podlega administracyjnej karze pieniężnej do wysokości trzykrotności przeciętnego wynagrodzenia, o którym mowa w art. 68g ust. 4, ogłaszanego za czwarty kwartał roku poprzedzającego nałożenie kary; </w:t>
            </w:r>
          </w:p>
          <w:p w14:paraId="1A1005C3"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7) </w:t>
            </w:r>
            <w:r w:rsidRPr="00EC084A">
              <w:rPr>
                <w:rFonts w:ascii="Times New Roman" w:eastAsia="Times New Roman" w:hAnsi="Times New Roman" w:cs="Times New Roman"/>
                <w:sz w:val="24"/>
                <w:szCs w:val="24"/>
                <w:lang w:eastAsia="pl-PL"/>
              </w:rPr>
              <w:tab/>
              <w:t xml:space="preserve">przedkłada sfałszowany dokument stanowiący postawę ustalenia wysokości opłaty za nadzór rynku motoryzacyjnego, podlega administracyjnej karze pieniężnej do wysokości trzykrotności przeciętnego wynagrodzenia, o którym mowa w art. 68g ust. 4, ogłaszanego za czwarty kwartał roku poprzedzającego nałożenie kary. </w:t>
            </w:r>
          </w:p>
          <w:p w14:paraId="73B9CAF3"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Art. 71p. 1. Administracyjne kary pieniężne, o których mowa w art. 71a–71o, nakłada Dyrektor TDT w drodze decyzji administracyjnej. </w:t>
            </w:r>
          </w:p>
          <w:p w14:paraId="39ABC690"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2. Organem wyższego stopnia w rozumieniu przepisów ustawy z dnia 14 czerwca 1960 r. – Kodeks postępowania administracyjnego w sprawach, o których mowa w ust. 1, jest minister właściwy do spraw transportu. </w:t>
            </w:r>
          </w:p>
          <w:p w14:paraId="0DED4693"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3. Przy ustalaniu wysokości administracyjnych kar pieniężnych, o których mowa </w:t>
            </w:r>
          </w:p>
          <w:p w14:paraId="62B93B15"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w art. 71a–71o, uwzględnia się:</w:t>
            </w:r>
          </w:p>
          <w:p w14:paraId="771C91FB"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1)</w:t>
            </w:r>
            <w:r w:rsidRPr="00EC084A">
              <w:rPr>
                <w:rFonts w:ascii="Times New Roman" w:eastAsia="Times New Roman" w:hAnsi="Times New Roman" w:cs="Times New Roman"/>
                <w:sz w:val="24"/>
                <w:szCs w:val="24"/>
                <w:lang w:eastAsia="pl-PL"/>
              </w:rPr>
              <w:tab/>
              <w:t>stopień, okoliczności i okres naruszenia obowiązków;</w:t>
            </w:r>
            <w:r w:rsidRPr="00EC084A">
              <w:rPr>
                <w:rFonts w:ascii="Times New Roman" w:eastAsia="Times New Roman" w:hAnsi="Times New Roman" w:cs="Times New Roman"/>
                <w:sz w:val="24"/>
                <w:szCs w:val="24"/>
                <w:lang w:eastAsia="pl-PL"/>
              </w:rPr>
              <w:tab/>
            </w:r>
            <w:r w:rsidRPr="00EC084A">
              <w:rPr>
                <w:rFonts w:ascii="Times New Roman" w:eastAsia="Times New Roman" w:hAnsi="Times New Roman" w:cs="Times New Roman"/>
                <w:sz w:val="24"/>
                <w:szCs w:val="24"/>
                <w:lang w:eastAsia="pl-PL"/>
              </w:rPr>
              <w:tab/>
            </w:r>
          </w:p>
          <w:p w14:paraId="1E1945F8"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2) </w:t>
            </w:r>
            <w:r w:rsidRPr="00EC084A">
              <w:rPr>
                <w:rFonts w:ascii="Times New Roman" w:eastAsia="Times New Roman" w:hAnsi="Times New Roman" w:cs="Times New Roman"/>
                <w:sz w:val="24"/>
                <w:szCs w:val="24"/>
                <w:lang w:eastAsia="pl-PL"/>
              </w:rPr>
              <w:tab/>
              <w:t>rodzaj i charakter stwierdzonych niezgodności z wymaganiami technicznymi, warunkami technicznymi, o których mowa w art. 66 ust. 1 ustawy z dnia 20 czerwca 1997 r. – Prawo o ruchu drogowym oraz określonymi w przepisach wydanych na podstawie art. 66 ust. 5 tej ustawy, lub rodzaj stwarzanego poważnego ryzyka przez pojazd, przedmiot wyposażenia lub część, rower, wózek rowerowy, hulajnogę elektryczną oraz urządzenie transportu osobistego;</w:t>
            </w:r>
          </w:p>
          <w:p w14:paraId="4A9DF144"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3)</w:t>
            </w:r>
            <w:r w:rsidRPr="00EC084A">
              <w:rPr>
                <w:rFonts w:ascii="Times New Roman" w:eastAsia="Times New Roman" w:hAnsi="Times New Roman" w:cs="Times New Roman"/>
                <w:sz w:val="24"/>
                <w:szCs w:val="24"/>
                <w:lang w:eastAsia="pl-PL"/>
              </w:rPr>
              <w:tab/>
              <w:t>liczbę udostępnionych na rynku pojazdów, przedmiotów wyposażenia lub części niezgodnych z wymaganiami technicznymi albo rowerów, wózków rowerowych, hulajnóg elektrycznych oraz urządzeń transportu osobistego niezgodnych z warunkami technicznymi, o których mowa w art. 66 ust. 1 ustawy z dnia 20 czerwca 1997 r. – Prawo o ruchu drogowym oraz określonymi w przepisach wydanych na podstawie art. 66 ust. 5 tej ustawy, w których dokonano montażu dodatkowej instalacji zasilania gazem pojazdu niezgodnie z wymaganiami, o których mowa w art. 31 ust. 2, art. 36, art. 42 i 43, wymaganiami technicznymi obowiązującymi w procedurze homologacji dodatkowej instalacji zasilania gazem pojazdu oraz wymaganiami w zakresie tabliczki informacyjnej, wynikającymi z przepisów wydanych na podstawie art. 58;</w:t>
            </w:r>
          </w:p>
          <w:p w14:paraId="283DA40F"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4)</w:t>
            </w:r>
            <w:r w:rsidRPr="00EC084A">
              <w:rPr>
                <w:rFonts w:ascii="Times New Roman" w:eastAsia="Times New Roman" w:hAnsi="Times New Roman" w:cs="Times New Roman"/>
                <w:sz w:val="24"/>
                <w:szCs w:val="24"/>
                <w:lang w:eastAsia="pl-PL"/>
              </w:rPr>
              <w:tab/>
              <w:t>uprzednie naruszenie obowiązków;</w:t>
            </w:r>
          </w:p>
          <w:p w14:paraId="5FCB8B92"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5)</w:t>
            </w:r>
            <w:r w:rsidRPr="00EC084A">
              <w:rPr>
                <w:rFonts w:ascii="Times New Roman" w:eastAsia="Times New Roman" w:hAnsi="Times New Roman" w:cs="Times New Roman"/>
                <w:sz w:val="24"/>
                <w:szCs w:val="24"/>
                <w:lang w:eastAsia="pl-PL"/>
              </w:rPr>
              <w:tab/>
              <w:t>współpracę z Dyrektorem TDT jako organem nadzoru rynku, w tym przyczynienie się do szybkiego i sprawnego przeprowadzenia czynności wyjaśniających, kontroli, badań lub postępowań administracyjnych;</w:t>
            </w:r>
          </w:p>
          <w:p w14:paraId="1EB63BC1"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6) </w:t>
            </w:r>
            <w:r w:rsidRPr="00EC084A">
              <w:rPr>
                <w:rFonts w:ascii="Times New Roman" w:eastAsia="Times New Roman" w:hAnsi="Times New Roman" w:cs="Times New Roman"/>
                <w:sz w:val="24"/>
                <w:szCs w:val="24"/>
                <w:lang w:eastAsia="pl-PL"/>
              </w:rPr>
              <w:tab/>
              <w:t>zaprzestanie przez podmiot gospodarczy naruszenia obowiązków, o których mowa odpowiednio w art. 53a i art. 53b oraz potwierdzenie realizacji tych obowiązków;</w:t>
            </w:r>
          </w:p>
          <w:p w14:paraId="501F1B2D"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7)</w:t>
            </w:r>
            <w:r w:rsidRPr="00EC084A">
              <w:rPr>
                <w:rFonts w:ascii="Times New Roman" w:eastAsia="Times New Roman" w:hAnsi="Times New Roman" w:cs="Times New Roman"/>
                <w:sz w:val="24"/>
                <w:szCs w:val="24"/>
                <w:lang w:eastAsia="pl-PL"/>
              </w:rPr>
              <w:tab/>
              <w:t>zlecenie przez podmiot, który zamontował w pojeździe dodatkową instalację zasilania gazem pojazdu bez świadectwa homologacji montażu dodatkowej instalacji zasilania gazem pojazdu, uprawnionemu podmiotowi wymianę tej instalacji w pojeździe, na swój koszt, na instalację zgodną z takim świadectwem.</w:t>
            </w:r>
          </w:p>
          <w:p w14:paraId="546272CD"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4. Przy wydawaniu decyzji o nałożeniu administracyjnej kary pieniężnej, o której mowa w art. 71a–71o, przepisu art. 189f ustawy z dnia 14 czerwca 1960 r. – Kodeks postępowania administracyjnego nie stosuje się. </w:t>
            </w:r>
          </w:p>
          <w:p w14:paraId="5FDAFA10"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 xml:space="preserve">Art. 71r. 1. Administracyjne kary pieniężne, o których mowa w art. 71a–71o, uiszcza się na rachunek Transportowego Dozoru Technicznego w terminie 14 dni od dnia, w którym decyzja o nałożeniu administracyjnej kary pieniężnej stała się ostateczna. </w:t>
            </w:r>
          </w:p>
          <w:p w14:paraId="6EB81E9D"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2. Wpływy z administracyjnych kar pieniężnych wraz z odsetkami stanowią przychód Dyrektora TDT.</w:t>
            </w:r>
          </w:p>
          <w:p w14:paraId="287B4EF8" w14:textId="77777777" w:rsidR="00EC084A" w:rsidRPr="00EC084A"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Art. 71s. 1. Kary pieniężne, o których mowa w art. 71a–71o, wraz z odsetkami ustawowymi za opóźnienie, podlegają przymusowemu ściągnięciu w trybie określonym w ustawie z dnia 17 czerwca 1966 r. o postępowaniu egzekucyjnym w administracji.</w:t>
            </w:r>
          </w:p>
          <w:p w14:paraId="1D914328" w14:textId="77777777" w:rsidR="00EC084A" w:rsidRPr="00FB76A9" w:rsidRDefault="00EC084A" w:rsidP="00FD5CD5">
            <w:pPr>
              <w:spacing w:after="0" w:line="240" w:lineRule="auto"/>
              <w:ind w:firstLine="70"/>
              <w:rPr>
                <w:rFonts w:ascii="Times New Roman" w:eastAsia="Times New Roman" w:hAnsi="Times New Roman" w:cs="Times New Roman"/>
                <w:sz w:val="24"/>
                <w:szCs w:val="24"/>
                <w:lang w:eastAsia="pl-PL"/>
              </w:rPr>
            </w:pPr>
            <w:r w:rsidRPr="00EC084A">
              <w:rPr>
                <w:rFonts w:ascii="Times New Roman" w:eastAsia="Times New Roman" w:hAnsi="Times New Roman" w:cs="Times New Roman"/>
                <w:sz w:val="24"/>
                <w:szCs w:val="24"/>
                <w:lang w:eastAsia="pl-PL"/>
              </w:rPr>
              <w:t>2.</w:t>
            </w:r>
            <w:r w:rsidRPr="00EC084A">
              <w:rPr>
                <w:rFonts w:ascii="Times New Roman" w:eastAsia="Times New Roman" w:hAnsi="Times New Roman" w:cs="Times New Roman"/>
                <w:sz w:val="24"/>
                <w:szCs w:val="24"/>
                <w:lang w:eastAsia="pl-PL"/>
              </w:rPr>
              <w:tab/>
              <w:t xml:space="preserve"> Obowiązek uiszczenia kar pieniężnych, o których mowa w ust. 1, przedawnia się z upływem 5 lat, licząc od ostatniego dnia roku kalendarzowego, w którym kary powinny zostać uiszczone.”.</w:t>
            </w:r>
          </w:p>
        </w:tc>
        <w:tc>
          <w:tcPr>
            <w:tcW w:w="2268" w:type="dxa"/>
            <w:tcBorders>
              <w:top w:val="single" w:sz="4" w:space="0" w:color="auto"/>
              <w:left w:val="single" w:sz="4" w:space="0" w:color="auto"/>
              <w:bottom w:val="single" w:sz="4" w:space="0" w:color="auto"/>
              <w:right w:val="single" w:sz="4" w:space="0" w:color="auto"/>
            </w:tcBorders>
          </w:tcPr>
          <w:p w14:paraId="68CA1ECF" w14:textId="77777777" w:rsidR="00A54745" w:rsidRPr="00FB76A9" w:rsidRDefault="00A54745" w:rsidP="00FD5CD5">
            <w:pPr>
              <w:pStyle w:val="ZARTzmartartykuempunktem"/>
              <w:keepNext/>
              <w:spacing w:line="240" w:lineRule="auto"/>
              <w:ind w:left="0" w:right="3104" w:firstLine="70"/>
              <w:jc w:val="left"/>
              <w:rPr>
                <w:rFonts w:ascii="Times New Roman" w:hAnsi="Times New Roman" w:cs="Times New Roman"/>
                <w:szCs w:val="24"/>
              </w:rPr>
            </w:pPr>
          </w:p>
        </w:tc>
      </w:tr>
    </w:tbl>
    <w:p w14:paraId="61A477A0" w14:textId="77777777" w:rsidR="004611F5" w:rsidRPr="00FB76A9" w:rsidRDefault="004611F5" w:rsidP="00FD5CD5">
      <w:pPr>
        <w:rPr>
          <w:rFonts w:ascii="Times New Roman" w:hAnsi="Times New Roman" w:cs="Times New Roman"/>
          <w:sz w:val="24"/>
          <w:szCs w:val="24"/>
        </w:rPr>
      </w:pPr>
      <w:r w:rsidRPr="00FB76A9">
        <w:rPr>
          <w:rFonts w:ascii="Times New Roman" w:hAnsi="Times New Roman" w:cs="Times New Roman"/>
          <w:sz w:val="24"/>
          <w:szCs w:val="24"/>
        </w:rPr>
        <w:br w:type="page"/>
      </w:r>
    </w:p>
    <w:tbl>
      <w:tblPr>
        <w:tblpPr w:leftFromText="141" w:rightFromText="141" w:vertAnchor="text" w:tblpY="1"/>
        <w:tblOverlap w:val="neve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13"/>
        <w:gridCol w:w="9482"/>
      </w:tblGrid>
      <w:tr w:rsidR="00DC2D7F" w:rsidRPr="00FB76A9" w14:paraId="2C9DD1C8" w14:textId="77777777" w:rsidTr="00777DE4">
        <w:trPr>
          <w:cantSplit/>
          <w:trHeight w:val="576"/>
        </w:trPr>
        <w:tc>
          <w:tcPr>
            <w:tcW w:w="5513" w:type="dxa"/>
            <w:tcBorders>
              <w:bottom w:val="single" w:sz="4" w:space="0" w:color="auto"/>
            </w:tcBorders>
            <w:shd w:val="clear" w:color="auto" w:fill="E0E0E0"/>
          </w:tcPr>
          <w:p w14:paraId="7D8E23A4" w14:textId="77777777" w:rsidR="00DC2D7F" w:rsidRPr="00FB76A9" w:rsidRDefault="00DC2D7F" w:rsidP="00FD5CD5">
            <w:pPr>
              <w:keepNext/>
              <w:spacing w:after="0" w:line="240" w:lineRule="auto"/>
              <w:outlineLvl w:val="0"/>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TYTUŁ PROJEKTU:</w:t>
            </w:r>
          </w:p>
        </w:tc>
        <w:tc>
          <w:tcPr>
            <w:tcW w:w="9482" w:type="dxa"/>
            <w:tcBorders>
              <w:bottom w:val="single" w:sz="4" w:space="0" w:color="auto"/>
            </w:tcBorders>
          </w:tcPr>
          <w:p w14:paraId="50FA47B5" w14:textId="77777777" w:rsidR="00DC2D7F" w:rsidRPr="00FB76A9" w:rsidRDefault="00DC2D7F" w:rsidP="00FD5CD5">
            <w:pPr>
              <w:spacing w:after="0" w:line="240" w:lineRule="auto"/>
              <w:contextualSpacing/>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Projekt ustawy o zmianie ustawy o systemach homologacji pojazdów oraz ich wyposażenia oraz niektórych innych ustaw (UC95)</w:t>
            </w:r>
          </w:p>
        </w:tc>
      </w:tr>
      <w:tr w:rsidR="00DC2D7F" w:rsidRPr="00FB76A9" w14:paraId="71531857" w14:textId="77777777" w:rsidTr="00777DE4">
        <w:trPr>
          <w:cantSplit/>
          <w:trHeight w:val="576"/>
        </w:trPr>
        <w:tc>
          <w:tcPr>
            <w:tcW w:w="5513" w:type="dxa"/>
            <w:tcBorders>
              <w:bottom w:val="single" w:sz="4" w:space="0" w:color="auto"/>
            </w:tcBorders>
            <w:shd w:val="clear" w:color="auto" w:fill="E0E0E0"/>
          </w:tcPr>
          <w:p w14:paraId="3D85B621"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TYTUŁ WDRAŻANEGO AKTU PRAWNEGO</w:t>
            </w:r>
          </w:p>
        </w:tc>
        <w:tc>
          <w:tcPr>
            <w:tcW w:w="9482" w:type="dxa"/>
            <w:tcBorders>
              <w:bottom w:val="single" w:sz="4" w:space="0" w:color="auto"/>
            </w:tcBorders>
          </w:tcPr>
          <w:p w14:paraId="4DA8ECF9" w14:textId="77777777" w:rsidR="00DC2D7F" w:rsidRPr="00FB76A9" w:rsidRDefault="00DC2D7F" w:rsidP="00FD5CD5">
            <w:pPr>
              <w:pStyle w:val="ZPKTzmpktartykuempunktem"/>
              <w:spacing w:line="240" w:lineRule="auto"/>
              <w:ind w:left="656" w:hanging="567"/>
              <w:contextualSpacing/>
              <w:jc w:val="left"/>
              <w:rPr>
                <w:rFonts w:ascii="Times New Roman" w:hAnsi="Times New Roman" w:cs="Times New Roman"/>
                <w:szCs w:val="24"/>
              </w:rPr>
            </w:pPr>
            <w:r w:rsidRPr="00FB76A9">
              <w:rPr>
                <w:rFonts w:ascii="Times New Roman" w:hAnsi="Times New Roman" w:cs="Times New Roman"/>
                <w:szCs w:val="24"/>
              </w:rPr>
              <w:t xml:space="preserve">Rozporządzenie (WE) nr </w:t>
            </w:r>
            <w:r w:rsidRPr="00FB76A9">
              <w:rPr>
                <w:rFonts w:ascii="Times New Roman" w:hAnsi="Times New Roman" w:cs="Times New Roman"/>
                <w:b/>
                <w:szCs w:val="24"/>
              </w:rPr>
              <w:t>715/2007</w:t>
            </w:r>
            <w:r w:rsidRPr="00FB76A9">
              <w:rPr>
                <w:rFonts w:ascii="Times New Roman" w:hAnsi="Times New Roman" w:cs="Times New Roman"/>
                <w:szCs w:val="24"/>
              </w:rPr>
              <w:t xml:space="preserve"> Parlamentu Europejskiego i Rady z dnia 20 czerwca</w:t>
            </w:r>
          </w:p>
          <w:p w14:paraId="6497F641" w14:textId="77777777" w:rsidR="00DC2D7F" w:rsidRPr="00FB76A9" w:rsidRDefault="00DC2D7F" w:rsidP="00FD5CD5">
            <w:pPr>
              <w:pStyle w:val="ZPKTzmpktartykuempunktem"/>
              <w:spacing w:line="240" w:lineRule="auto"/>
              <w:ind w:left="656" w:hanging="567"/>
              <w:contextualSpacing/>
              <w:jc w:val="left"/>
              <w:rPr>
                <w:rFonts w:ascii="Times New Roman" w:hAnsi="Times New Roman" w:cs="Times New Roman"/>
                <w:szCs w:val="24"/>
              </w:rPr>
            </w:pPr>
            <w:r w:rsidRPr="00FB76A9">
              <w:rPr>
                <w:rFonts w:ascii="Times New Roman" w:hAnsi="Times New Roman" w:cs="Times New Roman"/>
                <w:szCs w:val="24"/>
              </w:rPr>
              <w:t>2007 r. w sprawie homologacji typu pojazdów silnikowych w odniesieniu do emisji</w:t>
            </w:r>
          </w:p>
          <w:p w14:paraId="34CF07BC" w14:textId="77777777" w:rsidR="00DC2D7F" w:rsidRPr="00FB76A9" w:rsidRDefault="00DC2D7F" w:rsidP="00FD5CD5">
            <w:pPr>
              <w:pStyle w:val="ZPKTzmpktartykuempunktem"/>
              <w:spacing w:line="240" w:lineRule="auto"/>
              <w:ind w:left="656" w:hanging="567"/>
              <w:contextualSpacing/>
              <w:jc w:val="left"/>
              <w:rPr>
                <w:rFonts w:ascii="Times New Roman" w:hAnsi="Times New Roman" w:cs="Times New Roman"/>
                <w:szCs w:val="24"/>
              </w:rPr>
            </w:pPr>
            <w:r w:rsidRPr="00FB76A9">
              <w:rPr>
                <w:rFonts w:ascii="Times New Roman" w:hAnsi="Times New Roman" w:cs="Times New Roman"/>
                <w:szCs w:val="24"/>
              </w:rPr>
              <w:t>zanieczyszczeń pochodzących z lekkich pojazdów pasażerskich i użytkowych (Euro 5 i</w:t>
            </w:r>
          </w:p>
          <w:p w14:paraId="05689543" w14:textId="77777777" w:rsidR="00DC2D7F" w:rsidRPr="00FB76A9" w:rsidRDefault="00DC2D7F" w:rsidP="00FD5CD5">
            <w:pPr>
              <w:pStyle w:val="ZPKTzmpktartykuempunktem"/>
              <w:spacing w:line="240" w:lineRule="auto"/>
              <w:ind w:left="656" w:hanging="567"/>
              <w:contextualSpacing/>
              <w:jc w:val="left"/>
              <w:rPr>
                <w:rFonts w:ascii="Times New Roman" w:hAnsi="Times New Roman" w:cs="Times New Roman"/>
                <w:szCs w:val="24"/>
              </w:rPr>
            </w:pPr>
            <w:r w:rsidRPr="00FB76A9">
              <w:rPr>
                <w:rFonts w:ascii="Times New Roman" w:hAnsi="Times New Roman" w:cs="Times New Roman"/>
                <w:szCs w:val="24"/>
              </w:rPr>
              <w:t>Euro 6) oraz w sprawie dostępu do informacji dotyczących naprawy i utrzymania pojazdów</w:t>
            </w:r>
          </w:p>
          <w:p w14:paraId="1832D647" w14:textId="77777777" w:rsidR="00DC2D7F" w:rsidRPr="00FB76A9" w:rsidRDefault="00DC2D7F" w:rsidP="00FD5CD5">
            <w:pPr>
              <w:pStyle w:val="ZPKTzmpktartykuempunktem"/>
              <w:spacing w:line="240" w:lineRule="auto"/>
              <w:ind w:left="656" w:hanging="567"/>
              <w:contextualSpacing/>
              <w:jc w:val="left"/>
              <w:rPr>
                <w:rFonts w:ascii="Times New Roman" w:hAnsi="Times New Roman" w:cs="Times New Roman"/>
                <w:szCs w:val="24"/>
              </w:rPr>
            </w:pPr>
            <w:r w:rsidRPr="00FB76A9">
              <w:rPr>
                <w:rFonts w:ascii="Times New Roman" w:hAnsi="Times New Roman" w:cs="Times New Roman"/>
                <w:szCs w:val="24"/>
              </w:rPr>
              <w:t>(Dz. Urz. UE L 171 z 29.06.2007, str. 1, z późn. zm.).</w:t>
            </w:r>
          </w:p>
        </w:tc>
      </w:tr>
      <w:tr w:rsidR="002307C6" w:rsidRPr="00FB76A9" w14:paraId="40854622" w14:textId="77777777" w:rsidTr="00777DE4">
        <w:trPr>
          <w:cantSplit/>
          <w:trHeight w:val="576"/>
        </w:trPr>
        <w:tc>
          <w:tcPr>
            <w:tcW w:w="5513" w:type="dxa"/>
            <w:tcBorders>
              <w:bottom w:val="single" w:sz="4" w:space="0" w:color="auto"/>
            </w:tcBorders>
            <w:shd w:val="clear" w:color="auto" w:fill="E0E0E0"/>
          </w:tcPr>
          <w:p w14:paraId="1BD9A470" w14:textId="77777777" w:rsidR="002307C6" w:rsidRPr="00FB76A9" w:rsidRDefault="002307C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hAnsi="Times New Roman" w:cs="Times New Roman"/>
                <w:b/>
                <w:bCs/>
                <w:sz w:val="24"/>
                <w:szCs w:val="24"/>
              </w:rPr>
              <w:t>WYJAŚNIENIE TERMINU WEJŚCIA W ŻYCIE PROJEKTU / PROJEKTÓW</w:t>
            </w:r>
          </w:p>
        </w:tc>
        <w:tc>
          <w:tcPr>
            <w:tcW w:w="9482" w:type="dxa"/>
            <w:tcBorders>
              <w:bottom w:val="single" w:sz="4" w:space="0" w:color="auto"/>
            </w:tcBorders>
          </w:tcPr>
          <w:p w14:paraId="078626A5" w14:textId="77777777" w:rsidR="002307C6" w:rsidRPr="00FB76A9" w:rsidRDefault="002307C6" w:rsidP="00FD5CD5">
            <w:pPr>
              <w:pStyle w:val="ZPKTzmpktartykuempunktem"/>
              <w:spacing w:line="240" w:lineRule="auto"/>
              <w:ind w:left="89" w:firstLine="0"/>
              <w:contextualSpacing/>
              <w:jc w:val="left"/>
              <w:rPr>
                <w:rFonts w:ascii="Times New Roman" w:hAnsi="Times New Roman" w:cs="Times New Roman"/>
                <w:szCs w:val="24"/>
              </w:rPr>
            </w:pPr>
            <w:r w:rsidRPr="00FB76A9">
              <w:rPr>
                <w:rFonts w:ascii="Times New Roman" w:hAnsi="Times New Roman" w:cs="Times New Roman"/>
                <w:szCs w:val="24"/>
              </w:rPr>
              <w:t>Co do zasady przewiduje się, iż zgodnie z art. 1</w:t>
            </w:r>
            <w:r w:rsidR="00CA313E">
              <w:rPr>
                <w:rFonts w:ascii="Times New Roman" w:hAnsi="Times New Roman" w:cs="Times New Roman"/>
                <w:szCs w:val="24"/>
              </w:rPr>
              <w:t>9</w:t>
            </w:r>
            <w:r w:rsidRPr="00FB76A9">
              <w:rPr>
                <w:rFonts w:ascii="Times New Roman" w:hAnsi="Times New Roman" w:cs="Times New Roman"/>
                <w:szCs w:val="24"/>
              </w:rPr>
              <w:t xml:space="preserve"> projektu, ustawa wejdzie w życie po upływie 14 dni od dnia ogłoszenia, z wyjątkami wskazanymi w </w:t>
            </w:r>
            <w:r w:rsidR="00CA313E">
              <w:rPr>
                <w:rFonts w:ascii="Times New Roman" w:hAnsi="Times New Roman" w:cs="Times New Roman"/>
                <w:szCs w:val="24"/>
              </w:rPr>
              <w:t xml:space="preserve">art. 18 </w:t>
            </w:r>
            <w:r w:rsidRPr="00FB76A9">
              <w:rPr>
                <w:rFonts w:ascii="Times New Roman" w:hAnsi="Times New Roman" w:cs="Times New Roman"/>
                <w:szCs w:val="24"/>
              </w:rPr>
              <w:t>pkt 1-6.</w:t>
            </w:r>
          </w:p>
        </w:tc>
      </w:tr>
    </w:tbl>
    <w:tbl>
      <w:tblP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7"/>
        <w:gridCol w:w="5572"/>
        <w:gridCol w:w="884"/>
        <w:gridCol w:w="805"/>
        <w:gridCol w:w="5433"/>
        <w:gridCol w:w="1504"/>
      </w:tblGrid>
      <w:tr w:rsidR="00DC2D7F" w:rsidRPr="00FB76A9" w14:paraId="74E5F299" w14:textId="77777777" w:rsidTr="00777DE4">
        <w:trPr>
          <w:trHeight w:val="151"/>
        </w:trPr>
        <w:tc>
          <w:tcPr>
            <w:tcW w:w="797" w:type="dxa"/>
            <w:shd w:val="clear" w:color="auto" w:fill="D9D9D9"/>
          </w:tcPr>
          <w:p w14:paraId="53E0570C"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Jedn. red. </w:t>
            </w:r>
          </w:p>
        </w:tc>
        <w:tc>
          <w:tcPr>
            <w:tcW w:w="5572" w:type="dxa"/>
            <w:shd w:val="clear" w:color="auto" w:fill="D9D9D9"/>
          </w:tcPr>
          <w:p w14:paraId="60785940"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Treść przepisu UE </w:t>
            </w:r>
          </w:p>
        </w:tc>
        <w:tc>
          <w:tcPr>
            <w:tcW w:w="884" w:type="dxa"/>
            <w:shd w:val="clear" w:color="auto" w:fill="D9D9D9"/>
          </w:tcPr>
          <w:p w14:paraId="0404C9B1"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Konieczność</w:t>
            </w:r>
          </w:p>
          <w:p w14:paraId="46BA2BD2"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wdrożenia</w:t>
            </w:r>
          </w:p>
          <w:p w14:paraId="6F2FEAAF" w14:textId="77777777" w:rsidR="00DC2D7F" w:rsidRPr="00FB76A9" w:rsidRDefault="00DC2D7F" w:rsidP="00FD5CD5">
            <w:pPr>
              <w:spacing w:after="0" w:line="240" w:lineRule="auto"/>
              <w:rPr>
                <w:rFonts w:ascii="Times New Roman" w:eastAsia="Times New Roman" w:hAnsi="Times New Roman" w:cs="Times New Roman"/>
                <w:sz w:val="24"/>
                <w:szCs w:val="24"/>
                <w:lang w:eastAsia="pl-PL"/>
              </w:rPr>
            </w:pPr>
          </w:p>
          <w:p w14:paraId="1C4B1BC9"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sz w:val="24"/>
                <w:szCs w:val="24"/>
                <w:lang w:eastAsia="pl-PL"/>
              </w:rPr>
              <w:t xml:space="preserve"> T / N</w:t>
            </w:r>
          </w:p>
        </w:tc>
        <w:tc>
          <w:tcPr>
            <w:tcW w:w="805" w:type="dxa"/>
            <w:shd w:val="clear" w:color="auto" w:fill="D9D9D9"/>
          </w:tcPr>
          <w:p w14:paraId="0875AA31"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Jedn. red. (*) </w:t>
            </w:r>
          </w:p>
        </w:tc>
        <w:tc>
          <w:tcPr>
            <w:tcW w:w="5433" w:type="dxa"/>
            <w:shd w:val="clear" w:color="auto" w:fill="D9D9D9"/>
          </w:tcPr>
          <w:p w14:paraId="250EC7CF"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Treść przepisu/ów projektu (*)</w:t>
            </w:r>
          </w:p>
        </w:tc>
        <w:tc>
          <w:tcPr>
            <w:tcW w:w="1504" w:type="dxa"/>
            <w:shd w:val="clear" w:color="auto" w:fill="D9D9D9"/>
          </w:tcPr>
          <w:p w14:paraId="431417E8"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Uzasadnienie uwzględnienia w projekcie przepisów wykraczających poza minimalne wymogi  prawa UE (**)</w:t>
            </w:r>
          </w:p>
        </w:tc>
      </w:tr>
      <w:tr w:rsidR="00DC2D7F" w:rsidRPr="00FB76A9" w14:paraId="683614F2" w14:textId="77777777" w:rsidTr="003C2855">
        <w:trPr>
          <w:trHeight w:val="2458"/>
        </w:trPr>
        <w:tc>
          <w:tcPr>
            <w:tcW w:w="797" w:type="dxa"/>
            <w:tcBorders>
              <w:top w:val="single" w:sz="4" w:space="0" w:color="auto"/>
              <w:left w:val="single" w:sz="4" w:space="0" w:color="auto"/>
              <w:bottom w:val="single" w:sz="4" w:space="0" w:color="auto"/>
              <w:right w:val="single" w:sz="4" w:space="0" w:color="auto"/>
            </w:tcBorders>
          </w:tcPr>
          <w:p w14:paraId="3498D730"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Art. </w:t>
            </w:r>
            <w:r w:rsidR="00084B5D" w:rsidRPr="00FB76A9">
              <w:rPr>
                <w:rFonts w:ascii="Times New Roman" w:eastAsia="Times New Roman" w:hAnsi="Times New Roman" w:cs="Times New Roman"/>
                <w:b/>
                <w:bCs/>
                <w:sz w:val="24"/>
                <w:szCs w:val="24"/>
                <w:lang w:eastAsia="pl-PL"/>
              </w:rPr>
              <w:t>4</w:t>
            </w:r>
          </w:p>
          <w:p w14:paraId="66840CCD"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2EBEF6F"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604D62CB"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3D3EE20"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462F613"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23871670"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07490DF"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62E667BE"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3C26CEB9"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37D55BDC"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F31D9CC"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67D168B"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7D68527"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BBED48D"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2ED0594"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9FBEF3D"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21159D00"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534D86C"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675F95C0"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900E3E1"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233159E"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CD110EF"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B83860E"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FBA89C6"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2443DBB"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F010FBE"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6C5B992"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A6D162B"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65F83A79"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EE81F67"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2A099E64"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E0E326D"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1B1601C"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CC0C3D9"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6A264614"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95B5CD5"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210542FA"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61E7445D"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03691EF"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88931C0"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24667DF"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20BA50F"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3C8227D"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6FE000EE"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F909D66"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69F34478"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34969785"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Art. 5</w:t>
            </w:r>
          </w:p>
          <w:p w14:paraId="103FA0B0"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4042B78"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F0488E3"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C0454B1"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D31D72D"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C18C11F"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3CB5B20E"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217C9D3A"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4A88141"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F736386"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8BDB50A"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0D724AB"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8A6540A"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FF2EC01"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2554EF01"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661D0F4"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319A0772"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D1C5BFB"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4019588"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BD26B3C"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226894B2"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211D3779"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8E5E961"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273738EF"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C8FE4B2"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745392A"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5AEB217"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9F2C7D1"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1E85DE4"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A66B9D0"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1F32D10"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914AA1D"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8CED235"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1631385"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0F0AE1C"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C542503"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31CD0D0"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383849E"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27837F10"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AAE3E3C"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9967132"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6B814621"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96C5E51"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2D6B2CDB"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p>
          <w:p w14:paraId="03A4A8D3"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p>
          <w:p w14:paraId="5EED6345"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p>
          <w:p w14:paraId="540625E2"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p>
          <w:p w14:paraId="0AE82473"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p>
          <w:p w14:paraId="06CAFEFC"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p>
          <w:p w14:paraId="34A4CDA8"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p>
          <w:p w14:paraId="31728424"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1443851"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13129BC"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61ACE83"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D7160CA"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619B0B95"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4184A0B"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2DD4597"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Art. 6</w:t>
            </w:r>
          </w:p>
          <w:p w14:paraId="7DC3712B"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DD96B1E"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28EF4F6B"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FC67676"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BBB8EB7"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655EFA70"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7BA938D"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BBB3B2D"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8D9F49A"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C89AE2E"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28EC0CD4"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2B4ECFF"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1F4AD27"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2A3AC0D"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6C0C5B71"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311CED65"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3DCC1289"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8EFD940"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46E5108"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7275F26"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C79F3F8"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D914FA7"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AA99C59"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37DFE4A4"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2353270B"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80DA511"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E824F5F"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82BD350"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456A22B"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A981A12"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82D0532"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22D3525"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B5C8816"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7DD7DF3"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735A879"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08CF198"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3A1CFA35"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4B7A09F"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39998C8"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686D9CC"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E5E0FDE"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993B0A8"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31ED045C"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6CCD037A"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00B5928"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E68147F"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9E7121F"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0AEFBC3"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63FD5323"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86B43C1"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612F505"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04E733E"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CA7F4BB"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2264704B"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234B63B"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3B3FA5C3"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3C709C1"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5CDE869"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759DFEE"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2DF09ADC"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0271A4E5"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CCF96CB"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22D8CD08"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23E69DF"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F70722B"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7D8B3A9"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F7144A4"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763374C"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44D31C8"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607B90F5"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7F74F5E5"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50A4BCD"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370AC9D2"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33ED48AB"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3109979F"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580A7DE3"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258C401D"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1084596D"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p>
          <w:p w14:paraId="4067699D" w14:textId="77777777" w:rsidR="00084B5D" w:rsidRPr="00FB76A9" w:rsidRDefault="00084B5D"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Art. 7</w:t>
            </w:r>
          </w:p>
        </w:tc>
        <w:tc>
          <w:tcPr>
            <w:tcW w:w="5572" w:type="dxa"/>
            <w:tcBorders>
              <w:top w:val="single" w:sz="4" w:space="0" w:color="auto"/>
              <w:left w:val="single" w:sz="4" w:space="0" w:color="auto"/>
              <w:bottom w:val="single" w:sz="4" w:space="0" w:color="auto"/>
              <w:right w:val="single" w:sz="4" w:space="0" w:color="auto"/>
            </w:tcBorders>
          </w:tcPr>
          <w:p w14:paraId="5A4B7CA8" w14:textId="77777777" w:rsidR="00EC6443" w:rsidRPr="00FB76A9" w:rsidRDefault="00EC6443" w:rsidP="00FD5CD5">
            <w:pPr>
              <w:pStyle w:val="CM4"/>
            </w:pPr>
            <w:r w:rsidRPr="00FB76A9">
              <w:t xml:space="preserve">„Art. 4.1. Producenci wykazują, że wszystkie nowe pojazdy sprzedawane, rejestrowane lub wprowadzane do obrotu we Wspólnocie posiadają homologację typu zgodną z wymogami określonymi w niniejszym rozporządzeniu i w środkach wykonawczych do niego. Producenci wykazują także, że wszelkie wymagające homologacji typu nowe urządzenia kontrolujące emisję, przeznaczone na części zamienne, sprzedawane lub wprowadzone do obrotu we Wspólnocie posiadają homologację zgodnie z wymogami określonymi w niniejszym rozporządzeniem i w środkach wykonawczych do niniejszego rozporządzenia. </w:t>
            </w:r>
          </w:p>
          <w:p w14:paraId="1CFA23F5" w14:textId="77777777" w:rsidR="00EC6443" w:rsidRPr="00FB76A9" w:rsidRDefault="00EC6443" w:rsidP="00FD5CD5">
            <w:pPr>
              <w:pStyle w:val="CM4"/>
            </w:pPr>
            <w:r w:rsidRPr="00FB76A9">
              <w:t xml:space="preserve">Obowiązki te obejmują także przestrzeganie norm emisji zanieczyszczeń, określonych w załączniku I i środkach wykonawczych, o których mowa w art. 5. </w:t>
            </w:r>
          </w:p>
          <w:p w14:paraId="43422933" w14:textId="77777777" w:rsidR="00EC6443" w:rsidRPr="00FB76A9" w:rsidRDefault="00EC6443" w:rsidP="00FD5CD5">
            <w:pPr>
              <w:pStyle w:val="CM4"/>
            </w:pPr>
            <w:r w:rsidRPr="00FB76A9">
              <w:t>2. Producenci zapewniają prawidłowość procedur homologacji typu w zakresie kontroli zgodności produkcji, trwałości urządzeń kontrolujących emisję zanieczyszczeń oraz zgodności eksploatacji.</w:t>
            </w:r>
          </w:p>
          <w:p w14:paraId="5C335009" w14:textId="77777777" w:rsidR="00EC6443" w:rsidRPr="00FB76A9" w:rsidRDefault="00EC6443" w:rsidP="00FD5CD5">
            <w:pPr>
              <w:pStyle w:val="CM4"/>
            </w:pPr>
            <w:r w:rsidRPr="00FB76A9">
              <w:t xml:space="preserve">Oprócz tego środki techniczne wprowadzone przez producenta muszą zapewniać efektywne ograniczenie emisji z układu wylotowego i emisji par paliwa, zgodnie z niniejszym rozporządzeniem, w ciągu całego okresu eksploatacji pojazdu i w normalnych warunkach jego użytkowania. W związku z tym zgodność eksploatacji sprawdzana jest przez okres do 5 lat lub do przebiegu 100 000 km, w zależności od tego, co nastąpi wcześniej. Badanie trwałości urządzeń ograniczających emisję zanieczyszczeń dla celów homologacji typu obejmuje przebieg 160 000 km. Dla spełnienia tego wymogu producenci powinni mieć możliwość wykonania testów próby starzenia na stanowisku badawczym, podlegającej warunkom realizacji, o których mowa w ust. 4. </w:t>
            </w:r>
          </w:p>
          <w:p w14:paraId="37924030" w14:textId="77777777" w:rsidR="00EC6443" w:rsidRPr="00FB76A9" w:rsidRDefault="00EC6443" w:rsidP="00FD5CD5">
            <w:pPr>
              <w:pStyle w:val="CM4"/>
            </w:pPr>
            <w:r w:rsidRPr="00FB76A9">
              <w:t xml:space="preserve">Zgodność w eksploatacji sprawdza się w szczególności w przypadku emisji z układu wylotowego pod względem ich zgodności z wartościami dopuszczalnymi określonymi w załączniku 1. W celu poprawy kontroli emisji par paliwa oraz emisji w niskich temperaturach otoczenia, Komisja dokonuje przeglądu procedur badawczych. </w:t>
            </w:r>
          </w:p>
          <w:p w14:paraId="00B53FE4" w14:textId="77777777" w:rsidR="00EC6443" w:rsidRPr="00FB76A9" w:rsidRDefault="00EC6443" w:rsidP="00FD5CD5">
            <w:pPr>
              <w:pStyle w:val="CM4"/>
            </w:pPr>
            <w:r w:rsidRPr="00FB76A9">
              <w:t xml:space="preserve">3. Producenci określają poziom emisji dwutlenku węgla i zużycie paliwa w dokumencie wręczanym nabywcy pojazdu w chwili zakupu. </w:t>
            </w:r>
          </w:p>
          <w:p w14:paraId="4460C81F" w14:textId="77777777" w:rsidR="00EC6443" w:rsidRPr="00FB76A9" w:rsidRDefault="00EC6443" w:rsidP="00FD5CD5">
            <w:pPr>
              <w:pStyle w:val="CM4"/>
            </w:pPr>
            <w:r w:rsidRPr="00FB76A9">
              <w:t xml:space="preserve">4. Szczegółowe procedury i wymogi w zakresie stosowania ust. 2 i 3 określa się zgodnie z procedurą, o której mowa w art. 15 ust. 2. </w:t>
            </w:r>
          </w:p>
          <w:p w14:paraId="4FEA333D" w14:textId="77777777" w:rsidR="00EC6443" w:rsidRPr="00FB76A9" w:rsidRDefault="00EC6443" w:rsidP="00FD5CD5">
            <w:pPr>
              <w:pStyle w:val="CM4"/>
            </w:pPr>
            <w:r w:rsidRPr="00FB76A9">
              <w:rPr>
                <w:bCs/>
              </w:rPr>
              <w:t>Art. 5.</w:t>
            </w:r>
            <w:r w:rsidRPr="00FB76A9">
              <w:t xml:space="preserve">1. Części mające potencjalny wpływ na emisję zanieczyszczeń są tak zaprojektowane, zbudowane i zamontowane, aby pojazd w trakcie normalnego użytkowania był zgodny z wymogami niniejszego rozporządzenia i środkami wykonawczymi do rozporządzenia. </w:t>
            </w:r>
          </w:p>
          <w:p w14:paraId="66BC98A1" w14:textId="77777777" w:rsidR="00EC6443" w:rsidRPr="00FB76A9" w:rsidRDefault="00EC6443" w:rsidP="00FD5CD5">
            <w:pPr>
              <w:pStyle w:val="CM4"/>
            </w:pPr>
            <w:r w:rsidRPr="00FB76A9">
              <w:t xml:space="preserve">2. Stosowanie urządzeń ograniczających skuteczność działania układów kontrolujących emisje zanieczyszczeń jest zabronione. Zakazu tego nie stosuje się w następujących przypadkach: </w:t>
            </w:r>
          </w:p>
          <w:p w14:paraId="6C3840C9" w14:textId="77777777" w:rsidR="00EC6443" w:rsidRPr="00FB76A9" w:rsidRDefault="00EC6443" w:rsidP="00FD5CD5">
            <w:pPr>
              <w:pStyle w:val="CM4"/>
            </w:pPr>
            <w:r w:rsidRPr="00FB76A9">
              <w:t xml:space="preserve">a) urządzenie jest niezbędne dla zabezpieczenia silnika przed uszkodzeniem lub awarią, lub ze względu na bezpieczeństwo użytkowania pojazdu; </w:t>
            </w:r>
          </w:p>
          <w:p w14:paraId="451A593A" w14:textId="77777777" w:rsidR="00EC6443" w:rsidRPr="00FB76A9" w:rsidRDefault="00EC6443" w:rsidP="00FD5CD5">
            <w:pPr>
              <w:pStyle w:val="CM4"/>
            </w:pPr>
            <w:r w:rsidRPr="00FB76A9">
              <w:t xml:space="preserve">lub </w:t>
            </w:r>
          </w:p>
          <w:p w14:paraId="1EDDE9CD" w14:textId="77777777" w:rsidR="00EC6443" w:rsidRPr="00FB76A9" w:rsidRDefault="00EC6443" w:rsidP="00FD5CD5">
            <w:pPr>
              <w:pStyle w:val="CM4"/>
            </w:pPr>
            <w:r w:rsidRPr="00FB76A9">
              <w:t xml:space="preserve">b) urządzenie nie działa poza fazą rozruchu silnika; </w:t>
            </w:r>
          </w:p>
          <w:p w14:paraId="425F2E3F" w14:textId="77777777" w:rsidR="00EC6443" w:rsidRPr="00FB76A9" w:rsidRDefault="00EC6443" w:rsidP="00FD5CD5">
            <w:pPr>
              <w:pStyle w:val="CM4"/>
            </w:pPr>
            <w:r w:rsidRPr="00FB76A9">
              <w:t xml:space="preserve">lub </w:t>
            </w:r>
          </w:p>
          <w:p w14:paraId="587DF962" w14:textId="77777777" w:rsidR="00EC6443" w:rsidRPr="00FB76A9" w:rsidRDefault="00EC6443" w:rsidP="00FD5CD5">
            <w:pPr>
              <w:pStyle w:val="CM4"/>
            </w:pPr>
            <w:r w:rsidRPr="00FB76A9">
              <w:t xml:space="preserve">c) te warunki zostały w istotny sposób ujęte w procedurach badawczych pomiarów emisji par paliwa i średniej emisji spalin z układu wylotowego. </w:t>
            </w:r>
          </w:p>
          <w:p w14:paraId="73D4FDEA" w14:textId="77777777" w:rsidR="00EC6443" w:rsidRPr="00FB76A9" w:rsidRDefault="00EC6443" w:rsidP="00FD5CD5">
            <w:pPr>
              <w:pStyle w:val="CM4"/>
            </w:pPr>
            <w:r w:rsidRPr="00FB76A9">
              <w:t>3. Szczegółowe procedury, badania i wymogi homologacji typu wymienione w niniejszym ustępie, a także wymogi związane ze stosowaniem ust. 2, przeznaczone do zmiany elementów innych niż istotne niniejszego rozporządzenia poprzez uzupełnienie go, przyjmowane są zgodnie z procedurą regulacyjną połączoną z kontrolą, o której mowa w art. 15 ust. 3. Powinno to obejmować określenie szczegółowych wymogów odnoszących się do:</w:t>
            </w:r>
          </w:p>
          <w:p w14:paraId="4D1DE7A1" w14:textId="77777777" w:rsidR="00EC6443" w:rsidRPr="00FB76A9" w:rsidRDefault="00EC6443" w:rsidP="00FD5CD5">
            <w:pPr>
              <w:pStyle w:val="CM4"/>
            </w:pPr>
            <w:r w:rsidRPr="00FB76A9">
              <w:t xml:space="preserve">a) emisji z układu wylotowego, w tym cykli badawczych, emisji w niskich temperaturach otoczenia, emisji na biegu jałowym, zadymienia spalin i prawidłowego działania oraz regeneracji układów oczyszczania spalin; </w:t>
            </w:r>
          </w:p>
          <w:p w14:paraId="0F4BDB71" w14:textId="77777777" w:rsidR="00EC6443" w:rsidRPr="00FB76A9" w:rsidRDefault="00EC6443" w:rsidP="00FD5CD5">
            <w:pPr>
              <w:pStyle w:val="CM4"/>
            </w:pPr>
            <w:r w:rsidRPr="00FB76A9">
              <w:t xml:space="preserve">b) emisji par paliwa i emisji zanieczyszczeń ze skrzyni korbowej; </w:t>
            </w:r>
          </w:p>
          <w:p w14:paraId="6C2E2A42" w14:textId="77777777" w:rsidR="00EC6443" w:rsidRPr="00FB76A9" w:rsidRDefault="00EC6443" w:rsidP="00FD5CD5">
            <w:pPr>
              <w:pStyle w:val="CM4"/>
            </w:pPr>
            <w:r w:rsidRPr="00FB76A9">
              <w:t xml:space="preserve">c) układów OBD i rzeczywistej skuteczności i urządzeń kontrolujących emisję zanieczyszczeń; </w:t>
            </w:r>
          </w:p>
          <w:p w14:paraId="42180642" w14:textId="77777777" w:rsidR="00EC6443" w:rsidRPr="00FB76A9" w:rsidRDefault="00EC6443" w:rsidP="00FD5CD5">
            <w:pPr>
              <w:pStyle w:val="CM4"/>
            </w:pPr>
            <w:r w:rsidRPr="00FB76A9">
              <w:t xml:space="preserve">d) trwałości urządzeń ograniczających emisję zanieczyszczeń, urządzeń kontrolujących emisję zanieczyszczeń przeznaczonych na części zamienne, zgodności w eksploatacji, zgodności produkcji i przydatności do ruchu drogowego; </w:t>
            </w:r>
          </w:p>
          <w:p w14:paraId="2EB4FB8D" w14:textId="77777777" w:rsidR="00EC6443" w:rsidRPr="00FB76A9" w:rsidRDefault="00EC6443" w:rsidP="00FD5CD5">
            <w:pPr>
              <w:pStyle w:val="CM4"/>
            </w:pPr>
            <w:r w:rsidRPr="00FB76A9">
              <w:t xml:space="preserve">e) pomiaru emisji gazów cieplarnianych i zużycia paliwa; </w:t>
            </w:r>
          </w:p>
          <w:p w14:paraId="70232770" w14:textId="77777777" w:rsidR="00EC6443" w:rsidRPr="00FB76A9" w:rsidRDefault="00EC6443" w:rsidP="00FD5CD5">
            <w:pPr>
              <w:pStyle w:val="CM4"/>
            </w:pPr>
            <w:r w:rsidRPr="00FB76A9">
              <w:t xml:space="preserve">f) pojazdów hybrydowych oraz pojazdów zasilanych paliwami alternatywnymi; </w:t>
            </w:r>
          </w:p>
          <w:p w14:paraId="0FACDE04" w14:textId="77777777" w:rsidR="00EC6443" w:rsidRPr="00FB76A9" w:rsidRDefault="00EC6443" w:rsidP="00FD5CD5">
            <w:pPr>
              <w:pStyle w:val="CM4"/>
            </w:pPr>
            <w:r w:rsidRPr="00FB76A9">
              <w:t xml:space="preserve">g) rozszerzenia homologacji typu i wymogów dla drobnych producentów; </w:t>
            </w:r>
          </w:p>
          <w:p w14:paraId="75CDE956" w14:textId="77777777" w:rsidR="00EC6443" w:rsidRPr="00FB76A9" w:rsidRDefault="00EC6443" w:rsidP="00FD5CD5">
            <w:pPr>
              <w:pStyle w:val="CM4"/>
            </w:pPr>
            <w:r w:rsidRPr="00FB76A9">
              <w:t>h) wyposażenia pomiarowego;</w:t>
            </w:r>
            <w:r w:rsidRPr="00FB76A9">
              <w:rPr>
                <w:b/>
                <w:bCs/>
              </w:rPr>
              <w:t xml:space="preserve"> </w:t>
            </w:r>
          </w:p>
          <w:p w14:paraId="777D76AF" w14:textId="77777777" w:rsidR="00EC6443" w:rsidRPr="00FB76A9" w:rsidRDefault="00EC6443" w:rsidP="00FD5CD5">
            <w:pPr>
              <w:pStyle w:val="CM4"/>
            </w:pPr>
            <w:r w:rsidRPr="00FB76A9">
              <w:t>i) paliw wzorcowych, takich jak benzyna, olej napędowy, paliwa gazowe i biopaliwa, takie jak bioetanol, bioolej i biogaz;</w:t>
            </w:r>
          </w:p>
          <w:p w14:paraId="233F0DE3" w14:textId="77777777" w:rsidR="00EC6443" w:rsidRPr="00FB76A9" w:rsidRDefault="00EC6443" w:rsidP="00FD5CD5">
            <w:pPr>
              <w:pStyle w:val="CM4"/>
            </w:pPr>
            <w:r w:rsidRPr="00FB76A9">
              <w:t xml:space="preserve">j) pomiar mocy silnika. </w:t>
            </w:r>
          </w:p>
          <w:p w14:paraId="4504901C" w14:textId="77777777" w:rsidR="00EC6443" w:rsidRPr="00FB76A9" w:rsidRDefault="00EC6443" w:rsidP="00FD5CD5">
            <w:pPr>
              <w:pStyle w:val="CM4"/>
              <w:rPr>
                <w:rFonts w:eastAsia="Times New Roman"/>
                <w:b/>
                <w:bCs/>
                <w:lang w:eastAsia="pl-PL"/>
              </w:rPr>
            </w:pPr>
            <w:r w:rsidRPr="00FB76A9">
              <w:t>Powyższe wymogi stosuje się, tam gdzie jest to właściwe, do pojazdów bez względu na rodzaj paliwa, jakim są zasilane.</w:t>
            </w:r>
          </w:p>
          <w:p w14:paraId="5B19696C"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p>
          <w:p w14:paraId="78EE399C"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Art. 6.1. Producenci zapewniają niezależnym podmiotom nieograniczony i znormalizowany dostęp do informacji dotyczących naprawy i utrzymania pojazdów na stronach internetowych za pomocą znormalizowanego formatu, w łatwy i prosty sposób, a także niedyskryminujący w stosunku do ustaleń lub dostępu zagwarantowanego autoryzowanym sieciom sprzedaży i stacjom obsługi. Dla ułatwienia realizacji tego celu informacje te składane są w sposób spójny, początkowo w formie zgodnej z wymogami OASIS. Producent zapewnia także dostęp do materiałów szkoleniowych zarówno niezależnym podmiotom, jak i autoryzowanym sprzedawcom i stacjom obsługi.</w:t>
            </w:r>
          </w:p>
          <w:p w14:paraId="66250CA8"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2. Informacje, o których mowa w ust. 1 obejmują:</w:t>
            </w:r>
          </w:p>
          <w:p w14:paraId="366373F4"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a) jednoznaczne określenie pojazdu;</w:t>
            </w:r>
          </w:p>
          <w:p w14:paraId="20643933"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b) instrukcje obsługi;</w:t>
            </w:r>
          </w:p>
          <w:p w14:paraId="3FF32009"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c) instrukcje techniczne;</w:t>
            </w:r>
          </w:p>
          <w:p w14:paraId="6D20D02F"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d) informacje dotyczące części i diagnostyki (takie jak minimalne i maksymalne teoretyczne wartości pomiaru);</w:t>
            </w:r>
          </w:p>
          <w:p w14:paraId="1EDF8FE4"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e) schematy instalacji elektrycznej;</w:t>
            </w:r>
          </w:p>
          <w:p w14:paraId="019FD834"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f) kody usterek diagnostycznych (w tym kody własne</w:t>
            </w:r>
          </w:p>
          <w:p w14:paraId="6C35E31C"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producenta);</w:t>
            </w:r>
          </w:p>
          <w:p w14:paraId="6A56870E"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g) numer identyfikacyjny kalibracji oprogramowania odnoszący się do typu pojazdu;</w:t>
            </w:r>
          </w:p>
          <w:p w14:paraId="14882065"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h) informacje dotyczące zastrzeżonych narzędzi i urządzeń oraz informacje przekazywane za pomocą tych narzędzi i urządzeń;</w:t>
            </w:r>
          </w:p>
          <w:p w14:paraId="454F8348"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oraz</w:t>
            </w:r>
          </w:p>
          <w:p w14:paraId="166C2AAA"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i) dane techniczne i dwukierunkowe dane dotyczące monitoringu i badań.</w:t>
            </w:r>
          </w:p>
          <w:p w14:paraId="4EAD7680"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3. Do celów niniejszego rozporządzenia autoryzowane punkty sprzedaży lub stacje obsługi w ramach sieci dystrybucji danego producenta samochodów traktowane są jako niezależne podmioty, w takim zakresie, w jakim dokonują one napraw lub przeglądów pojazdów, dla których nie są one częścią sieci dystrybucji producenta samochodów.</w:t>
            </w:r>
          </w:p>
          <w:p w14:paraId="6FA7F5EC"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4. Informacje dotyczące naprawy i utrzymania pojazdów są zawsze dostępne, z wyjątkiem przypadków gdy konieczny jest przegląd systemu informatycznego.</w:t>
            </w:r>
          </w:p>
          <w:p w14:paraId="19924E61"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5. Dla celów produkcji i obsługi kompatybilnych OBD przeznaczonych na części zamienne lub części naprawczych oraz przyrządów diagnostycznych i wyposażenia badawczego, producenci</w:t>
            </w:r>
          </w:p>
          <w:p w14:paraId="1CD5AB98"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dostarczają w sposób niedyskryminujący odpowiednich informacji dotyczących OBD oraz naprawy i utrzymania pojazdów wszystkim producentom części, przyrządów diagnostycznych lub wyposażenia badawczego lub warsztatom dokonującym napraw.</w:t>
            </w:r>
          </w:p>
          <w:p w14:paraId="4C249D37"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6. Dla potrzeb konstrukcji i produkcji samochodowych układów dla pojazdów zasilanych paliwami alternatywnymi producenci dostarczają w sposób niedyskryminujący odpowiednich informacji dotyczących OBD oraz naprawy i utrzymania pojazdów wszystkim zainteresowanym osobom trudniącym się produkcją, instalowaniem lub naprawą układów przeznaczonych dla pojazdów zasilanych paliwami alternatywnymi.</w:t>
            </w:r>
          </w:p>
          <w:p w14:paraId="33B02D42"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7. Składając wniosek o homologację typu WE lub homologację krajową, producent dostarcza organowi udzielającemu homologacji typu świadectwo zgodności z niniejszym rozporządzeniem w zakresie dostępu do informacji dotyczących naprawy i utrzymania pojazdów oraz w zakresie informacji, o których mowa w ust. 5. W przypadku gdy takie informacje nie są jeszcze dostępne lub nie odpowiadają niniejszemu rozporządzeniu i środkom wykonawczym do rozporządzenia, producent dostarcza je w ciągu sześciu miesięcy od daty uzyskania homologacji typu. W razie niedostarczenia świadectwa zgodności w wymaganym terminie organ udzielający homologacji podejmuje właściwe działania mające na celu zapewnienie zgodności.</w:t>
            </w:r>
          </w:p>
          <w:p w14:paraId="08C5147F"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Producent dokonuje sukcesywnych zmian i uzupełnień informacji dotyczących napraw i utrzymania pojazdów dostępnych na jego stronach internetowych w tym samym momencie, w którym są one udostępniane autoryzowanym stacjom obsługi.</w:t>
            </w:r>
          </w:p>
          <w:p w14:paraId="0BB0059C"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p>
          <w:p w14:paraId="7AD3F15C" w14:textId="77777777" w:rsidR="00084B5D" w:rsidRPr="00FB76A9" w:rsidRDefault="00084B5D"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„Art. 7.1. Producenci mogą pobierać opłaty w uzasadnionej i proporcjonalnej wysokości za dostęp do informacji dotyczących naprawy i utrzymania pojazdów, objętych niniejszym rozporządzeniem; opłata nie jest w uzasadnionej i proporcjonalnej wysokości, jeśli nie uwzględnia zakresu, w jakim niezależny podmiot wykorzystuje informacje i przez to zniechęca go do korzystania z tych informacji.</w:t>
            </w:r>
          </w:p>
          <w:p w14:paraId="2FDF3F66" w14:textId="77777777" w:rsidR="005770B3" w:rsidRPr="00FB76A9" w:rsidRDefault="00084B5D" w:rsidP="00FD5CD5">
            <w:pPr>
              <w:autoSpaceDE w:val="0"/>
              <w:autoSpaceDN w:val="0"/>
              <w:adjustRightInd w:val="0"/>
              <w:spacing w:after="0" w:line="240" w:lineRule="auto"/>
              <w:rPr>
                <w:rFonts w:ascii="Times New Roman" w:eastAsia="Times New Roman" w:hAnsi="Times New Roman" w:cs="Times New Roman"/>
                <w:b/>
                <w:bCs/>
                <w:sz w:val="24"/>
                <w:szCs w:val="24"/>
                <w:lang w:eastAsia="pl-PL"/>
              </w:rPr>
            </w:pPr>
            <w:r w:rsidRPr="00FB76A9">
              <w:rPr>
                <w:rFonts w:ascii="Times New Roman" w:hAnsi="Times New Roman" w:cs="Times New Roman"/>
                <w:sz w:val="24"/>
                <w:szCs w:val="24"/>
              </w:rPr>
              <w:t>2. Producenci umożliwiają dostęp do informacji dotyczących naprawy i utrzymania pojazdów przez okres jednego dnia, miesiąca lub roku, za opłatą uzależnioną od okresu, na jaki udostępnione zostały informacje.”</w:t>
            </w:r>
          </w:p>
        </w:tc>
        <w:tc>
          <w:tcPr>
            <w:tcW w:w="884" w:type="dxa"/>
            <w:tcBorders>
              <w:top w:val="single" w:sz="4" w:space="0" w:color="auto"/>
              <w:left w:val="single" w:sz="4" w:space="0" w:color="auto"/>
              <w:bottom w:val="single" w:sz="4" w:space="0" w:color="auto"/>
              <w:right w:val="single" w:sz="4" w:space="0" w:color="auto"/>
            </w:tcBorders>
          </w:tcPr>
          <w:p w14:paraId="228FF1F7"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p>
          <w:p w14:paraId="07425645"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w:t>
            </w:r>
          </w:p>
        </w:tc>
        <w:tc>
          <w:tcPr>
            <w:tcW w:w="805" w:type="dxa"/>
            <w:tcBorders>
              <w:top w:val="single" w:sz="4" w:space="0" w:color="auto"/>
              <w:left w:val="single" w:sz="4" w:space="0" w:color="auto"/>
              <w:bottom w:val="single" w:sz="4" w:space="0" w:color="auto"/>
              <w:right w:val="single" w:sz="4" w:space="0" w:color="auto"/>
            </w:tcBorders>
          </w:tcPr>
          <w:p w14:paraId="16F437C3" w14:textId="77777777" w:rsidR="00DC2D7F" w:rsidRPr="00FB76A9" w:rsidRDefault="009B4AA5"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 1 pkt 24</w:t>
            </w:r>
          </w:p>
        </w:tc>
        <w:tc>
          <w:tcPr>
            <w:tcW w:w="5433" w:type="dxa"/>
            <w:tcBorders>
              <w:top w:val="single" w:sz="4" w:space="0" w:color="auto"/>
              <w:left w:val="single" w:sz="4" w:space="0" w:color="auto"/>
              <w:bottom w:val="single" w:sz="4" w:space="0" w:color="auto"/>
              <w:right w:val="single" w:sz="4" w:space="0" w:color="auto"/>
            </w:tcBorders>
          </w:tcPr>
          <w:p w14:paraId="320BEB23" w14:textId="77777777" w:rsidR="00C60357" w:rsidRPr="00FB76A9" w:rsidRDefault="00C60357" w:rsidP="00FD5CD5">
            <w:pPr>
              <w:pStyle w:val="ZROZDZODDZOZNzmoznrozdzoddzartykuempunktem"/>
              <w:spacing w:line="240" w:lineRule="auto"/>
              <w:ind w:left="234"/>
              <w:jc w:val="left"/>
              <w:rPr>
                <w:rFonts w:ascii="Times New Roman" w:hAnsi="Times New Roman" w:cs="Times New Roman"/>
              </w:rPr>
            </w:pPr>
            <w:r w:rsidRPr="00FB76A9">
              <w:rPr>
                <w:rFonts w:ascii="Times New Roman" w:hAnsi="Times New Roman" w:cs="Times New Roman"/>
              </w:rPr>
              <w:t>„Rozdział 6a</w:t>
            </w:r>
          </w:p>
          <w:p w14:paraId="0E487981" w14:textId="77777777" w:rsidR="00C60357" w:rsidRPr="00FB76A9" w:rsidRDefault="00C60357" w:rsidP="00FD5CD5">
            <w:pPr>
              <w:pStyle w:val="ZROZDZODDZOZNzmoznrozdzoddzartykuempunktem"/>
              <w:spacing w:line="240" w:lineRule="auto"/>
              <w:ind w:left="234"/>
              <w:jc w:val="left"/>
              <w:rPr>
                <w:rFonts w:ascii="Times New Roman" w:hAnsi="Times New Roman" w:cs="Times New Roman"/>
              </w:rPr>
            </w:pPr>
            <w:r w:rsidRPr="00FB76A9">
              <w:rPr>
                <w:rFonts w:ascii="Times New Roman" w:hAnsi="Times New Roman" w:cs="Times New Roman"/>
              </w:rPr>
              <w:t>Administracyjne kary pieniężne</w:t>
            </w:r>
          </w:p>
          <w:p w14:paraId="0D6A10E6" w14:textId="77777777" w:rsidR="00C60357" w:rsidRPr="00FB76A9" w:rsidRDefault="00C60357" w:rsidP="00FD5CD5">
            <w:pPr>
              <w:pStyle w:val="ZROZDZODDZOZNzmoznrozdzoddzartykuempunktem"/>
              <w:spacing w:line="240" w:lineRule="auto"/>
              <w:ind w:left="234"/>
              <w:jc w:val="left"/>
              <w:rPr>
                <w:rFonts w:ascii="Times New Roman" w:hAnsi="Times New Roman" w:cs="Times New Roman"/>
              </w:rPr>
            </w:pPr>
            <w:r w:rsidRPr="00FB76A9">
              <w:rPr>
                <w:rFonts w:ascii="Times New Roman" w:hAnsi="Times New Roman" w:cs="Times New Roman"/>
              </w:rPr>
              <w:t>(…)</w:t>
            </w:r>
          </w:p>
          <w:p w14:paraId="39170286" w14:textId="77777777" w:rsidR="00C60357" w:rsidRPr="00FB76A9" w:rsidRDefault="00C60357" w:rsidP="00FD5CD5">
            <w:pPr>
              <w:pStyle w:val="ZROZDZODDZOZNzmoznrozdzoddzartykuempunktem"/>
              <w:spacing w:line="240" w:lineRule="auto"/>
              <w:ind w:left="234"/>
              <w:jc w:val="left"/>
              <w:rPr>
                <w:rFonts w:ascii="Times New Roman" w:hAnsi="Times New Roman" w:cs="Times New Roman"/>
              </w:rPr>
            </w:pPr>
            <w:r w:rsidRPr="00FB76A9">
              <w:rPr>
                <w:rFonts w:ascii="Times New Roman" w:hAnsi="Times New Roman" w:cs="Times New Roman"/>
              </w:rPr>
              <w:t>Art. 71c. Podmiot gospodarczy, który wprowadził do obrotu pojazd, przedmiot wyposażenia lub część niezgodnie z wymaganiami określonymi w:</w:t>
            </w:r>
          </w:p>
          <w:p w14:paraId="42C8A6A5" w14:textId="77777777" w:rsidR="00C60357" w:rsidRPr="00FB76A9" w:rsidRDefault="00C60357" w:rsidP="00FD5CD5">
            <w:pPr>
              <w:pStyle w:val="ZROZDZODDZOZNzmoznrozdzoddzartykuempunktem"/>
              <w:spacing w:line="240" w:lineRule="auto"/>
              <w:ind w:left="234"/>
              <w:jc w:val="left"/>
              <w:rPr>
                <w:rFonts w:ascii="Times New Roman" w:hAnsi="Times New Roman" w:cs="Times New Roman"/>
              </w:rPr>
            </w:pPr>
            <w:r w:rsidRPr="00FB76A9">
              <w:rPr>
                <w:rFonts w:ascii="Times New Roman" w:hAnsi="Times New Roman" w:cs="Times New Roman"/>
              </w:rPr>
              <w:t xml:space="preserve">(…) </w:t>
            </w:r>
          </w:p>
          <w:p w14:paraId="26ADEB39" w14:textId="77777777" w:rsidR="00C60357" w:rsidRPr="00FB76A9" w:rsidRDefault="00C60357" w:rsidP="00FD5CD5">
            <w:pPr>
              <w:pStyle w:val="ZROZDZODDZOZNzmoznrozdzoddzartykuempunktem"/>
              <w:spacing w:line="240" w:lineRule="auto"/>
              <w:ind w:left="234"/>
              <w:jc w:val="left"/>
              <w:rPr>
                <w:rFonts w:ascii="Times New Roman" w:hAnsi="Times New Roman" w:cs="Times New Roman"/>
              </w:rPr>
            </w:pPr>
            <w:r w:rsidRPr="00FB76A9">
              <w:rPr>
                <w:rFonts w:ascii="Times New Roman" w:hAnsi="Times New Roman" w:cs="Times New Roman"/>
              </w:rPr>
              <w:t xml:space="preserve">7) </w:t>
            </w:r>
            <w:r w:rsidRPr="00FB76A9">
              <w:rPr>
                <w:rFonts w:ascii="Times New Roman" w:hAnsi="Times New Roman" w:cs="Times New Roman"/>
              </w:rPr>
              <w:tab/>
              <w:t>art. 4 i art. 5 rozporządzenia (WE) nr 715/2007 Parlamentu Europejskiego i Rady z dnia 20 czerwca 2007 r. w sprawie homologacji typu pojazdów silnikowych w odniesieniu do emisji zanieczyszczeń pochodzących z lekkich pojazdów pasażerskich i użytkowych (Euro 5 i Euro 6) oraz w sprawie dostępu do informacji dotyczących naprawy i utrzymania pojazdów (Dz. Urz. UE L 171 z 29.06.2007, str. 1, z późn. zm. )), zwanego dalej „rozporządzeniem 715/2007”;</w:t>
            </w:r>
          </w:p>
          <w:p w14:paraId="7925B708" w14:textId="77777777" w:rsidR="00C60357" w:rsidRPr="00FB76A9" w:rsidRDefault="00C60357" w:rsidP="00FD5CD5">
            <w:pPr>
              <w:pStyle w:val="ZROZDZODDZOZNzmoznrozdzoddzartykuempunktem"/>
              <w:spacing w:line="240" w:lineRule="auto"/>
              <w:ind w:left="234"/>
              <w:jc w:val="left"/>
              <w:rPr>
                <w:rFonts w:ascii="Times New Roman" w:hAnsi="Times New Roman" w:cs="Times New Roman"/>
              </w:rPr>
            </w:pPr>
            <w:r w:rsidRPr="00FB76A9">
              <w:rPr>
                <w:rFonts w:ascii="Times New Roman" w:hAnsi="Times New Roman" w:cs="Times New Roman"/>
              </w:rPr>
              <w:t xml:space="preserve">– podlega administracyjnej karze pieniężnej do wysokości dwunastokrotności przeciętnego wynagrodzenia, o którym mowa w art. 68g ust. 4, ogłaszanego za czwarty kwartał roku poprzedzającego nałożenie kary, za każdy pojazd, przedmiot wyposażenia lub część, które wprowadził do obrotu. </w:t>
            </w:r>
          </w:p>
          <w:p w14:paraId="36EB9921" w14:textId="77777777" w:rsidR="00C60357" w:rsidRPr="00FB76A9" w:rsidRDefault="00C60357" w:rsidP="00FD5CD5">
            <w:pPr>
              <w:pStyle w:val="ZROZDZODDZOZNzmoznrozdzoddzartykuempunktem"/>
              <w:spacing w:line="240" w:lineRule="auto"/>
              <w:ind w:left="234"/>
              <w:jc w:val="left"/>
              <w:rPr>
                <w:rFonts w:ascii="Times New Roman" w:hAnsi="Times New Roman" w:cs="Times New Roman"/>
              </w:rPr>
            </w:pPr>
            <w:r w:rsidRPr="00FB76A9">
              <w:rPr>
                <w:rFonts w:ascii="Times New Roman" w:hAnsi="Times New Roman" w:cs="Times New Roman"/>
              </w:rPr>
              <w:t xml:space="preserve">Art. 71h. Podmiot gospodarczy, który wbrew obowiązkowi lub na żądanie Dyrektora TDT nie udostępnia informacji i dokumentacji niezbędnych do wykonywania zadań realizowanych przez Dyrektora TDT w przypadkach, o których mowa w: </w:t>
            </w:r>
          </w:p>
          <w:p w14:paraId="075E5E22" w14:textId="77777777" w:rsidR="00C60357" w:rsidRPr="00FB76A9" w:rsidRDefault="00C60357" w:rsidP="00FD5CD5">
            <w:pPr>
              <w:pStyle w:val="ZROZDZODDZOZNzmoznrozdzoddzartykuempunktem"/>
              <w:spacing w:line="240" w:lineRule="auto"/>
              <w:ind w:left="234"/>
              <w:jc w:val="left"/>
              <w:rPr>
                <w:rFonts w:ascii="Times New Roman" w:hAnsi="Times New Roman" w:cs="Times New Roman"/>
              </w:rPr>
            </w:pPr>
            <w:r w:rsidRPr="00FB76A9">
              <w:rPr>
                <w:rFonts w:ascii="Times New Roman" w:hAnsi="Times New Roman" w:cs="Times New Roman"/>
              </w:rPr>
              <w:t xml:space="preserve">4) </w:t>
            </w:r>
            <w:r w:rsidRPr="00FB76A9">
              <w:rPr>
                <w:rFonts w:ascii="Times New Roman" w:hAnsi="Times New Roman" w:cs="Times New Roman"/>
              </w:rPr>
              <w:tab/>
              <w:t>art. 4 i art. 5 rozporządzenia 715/2007;</w:t>
            </w:r>
          </w:p>
          <w:p w14:paraId="4A4DFB58" w14:textId="77777777" w:rsidR="00C60357" w:rsidRPr="00FB76A9" w:rsidRDefault="00C60357" w:rsidP="00FD5CD5">
            <w:pPr>
              <w:pStyle w:val="ZROZDZODDZOZNzmoznrozdzoddzartykuempunktem"/>
              <w:spacing w:line="240" w:lineRule="auto"/>
              <w:ind w:left="234"/>
              <w:jc w:val="left"/>
              <w:rPr>
                <w:rFonts w:ascii="Times New Roman" w:hAnsi="Times New Roman" w:cs="Times New Roman"/>
              </w:rPr>
            </w:pPr>
            <w:r w:rsidRPr="00FB76A9">
              <w:rPr>
                <w:rFonts w:ascii="Times New Roman" w:hAnsi="Times New Roman" w:cs="Times New Roman"/>
              </w:rPr>
              <w:t>– podlega administracyjnej karze pieniężnej do wysokości dwukrotności przeciętnego wynagrodzenia, o którym mowa w art. 68g ust. 4, ogłaszanego za czwarty kwartał roku poprzedzającego nałożenie kary, za każdy przypadek nieudostępnienia informacji lub dokumentów.</w:t>
            </w:r>
          </w:p>
          <w:p w14:paraId="2CB03344" w14:textId="77777777" w:rsidR="00DC2D7F" w:rsidRDefault="00DC2D7F" w:rsidP="00FD5CD5">
            <w:pPr>
              <w:pStyle w:val="ZROZDZODDZOZNzmoznrozdzoddzartykuempunktem"/>
              <w:spacing w:line="240" w:lineRule="auto"/>
              <w:ind w:left="234"/>
              <w:jc w:val="left"/>
              <w:rPr>
                <w:rFonts w:ascii="Times New Roman" w:eastAsia="Times New Roman" w:hAnsi="Times New Roman" w:cs="Times New Roman"/>
                <w:b/>
                <w:bCs w:val="0"/>
              </w:rPr>
            </w:pPr>
          </w:p>
          <w:p w14:paraId="7EAB7870" w14:textId="77777777" w:rsidR="00FD5CD5" w:rsidRPr="001F1A7B" w:rsidRDefault="00FD5CD5" w:rsidP="00FD5CD5">
            <w:pPr>
              <w:pStyle w:val="ZARTzmartartykuempunktem"/>
              <w:spacing w:line="240" w:lineRule="auto"/>
              <w:ind w:left="0" w:firstLine="0"/>
              <w:jc w:val="left"/>
            </w:pPr>
            <w:r w:rsidRPr="001F1A7B">
              <w:t xml:space="preserve">Art. 71p. 1. </w:t>
            </w:r>
            <w:bookmarkStart w:id="75" w:name="_Hlk201514052"/>
            <w:r w:rsidRPr="001F1A7B">
              <w:t>Administracyjne kary pieniężne, o których mowa w art. 71a</w:t>
            </w:r>
            <w:r w:rsidRPr="001F1A7B">
              <w:rPr>
                <w:rFonts w:ascii="Times New Roman" w:hAnsi="Times New Roman" w:cs="Times New Roman"/>
                <w:szCs w:val="24"/>
              </w:rPr>
              <w:t>–</w:t>
            </w:r>
            <w:r w:rsidRPr="001F1A7B">
              <w:t xml:space="preserve">71o, nakłada Dyrektor TDT w drodze decyzji administracyjnej. </w:t>
            </w:r>
          </w:p>
          <w:p w14:paraId="13385E7F" w14:textId="77777777" w:rsidR="00FD5CD5" w:rsidRPr="001F1A7B" w:rsidRDefault="00FD5CD5" w:rsidP="00FD5CD5">
            <w:pPr>
              <w:pStyle w:val="ZUSTzmustartykuempunktem"/>
              <w:spacing w:line="240" w:lineRule="auto"/>
              <w:ind w:left="0" w:firstLine="0"/>
              <w:jc w:val="left"/>
            </w:pPr>
            <w:r w:rsidRPr="001F1A7B">
              <w:t xml:space="preserve">2. Organem wyższego stopnia w rozumieniu przepisów ustawy z dnia 14 czerwca 1960 r. – Kodeks postępowania administracyjnego w sprawach, o których mowa w ust. 1, jest minister właściwy do spraw transportu. </w:t>
            </w:r>
          </w:p>
          <w:bookmarkEnd w:id="75"/>
          <w:p w14:paraId="748DE0B6" w14:textId="77777777" w:rsidR="00FD5CD5" w:rsidRPr="001F1A7B" w:rsidRDefault="00FD5CD5" w:rsidP="00FD5CD5">
            <w:pPr>
              <w:pStyle w:val="ZUSTzmustartykuempunktem"/>
              <w:keepNext/>
              <w:spacing w:line="240" w:lineRule="auto"/>
              <w:ind w:left="0" w:firstLine="0"/>
              <w:jc w:val="left"/>
            </w:pPr>
            <w:r w:rsidRPr="001F1A7B">
              <w:t xml:space="preserve">3. Przy ustalaniu wysokości administracyjnych kar pieniężnych, o których mowa </w:t>
            </w:r>
            <w:r w:rsidRPr="001F1A7B">
              <w:br/>
              <w:t>w art. 71a</w:t>
            </w:r>
            <w:r w:rsidRPr="001F1A7B">
              <w:rPr>
                <w:rFonts w:ascii="Times New Roman" w:hAnsi="Times New Roman" w:cs="Times New Roman"/>
                <w:szCs w:val="24"/>
              </w:rPr>
              <w:t>–</w:t>
            </w:r>
            <w:r w:rsidRPr="001F1A7B">
              <w:t>71o, uwzględnia się:</w:t>
            </w:r>
          </w:p>
          <w:p w14:paraId="01F29743" w14:textId="77777777" w:rsidR="00FD5CD5" w:rsidRPr="001F1A7B" w:rsidRDefault="00FD5CD5" w:rsidP="00FD5CD5">
            <w:pPr>
              <w:pStyle w:val="ZPKTzmpktartykuempunktem"/>
              <w:tabs>
                <w:tab w:val="left" w:pos="170"/>
                <w:tab w:val="left" w:pos="340"/>
                <w:tab w:val="left" w:pos="510"/>
                <w:tab w:val="left" w:pos="680"/>
                <w:tab w:val="left" w:pos="850"/>
                <w:tab w:val="left" w:pos="1020"/>
                <w:tab w:val="left" w:pos="1190"/>
                <w:tab w:val="left" w:pos="1360"/>
                <w:tab w:val="left" w:pos="1530"/>
                <w:tab w:val="left" w:pos="1700"/>
                <w:tab w:val="left" w:pos="1870"/>
                <w:tab w:val="left" w:pos="2040"/>
                <w:tab w:val="left" w:pos="2210"/>
                <w:tab w:val="left" w:pos="2380"/>
                <w:tab w:val="left" w:pos="2550"/>
                <w:tab w:val="left" w:pos="2720"/>
                <w:tab w:val="left" w:pos="2890"/>
                <w:tab w:val="left" w:pos="3060"/>
                <w:tab w:val="left" w:pos="3230"/>
                <w:tab w:val="left" w:pos="3400"/>
                <w:tab w:val="left" w:pos="3570"/>
                <w:tab w:val="left" w:pos="3740"/>
                <w:tab w:val="left" w:pos="3910"/>
                <w:tab w:val="left" w:pos="4080"/>
                <w:tab w:val="left" w:pos="4250"/>
                <w:tab w:val="left" w:pos="4420"/>
                <w:tab w:val="left" w:pos="4590"/>
                <w:tab w:val="left" w:pos="4760"/>
                <w:tab w:val="left" w:pos="4930"/>
                <w:tab w:val="left" w:pos="5100"/>
                <w:tab w:val="left" w:pos="5270"/>
                <w:tab w:val="left" w:pos="5440"/>
                <w:tab w:val="left" w:pos="5610"/>
                <w:tab w:val="left" w:pos="5780"/>
                <w:tab w:val="left" w:pos="5950"/>
                <w:tab w:val="left" w:pos="6120"/>
                <w:tab w:val="left" w:pos="6768"/>
              </w:tabs>
              <w:spacing w:line="240" w:lineRule="auto"/>
              <w:jc w:val="left"/>
            </w:pPr>
            <w:r w:rsidRPr="001F1A7B">
              <w:t>1)</w:t>
            </w:r>
            <w:r w:rsidRPr="001F1A7B">
              <w:tab/>
            </w:r>
            <w:r w:rsidRPr="001F1A7B">
              <w:tab/>
              <w:t>stopień, okoliczności i okres naruszenia obowiązków;</w:t>
            </w:r>
            <w:r w:rsidRPr="001F1A7B">
              <w:tab/>
            </w:r>
            <w:r w:rsidRPr="001F1A7B">
              <w:tab/>
            </w:r>
          </w:p>
          <w:p w14:paraId="52A1A39B" w14:textId="77777777" w:rsidR="00FD5CD5" w:rsidRPr="00A21A0C" w:rsidRDefault="00FD5CD5" w:rsidP="00FD5CD5">
            <w:pPr>
              <w:pStyle w:val="ZPKTzmpktartykuempunktem"/>
              <w:tabs>
                <w:tab w:val="left" w:pos="170"/>
                <w:tab w:val="left" w:pos="340"/>
                <w:tab w:val="left" w:pos="510"/>
                <w:tab w:val="left" w:pos="680"/>
                <w:tab w:val="left" w:pos="850"/>
                <w:tab w:val="left" w:pos="1020"/>
                <w:tab w:val="left" w:pos="1190"/>
                <w:tab w:val="left" w:pos="1360"/>
                <w:tab w:val="left" w:pos="1530"/>
                <w:tab w:val="left" w:pos="1700"/>
                <w:tab w:val="left" w:pos="1870"/>
                <w:tab w:val="left" w:pos="2040"/>
                <w:tab w:val="left" w:pos="2210"/>
                <w:tab w:val="left" w:pos="2380"/>
                <w:tab w:val="left" w:pos="2550"/>
                <w:tab w:val="left" w:pos="2720"/>
                <w:tab w:val="left" w:pos="2890"/>
                <w:tab w:val="left" w:pos="3060"/>
                <w:tab w:val="left" w:pos="3230"/>
                <w:tab w:val="left" w:pos="3400"/>
                <w:tab w:val="left" w:pos="3570"/>
                <w:tab w:val="left" w:pos="3740"/>
                <w:tab w:val="left" w:pos="3910"/>
                <w:tab w:val="left" w:pos="4080"/>
                <w:tab w:val="left" w:pos="4250"/>
                <w:tab w:val="left" w:pos="4420"/>
                <w:tab w:val="left" w:pos="4590"/>
                <w:tab w:val="left" w:pos="4760"/>
                <w:tab w:val="left" w:pos="4930"/>
                <w:tab w:val="left" w:pos="5100"/>
                <w:tab w:val="left" w:pos="5270"/>
                <w:tab w:val="left" w:pos="5440"/>
                <w:tab w:val="left" w:pos="5610"/>
                <w:tab w:val="left" w:pos="5780"/>
                <w:tab w:val="left" w:pos="5950"/>
                <w:tab w:val="left" w:pos="6120"/>
                <w:tab w:val="left" w:pos="6768"/>
              </w:tabs>
              <w:spacing w:line="240" w:lineRule="auto"/>
              <w:jc w:val="left"/>
            </w:pPr>
            <w:r w:rsidRPr="001F1A7B">
              <w:t xml:space="preserve">2) </w:t>
            </w:r>
            <w:r w:rsidRPr="001F1A7B">
              <w:tab/>
            </w:r>
            <w:r w:rsidRPr="001F1A7B">
              <w:tab/>
              <w:t xml:space="preserve">rodzaj i charakter </w:t>
            </w:r>
            <w:r w:rsidRPr="00A21A0C">
              <w:t xml:space="preserve">stwierdzonych niezgodności z wymaganiami technicznymi, </w:t>
            </w:r>
            <w:r w:rsidRPr="00A21A0C">
              <w:rPr>
                <w:rFonts w:ascii="Times New Roman" w:hAnsi="Times New Roman" w:cs="Times New Roman"/>
                <w:szCs w:val="24"/>
              </w:rPr>
              <w:t>warunkami technicznymi, o których mowa w art. 66 ust. 1 ustawy z dnia 20 czerwca 1997 r. – Prawo o ruchu drogowym oraz określonymi w przepisach wydanych na podstawie art. 66 ust. 5 tej ustawy,</w:t>
            </w:r>
            <w:r w:rsidRPr="00A21A0C">
              <w:t xml:space="preserve"> lub rodzaj </w:t>
            </w:r>
            <w:r w:rsidRPr="00A21A0C">
              <w:rPr>
                <w:rFonts w:ascii="Times New Roman" w:hAnsi="Times New Roman" w:cs="Times New Roman"/>
                <w:szCs w:val="24"/>
              </w:rPr>
              <w:t>stwarzanego poważnego ryzyka</w:t>
            </w:r>
            <w:r w:rsidRPr="00A21A0C">
              <w:t xml:space="preserve"> przez pojazd, przedmiot wyposażenia lub część, rower, wózek rowerowy, hulajnogę elektryczną oraz urządzenie transportu osobistego;</w:t>
            </w:r>
          </w:p>
          <w:p w14:paraId="1E0E48FB" w14:textId="77777777" w:rsidR="00FD5CD5" w:rsidRPr="001F1A7B" w:rsidRDefault="00FD5CD5" w:rsidP="00FD5CD5">
            <w:pPr>
              <w:pStyle w:val="ZPKTzmpktartykuempunktem"/>
              <w:spacing w:line="240" w:lineRule="auto"/>
              <w:jc w:val="left"/>
            </w:pPr>
            <w:r w:rsidRPr="00A21A0C">
              <w:t>3)</w:t>
            </w:r>
            <w:r w:rsidRPr="00A21A0C">
              <w:tab/>
              <w:t>liczbę udostępnionych na rynku pojazdów, przedmiotów wyposażenia lub części niezgodnych z wymaganiami technicznymi albo rowerów, wózków rowerowych, hulajnóg elektrycznych oraz urządzeń transportu osobistego</w:t>
            </w:r>
            <w:r w:rsidRPr="00A21A0C">
              <w:rPr>
                <w:rFonts w:ascii="Times New Roman" w:hAnsi="Times New Roman" w:cs="Times New Roman"/>
                <w:szCs w:val="24"/>
              </w:rPr>
              <w:t xml:space="preserve"> niezgodnych z warunkami technicznymi, o których mowa w art. 66 ust. 1 ustawy z dnia 20 czerwca 1997 r. – Prawo o ruchu drogowym oraz określonymi w przepisach wydanych na podstawie art. 66 ust. 5 tej ustawy</w:t>
            </w:r>
            <w:r w:rsidRPr="00A21A0C">
              <w:t>, w których dokonano montażu dodatkowej instalacji zasilania gazem pojazdu niezgodnie z wymaganiami</w:t>
            </w:r>
            <w:r w:rsidRPr="001F1A7B">
              <w:t>, o których mowa w art. 31 ust. 2, art. 36, art. 42 i 43, wymaganiami technicznymi obowiązującymi w procedurze homologacji dodatkowej instalacji zasilania gazem pojazdu oraz wymaganiami w zakresie tabliczki informacyjnej, wynikając</w:t>
            </w:r>
            <w:r>
              <w:t>ymi</w:t>
            </w:r>
            <w:r w:rsidRPr="001F1A7B">
              <w:t xml:space="preserve"> z przepisów wydanych na podstawie art. 58;</w:t>
            </w:r>
          </w:p>
          <w:p w14:paraId="25127D3B" w14:textId="77777777" w:rsidR="00FD5CD5" w:rsidRPr="001F1A7B" w:rsidRDefault="00FD5CD5" w:rsidP="00FD5CD5">
            <w:pPr>
              <w:pStyle w:val="ZPKTzmpktartykuempunktem"/>
              <w:spacing w:line="240" w:lineRule="auto"/>
              <w:jc w:val="left"/>
            </w:pPr>
            <w:r w:rsidRPr="001F1A7B">
              <w:t>4)</w:t>
            </w:r>
            <w:r w:rsidRPr="001F1A7B">
              <w:tab/>
              <w:t>uprzednie naruszenie obowiązków;</w:t>
            </w:r>
          </w:p>
          <w:p w14:paraId="515B152D" w14:textId="77777777" w:rsidR="00FD5CD5" w:rsidRPr="001F1A7B" w:rsidRDefault="00FD5CD5" w:rsidP="00FD5CD5">
            <w:pPr>
              <w:pStyle w:val="ZPKTzmpktartykuempunktem"/>
              <w:spacing w:line="240" w:lineRule="auto"/>
              <w:jc w:val="left"/>
            </w:pPr>
            <w:r w:rsidRPr="001F1A7B">
              <w:t>5)</w:t>
            </w:r>
            <w:r w:rsidRPr="001F1A7B">
              <w:tab/>
              <w:t>współpracę z Dyrektorem TDT jako organem nadzoru rynku, w tym przyczynienie się do szybkiego i sprawnego przeprowadzenia czynności wyjaśniających, kontroli, badań lub postępowań administracyjnych;</w:t>
            </w:r>
          </w:p>
          <w:p w14:paraId="2E4849E6" w14:textId="77777777" w:rsidR="00FD5CD5" w:rsidRPr="001F1A7B" w:rsidRDefault="00FD5CD5" w:rsidP="00FD5CD5">
            <w:pPr>
              <w:pStyle w:val="ZPKTzmpktartykuempunktem"/>
              <w:spacing w:line="240" w:lineRule="auto"/>
              <w:jc w:val="left"/>
            </w:pPr>
            <w:r w:rsidRPr="001F1A7B">
              <w:t xml:space="preserve">6) </w:t>
            </w:r>
            <w:r w:rsidRPr="001F1A7B">
              <w:tab/>
              <w:t xml:space="preserve">zaprzestanie przez podmiot gospodarczy naruszenia obowiązków, o których mowa odpowiednio w art. 53a i </w:t>
            </w:r>
            <w:r>
              <w:t xml:space="preserve">art. </w:t>
            </w:r>
            <w:r w:rsidRPr="001F1A7B">
              <w:t>53b oraz potwierdzenie realizacji tych obowiązków;</w:t>
            </w:r>
          </w:p>
          <w:p w14:paraId="2647BB46" w14:textId="77777777" w:rsidR="00FD5CD5" w:rsidRPr="001F1A7B" w:rsidRDefault="00FD5CD5" w:rsidP="00FD5CD5">
            <w:pPr>
              <w:pStyle w:val="ZPKTzmpktartykuempunktem"/>
              <w:spacing w:line="240" w:lineRule="auto"/>
              <w:jc w:val="left"/>
            </w:pPr>
            <w:r w:rsidRPr="001F1A7B">
              <w:t>7)</w:t>
            </w:r>
            <w:r w:rsidRPr="001F1A7B">
              <w:rPr>
                <w:rFonts w:eastAsiaTheme="minorHAnsi"/>
                <w:sz w:val="22"/>
                <w:szCs w:val="22"/>
                <w:lang w:eastAsia="en-US"/>
              </w:rPr>
              <w:tab/>
            </w:r>
            <w:r w:rsidRPr="001F1A7B">
              <w:t>zlecenie przez podmiot, który zamontował w pojeździe dodatkową instalację zasilania gazem pojazdu bez świadectwa homologacji montażu dodatkowej instalacji zasilania gazem pojazdu, uprawnionemu podmiotowi wymianę tej instalacji w pojeździe, na swój koszt, na instalację zgodną z takim świadectwem.</w:t>
            </w:r>
          </w:p>
          <w:p w14:paraId="28E8212E" w14:textId="77777777" w:rsidR="00FD5CD5" w:rsidRPr="001F1A7B" w:rsidRDefault="00FD5CD5" w:rsidP="00FD5CD5">
            <w:pPr>
              <w:pStyle w:val="ZUSTzmustartykuempunktem"/>
              <w:spacing w:line="240" w:lineRule="auto"/>
              <w:ind w:left="0" w:firstLine="0"/>
              <w:jc w:val="left"/>
            </w:pPr>
            <w:r w:rsidRPr="001F1A7B">
              <w:t xml:space="preserve">4. Przy wydawaniu decyzji o nałożeniu administracyjnej kary pieniężnej, o której mowa w art. 71a–71o, przepisu art. 189f ustawy z dnia 14 czerwca 1960 r. – Kodeks postępowania administracyjnego nie stosuje się. </w:t>
            </w:r>
          </w:p>
          <w:p w14:paraId="6C4DB6C1" w14:textId="77777777" w:rsidR="00FD5CD5" w:rsidRPr="001F1A7B" w:rsidRDefault="00FD5CD5" w:rsidP="00FD5CD5">
            <w:pPr>
              <w:pStyle w:val="ZARTzmartartykuempunktem"/>
              <w:spacing w:line="240" w:lineRule="auto"/>
              <w:ind w:left="0" w:firstLine="0"/>
              <w:jc w:val="left"/>
            </w:pPr>
            <w:bookmarkStart w:id="76" w:name="_Hlk201514239"/>
            <w:r w:rsidRPr="001F1A7B">
              <w:t xml:space="preserve">Art. 71r. 1. Administracyjne kary pieniężne, o których mowa w art. 71a–71o, uiszcza się na rachunek Transportowego Dozoru Technicznego w terminie 14 dni od dnia, w którym decyzja o nałożeniu administracyjnej kary pieniężnej stała się ostateczna. </w:t>
            </w:r>
          </w:p>
          <w:bookmarkEnd w:id="76"/>
          <w:p w14:paraId="7C68EA2B" w14:textId="77777777" w:rsidR="00FD5CD5" w:rsidRPr="001F1A7B" w:rsidRDefault="00FD5CD5" w:rsidP="00FD5CD5">
            <w:pPr>
              <w:pStyle w:val="ZUSTzmustartykuempunktem"/>
              <w:spacing w:line="240" w:lineRule="auto"/>
              <w:ind w:left="0" w:firstLine="0"/>
              <w:jc w:val="left"/>
            </w:pPr>
            <w:r w:rsidRPr="001F1A7B">
              <w:t>2. Wpływy z administracyjnych kar pieniężnych wraz z odsetkami stanowią przychód Dyrektora TDT.</w:t>
            </w:r>
          </w:p>
          <w:p w14:paraId="5FEC6EBA" w14:textId="77777777" w:rsidR="00FD5CD5" w:rsidRPr="00F51BEF" w:rsidRDefault="00FD5CD5" w:rsidP="00FD5CD5">
            <w:pPr>
              <w:pStyle w:val="ZUSTzmustartykuempunktem"/>
              <w:spacing w:line="240" w:lineRule="auto"/>
              <w:ind w:left="0" w:firstLine="0"/>
              <w:jc w:val="left"/>
            </w:pPr>
            <w:r w:rsidRPr="00F51BEF">
              <w:t>Art. 71s. 1. Kary pieniężne, o których mowa w art. 71a</w:t>
            </w:r>
            <w:r w:rsidRPr="00F51BEF">
              <w:rPr>
                <w:rFonts w:ascii="Times New Roman" w:hAnsi="Times New Roman" w:cs="Times New Roman"/>
                <w:szCs w:val="24"/>
              </w:rPr>
              <w:t>–</w:t>
            </w:r>
            <w:r w:rsidRPr="00F51BEF">
              <w:t>71o, wraz z odsetkami ustawowymi za opóźnienie, podlegają przymusowemu ściągnięciu w trybie określonym w ustawie z dnia 17 czerwca 1966 r. o postępowaniu egzekucyjnym w administracji.</w:t>
            </w:r>
          </w:p>
          <w:p w14:paraId="0C60C032" w14:textId="77777777" w:rsidR="00FD5CD5" w:rsidRPr="00F51BEF" w:rsidRDefault="00FD5CD5" w:rsidP="00FD5CD5">
            <w:pPr>
              <w:pStyle w:val="ZARTzmartartykuempunktem"/>
              <w:tabs>
                <w:tab w:val="left" w:pos="851"/>
              </w:tabs>
              <w:spacing w:line="240" w:lineRule="auto"/>
              <w:ind w:left="0" w:firstLine="0"/>
              <w:jc w:val="left"/>
            </w:pPr>
            <w:r w:rsidRPr="00F51BEF">
              <w:t xml:space="preserve"> </w:t>
            </w:r>
            <w:r>
              <w:t>2.</w:t>
            </w:r>
            <w:r w:rsidRPr="00F51BEF">
              <w:t>Obowiązek uiszczenia kar pieniężnych, o których mowa w ust. 1, przedawnia się z upływem 5 lat, licząc od ostatniego dnia roku kalendarzowego, w którym kary powinny zostać uiszczone.”.</w:t>
            </w:r>
          </w:p>
          <w:p w14:paraId="76BA03D8" w14:textId="77777777" w:rsidR="00FD5CD5" w:rsidRPr="00FD5CD5" w:rsidRDefault="00FD5CD5" w:rsidP="00FD5CD5">
            <w:pPr>
              <w:pStyle w:val="ZROZDZODDZPRZEDMzmprzedmrozdzoddzartykuempunktem"/>
            </w:pPr>
          </w:p>
          <w:p w14:paraId="593272D3" w14:textId="77777777" w:rsidR="00FD5CD5" w:rsidRPr="00FD5CD5" w:rsidRDefault="00FD5CD5" w:rsidP="00FD5CD5">
            <w:pPr>
              <w:pStyle w:val="ZROZDZODDZPRZEDMzmprzedmrozdzoddzartykuempunktem"/>
            </w:pPr>
          </w:p>
        </w:tc>
        <w:tc>
          <w:tcPr>
            <w:tcW w:w="1504" w:type="dxa"/>
            <w:tcBorders>
              <w:top w:val="single" w:sz="4" w:space="0" w:color="auto"/>
              <w:left w:val="single" w:sz="4" w:space="0" w:color="auto"/>
              <w:bottom w:val="single" w:sz="4" w:space="0" w:color="auto"/>
              <w:right w:val="single" w:sz="4" w:space="0" w:color="auto"/>
            </w:tcBorders>
          </w:tcPr>
          <w:p w14:paraId="7F6BDE24"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p>
        </w:tc>
      </w:tr>
    </w:tbl>
    <w:p w14:paraId="7DCE6A24" w14:textId="77777777" w:rsidR="002307C6" w:rsidRPr="00FB76A9" w:rsidRDefault="002307C6" w:rsidP="00FD5CD5">
      <w:pPr>
        <w:rPr>
          <w:rFonts w:ascii="Times New Roman" w:hAnsi="Times New Roman" w:cs="Times New Roman"/>
          <w:sz w:val="24"/>
          <w:szCs w:val="24"/>
        </w:rPr>
      </w:pPr>
      <w:r w:rsidRPr="00FB76A9">
        <w:rPr>
          <w:rFonts w:ascii="Times New Roman" w:hAnsi="Times New Roman" w:cs="Times New Roman"/>
          <w:sz w:val="24"/>
          <w:szCs w:val="24"/>
        </w:rPr>
        <w:br w:type="page"/>
      </w:r>
    </w:p>
    <w:tbl>
      <w:tblPr>
        <w:tblpPr w:leftFromText="141" w:rightFromText="141" w:vertAnchor="text" w:tblpY="1"/>
        <w:tblOverlap w:val="neve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13"/>
        <w:gridCol w:w="9482"/>
      </w:tblGrid>
      <w:tr w:rsidR="00DC2D7F" w:rsidRPr="00FB76A9" w14:paraId="170FC2E6" w14:textId="77777777" w:rsidTr="00777DE4">
        <w:trPr>
          <w:cantSplit/>
          <w:trHeight w:val="576"/>
        </w:trPr>
        <w:tc>
          <w:tcPr>
            <w:tcW w:w="5513" w:type="dxa"/>
            <w:tcBorders>
              <w:bottom w:val="single" w:sz="4" w:space="0" w:color="auto"/>
            </w:tcBorders>
            <w:shd w:val="clear" w:color="auto" w:fill="E0E0E0"/>
          </w:tcPr>
          <w:p w14:paraId="72CAEC4C" w14:textId="77777777" w:rsidR="00DC2D7F" w:rsidRPr="00FB76A9" w:rsidRDefault="00DC2D7F" w:rsidP="00FD5CD5">
            <w:pPr>
              <w:keepNext/>
              <w:spacing w:after="0" w:line="240" w:lineRule="auto"/>
              <w:outlineLvl w:val="0"/>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TYTUŁ PROJEKTU:</w:t>
            </w:r>
          </w:p>
        </w:tc>
        <w:tc>
          <w:tcPr>
            <w:tcW w:w="9482" w:type="dxa"/>
            <w:tcBorders>
              <w:bottom w:val="single" w:sz="4" w:space="0" w:color="auto"/>
            </w:tcBorders>
          </w:tcPr>
          <w:p w14:paraId="6DD81E50" w14:textId="77777777" w:rsidR="00DC2D7F" w:rsidRPr="00FB76A9" w:rsidRDefault="00DC2D7F" w:rsidP="00FD5CD5">
            <w:pPr>
              <w:spacing w:after="0" w:line="240" w:lineRule="auto"/>
              <w:contextualSpacing/>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Projekt ustawy o zmianie ustawy o systemach homologacji pojazdów oraz ich wyposażenia oraz niektórych innych ustaw (UC95)</w:t>
            </w:r>
          </w:p>
        </w:tc>
      </w:tr>
      <w:tr w:rsidR="00DC2D7F" w:rsidRPr="00FB76A9" w14:paraId="1194DE3A" w14:textId="77777777" w:rsidTr="00DC2D7F">
        <w:trPr>
          <w:cantSplit/>
          <w:trHeight w:val="576"/>
        </w:trPr>
        <w:tc>
          <w:tcPr>
            <w:tcW w:w="5513" w:type="dxa"/>
            <w:shd w:val="clear" w:color="auto" w:fill="E0E0E0"/>
          </w:tcPr>
          <w:p w14:paraId="52B4B151"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TYTUŁ WDRAŻANEGO AKTU PRAWNEGO</w:t>
            </w:r>
          </w:p>
        </w:tc>
        <w:tc>
          <w:tcPr>
            <w:tcW w:w="9482" w:type="dxa"/>
          </w:tcPr>
          <w:p w14:paraId="7903605E" w14:textId="77777777" w:rsidR="00DC2D7F" w:rsidRPr="00FB76A9" w:rsidRDefault="00DC2D7F" w:rsidP="00FD5CD5">
            <w:pPr>
              <w:pStyle w:val="ZPKTzmpktartykuempunktem"/>
              <w:spacing w:line="240" w:lineRule="auto"/>
              <w:ind w:left="82" w:hanging="82"/>
              <w:jc w:val="left"/>
              <w:rPr>
                <w:rFonts w:ascii="Times New Roman" w:hAnsi="Times New Roman" w:cs="Times New Roman"/>
                <w:szCs w:val="24"/>
                <w:highlight w:val="yellow"/>
              </w:rPr>
            </w:pPr>
            <w:r w:rsidRPr="00FB76A9">
              <w:rPr>
                <w:rFonts w:ascii="Times New Roman" w:hAnsi="Times New Roman" w:cs="Times New Roman"/>
                <w:szCs w:val="24"/>
              </w:rPr>
              <w:t xml:space="preserve">Rozporządzenie Parlamentu Europejskiego i Rady (UE) </w:t>
            </w:r>
            <w:r w:rsidRPr="00FB76A9">
              <w:rPr>
                <w:rFonts w:ascii="Times New Roman" w:hAnsi="Times New Roman" w:cs="Times New Roman"/>
                <w:b/>
                <w:szCs w:val="24"/>
              </w:rPr>
              <w:t>2019/2144</w:t>
            </w:r>
            <w:r w:rsidRPr="00FB76A9">
              <w:rPr>
                <w:rFonts w:ascii="Times New Roman" w:hAnsi="Times New Roman" w:cs="Times New Roman"/>
                <w:szCs w:val="24"/>
              </w:rPr>
              <w:t xml:space="preserve"> z dnia 27 listopada 2019 r. w sprawie wymogów dotyczących homologacji typu pojazdów silnikowych i ich przyczep oraz układów, komponentów i oddzielnych zespołów technicznych przeznaczonych do tych pojazdów, w odniesieniu do ich ogólnego bezpieczeństwa oraz ochrony osób znajdujących się w pojeździe i niechronionych uczestników ruchu drogowego, zmieniającego rozporządzenie Parlamentu Europejskiego i Rady (UE) 2018/858 oraz uchylającego rozporządzenia Parlamentu Europejskiego i Rady (WE) nr 78/2009, (WE) nr 79/2009 i (WE) nr 661/2009 oraz</w:t>
            </w:r>
            <w:r w:rsidR="00FB76A9">
              <w:rPr>
                <w:rFonts w:ascii="Times New Roman" w:hAnsi="Times New Roman" w:cs="Times New Roman"/>
                <w:szCs w:val="24"/>
              </w:rPr>
              <w:t xml:space="preserve"> </w:t>
            </w:r>
            <w:r w:rsidRPr="00FB76A9">
              <w:rPr>
                <w:rFonts w:ascii="Times New Roman" w:hAnsi="Times New Roman" w:cs="Times New Roman"/>
                <w:szCs w:val="24"/>
              </w:rPr>
              <w:t>rozporządzenia Komisji (WE) nr 631/2009, (UE) nr 406/2010, (UE) nr 672/2010, (UE) nr 1003/2010, (UE) nr 1005/2010, (UE) nr 1008/2010, (UE) nr 1009/2010, (UE) nr 19/2011, (UE) nr 109/2011, (UE) nr 458/2011, (UE) nr 65/2012, (UE) nr 130/2012, (UE) nr 347/2012, (UE) nr 351/2012, (UE) nr 1230/2012 i (UE) 2015/166 (Dz. Urz. UE L 325 z 16.12.2019, str. 1, z późn. zm.).</w:t>
            </w:r>
          </w:p>
        </w:tc>
      </w:tr>
      <w:tr w:rsidR="002307C6" w:rsidRPr="00FB76A9" w14:paraId="1B03E3F6" w14:textId="77777777" w:rsidTr="00DC2D7F">
        <w:trPr>
          <w:cantSplit/>
          <w:trHeight w:val="576"/>
        </w:trPr>
        <w:tc>
          <w:tcPr>
            <w:tcW w:w="5513" w:type="dxa"/>
            <w:shd w:val="clear" w:color="auto" w:fill="E0E0E0"/>
          </w:tcPr>
          <w:p w14:paraId="171E1616" w14:textId="77777777" w:rsidR="002307C6" w:rsidRPr="00FB76A9" w:rsidRDefault="002307C6" w:rsidP="00FD5CD5">
            <w:pPr>
              <w:spacing w:after="0" w:line="240" w:lineRule="auto"/>
              <w:rPr>
                <w:rFonts w:ascii="Times New Roman" w:eastAsia="Times New Roman" w:hAnsi="Times New Roman" w:cs="Times New Roman"/>
                <w:b/>
                <w:bCs/>
                <w:sz w:val="24"/>
                <w:szCs w:val="24"/>
                <w:lang w:eastAsia="pl-PL"/>
              </w:rPr>
            </w:pPr>
            <w:bookmarkStart w:id="77" w:name="_Hlk230347851"/>
            <w:r w:rsidRPr="00FB76A9">
              <w:rPr>
                <w:rFonts w:ascii="Times New Roman" w:hAnsi="Times New Roman" w:cs="Times New Roman"/>
                <w:b/>
                <w:bCs/>
                <w:sz w:val="24"/>
                <w:szCs w:val="24"/>
              </w:rPr>
              <w:t>WYJAŚNIENIE TERMINU WEJŚCIA W ŻYCIE PROJEKTU / PROJEKTÓW</w:t>
            </w:r>
          </w:p>
        </w:tc>
        <w:tc>
          <w:tcPr>
            <w:tcW w:w="9482" w:type="dxa"/>
          </w:tcPr>
          <w:p w14:paraId="78421A9D" w14:textId="77777777" w:rsidR="002307C6" w:rsidRPr="00FB76A9" w:rsidRDefault="002307C6" w:rsidP="00FD5CD5">
            <w:pPr>
              <w:pStyle w:val="ZPKTzmpktartykuempunktem"/>
              <w:spacing w:line="240" w:lineRule="auto"/>
              <w:ind w:left="82" w:hanging="82"/>
              <w:jc w:val="left"/>
              <w:rPr>
                <w:rFonts w:ascii="Times New Roman" w:hAnsi="Times New Roman" w:cs="Times New Roman"/>
                <w:szCs w:val="24"/>
              </w:rPr>
            </w:pPr>
            <w:r w:rsidRPr="00FB76A9">
              <w:rPr>
                <w:rFonts w:ascii="Times New Roman" w:hAnsi="Times New Roman" w:cs="Times New Roman"/>
                <w:szCs w:val="24"/>
              </w:rPr>
              <w:t>Co do zasady przewiduje się, iż zgodnie z art. 1</w:t>
            </w:r>
            <w:r w:rsidR="00CA313E">
              <w:rPr>
                <w:rFonts w:ascii="Times New Roman" w:hAnsi="Times New Roman" w:cs="Times New Roman"/>
                <w:szCs w:val="24"/>
              </w:rPr>
              <w:t>9</w:t>
            </w:r>
            <w:r w:rsidRPr="00FB76A9">
              <w:rPr>
                <w:rFonts w:ascii="Times New Roman" w:hAnsi="Times New Roman" w:cs="Times New Roman"/>
                <w:szCs w:val="24"/>
              </w:rPr>
              <w:t xml:space="preserve"> projektu, ustawa wejdzie w życie po upływie 14 dni od dnia ogłoszenia, z wyjątkami wskazanymi w </w:t>
            </w:r>
            <w:r w:rsidR="00CA313E">
              <w:rPr>
                <w:rFonts w:ascii="Times New Roman" w:hAnsi="Times New Roman" w:cs="Times New Roman"/>
                <w:szCs w:val="24"/>
              </w:rPr>
              <w:t xml:space="preserve">art. 18 </w:t>
            </w:r>
            <w:r w:rsidRPr="00FB76A9">
              <w:rPr>
                <w:rFonts w:ascii="Times New Roman" w:hAnsi="Times New Roman" w:cs="Times New Roman"/>
                <w:szCs w:val="24"/>
              </w:rPr>
              <w:t>pkt 1-6.</w:t>
            </w:r>
          </w:p>
        </w:tc>
      </w:tr>
    </w:tbl>
    <w:tbl>
      <w:tblP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7"/>
        <w:gridCol w:w="5572"/>
        <w:gridCol w:w="884"/>
        <w:gridCol w:w="805"/>
        <w:gridCol w:w="5433"/>
        <w:gridCol w:w="1504"/>
      </w:tblGrid>
      <w:tr w:rsidR="00DC2D7F" w:rsidRPr="00FB76A9" w14:paraId="11B98BAD" w14:textId="77777777" w:rsidTr="00777DE4">
        <w:trPr>
          <w:trHeight w:val="151"/>
        </w:trPr>
        <w:tc>
          <w:tcPr>
            <w:tcW w:w="797" w:type="dxa"/>
            <w:shd w:val="clear" w:color="auto" w:fill="D9D9D9"/>
          </w:tcPr>
          <w:bookmarkEnd w:id="77"/>
          <w:p w14:paraId="7F4D0FA2"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Jedn. red. </w:t>
            </w:r>
          </w:p>
        </w:tc>
        <w:tc>
          <w:tcPr>
            <w:tcW w:w="5572" w:type="dxa"/>
            <w:shd w:val="clear" w:color="auto" w:fill="D9D9D9"/>
          </w:tcPr>
          <w:p w14:paraId="4A5DADB1"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Treść przepisu UE </w:t>
            </w:r>
          </w:p>
        </w:tc>
        <w:tc>
          <w:tcPr>
            <w:tcW w:w="884" w:type="dxa"/>
            <w:shd w:val="clear" w:color="auto" w:fill="D9D9D9"/>
          </w:tcPr>
          <w:p w14:paraId="06DD3240"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Konieczność</w:t>
            </w:r>
          </w:p>
          <w:p w14:paraId="6EDD77A5"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wdrożenia</w:t>
            </w:r>
          </w:p>
          <w:p w14:paraId="4143F033" w14:textId="77777777" w:rsidR="00DC2D7F" w:rsidRPr="00FB76A9" w:rsidRDefault="00DC2D7F" w:rsidP="00FD5CD5">
            <w:pPr>
              <w:spacing w:after="0" w:line="240" w:lineRule="auto"/>
              <w:rPr>
                <w:rFonts w:ascii="Times New Roman" w:eastAsia="Times New Roman" w:hAnsi="Times New Roman" w:cs="Times New Roman"/>
                <w:sz w:val="24"/>
                <w:szCs w:val="24"/>
                <w:lang w:eastAsia="pl-PL"/>
              </w:rPr>
            </w:pPr>
          </w:p>
          <w:p w14:paraId="6662A6B9"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sz w:val="24"/>
                <w:szCs w:val="24"/>
                <w:lang w:eastAsia="pl-PL"/>
              </w:rPr>
              <w:t xml:space="preserve"> T / N</w:t>
            </w:r>
          </w:p>
        </w:tc>
        <w:tc>
          <w:tcPr>
            <w:tcW w:w="805" w:type="dxa"/>
            <w:shd w:val="clear" w:color="auto" w:fill="D9D9D9"/>
          </w:tcPr>
          <w:p w14:paraId="71A2EB02"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Jedn. red. (*) </w:t>
            </w:r>
          </w:p>
        </w:tc>
        <w:tc>
          <w:tcPr>
            <w:tcW w:w="5433" w:type="dxa"/>
            <w:shd w:val="clear" w:color="auto" w:fill="D9D9D9"/>
          </w:tcPr>
          <w:p w14:paraId="121EA9D6"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Treść przepisu/ów projektu (*)</w:t>
            </w:r>
          </w:p>
        </w:tc>
        <w:tc>
          <w:tcPr>
            <w:tcW w:w="1504" w:type="dxa"/>
            <w:shd w:val="clear" w:color="auto" w:fill="D9D9D9"/>
          </w:tcPr>
          <w:p w14:paraId="3D661ED4"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Uzasadnienie uwzględnienia w projekcie przepisów wykraczających poza minimalne wymogi  prawa UE (**)</w:t>
            </w:r>
          </w:p>
        </w:tc>
      </w:tr>
      <w:tr w:rsidR="00DC2D7F" w:rsidRPr="00FB76A9" w14:paraId="7FE47D37" w14:textId="77777777" w:rsidTr="000A2BF6">
        <w:trPr>
          <w:trHeight w:val="2897"/>
        </w:trPr>
        <w:tc>
          <w:tcPr>
            <w:tcW w:w="797" w:type="dxa"/>
            <w:tcBorders>
              <w:top w:val="single" w:sz="4" w:space="0" w:color="auto"/>
              <w:left w:val="single" w:sz="4" w:space="0" w:color="auto"/>
              <w:bottom w:val="single" w:sz="4" w:space="0" w:color="auto"/>
              <w:right w:val="single" w:sz="4" w:space="0" w:color="auto"/>
            </w:tcBorders>
          </w:tcPr>
          <w:p w14:paraId="16302B77" w14:textId="77777777" w:rsidR="00DC2D7F" w:rsidRPr="00FB76A9" w:rsidRDefault="00DC2D7F" w:rsidP="00FD5CD5">
            <w:pPr>
              <w:spacing w:after="0" w:line="240" w:lineRule="auto"/>
              <w:rPr>
                <w:rFonts w:ascii="Times New Roman" w:eastAsia="Times New Roman" w:hAnsi="Times New Roman" w:cs="Times New Roman"/>
                <w:b/>
                <w:bCs/>
                <w:sz w:val="24"/>
                <w:szCs w:val="24"/>
                <w:lang w:val="en-GB" w:eastAsia="pl-PL"/>
              </w:rPr>
            </w:pPr>
            <w:r w:rsidRPr="00FB76A9">
              <w:rPr>
                <w:rFonts w:ascii="Times New Roman" w:eastAsia="Times New Roman" w:hAnsi="Times New Roman" w:cs="Times New Roman"/>
                <w:b/>
                <w:bCs/>
                <w:sz w:val="24"/>
                <w:szCs w:val="24"/>
                <w:lang w:val="en-GB" w:eastAsia="pl-PL"/>
              </w:rPr>
              <w:t>Art. 4</w:t>
            </w:r>
          </w:p>
          <w:p w14:paraId="51002FDF" w14:textId="77777777" w:rsidR="00DC2D7F" w:rsidRPr="00FB76A9" w:rsidRDefault="00DC2D7F" w:rsidP="00FD5CD5">
            <w:pPr>
              <w:spacing w:after="0" w:line="240" w:lineRule="auto"/>
              <w:rPr>
                <w:rFonts w:ascii="Times New Roman" w:eastAsia="Times New Roman" w:hAnsi="Times New Roman" w:cs="Times New Roman"/>
                <w:b/>
                <w:bCs/>
                <w:sz w:val="24"/>
                <w:szCs w:val="24"/>
                <w:lang w:val="en-GB" w:eastAsia="pl-PL"/>
              </w:rPr>
            </w:pPr>
          </w:p>
          <w:p w14:paraId="0F396E55" w14:textId="77777777" w:rsidR="00DC2D7F" w:rsidRPr="00FB76A9" w:rsidRDefault="00DC2D7F" w:rsidP="00FD5CD5">
            <w:pPr>
              <w:spacing w:after="0" w:line="240" w:lineRule="auto"/>
              <w:rPr>
                <w:rFonts w:ascii="Times New Roman" w:eastAsia="Times New Roman" w:hAnsi="Times New Roman" w:cs="Times New Roman"/>
                <w:b/>
                <w:bCs/>
                <w:sz w:val="24"/>
                <w:szCs w:val="24"/>
                <w:lang w:val="en-GB" w:eastAsia="pl-PL"/>
              </w:rPr>
            </w:pPr>
          </w:p>
          <w:p w14:paraId="294A7112" w14:textId="77777777" w:rsidR="00DC2D7F" w:rsidRPr="00FB76A9" w:rsidRDefault="00DC2D7F" w:rsidP="00FD5CD5">
            <w:pPr>
              <w:spacing w:after="0" w:line="240" w:lineRule="auto"/>
              <w:rPr>
                <w:rFonts w:ascii="Times New Roman" w:eastAsia="Times New Roman" w:hAnsi="Times New Roman" w:cs="Times New Roman"/>
                <w:b/>
                <w:bCs/>
                <w:sz w:val="24"/>
                <w:szCs w:val="24"/>
                <w:lang w:val="en-GB" w:eastAsia="pl-PL"/>
              </w:rPr>
            </w:pPr>
          </w:p>
          <w:p w14:paraId="27E0903D" w14:textId="77777777" w:rsidR="00DC2D7F" w:rsidRPr="00FB76A9" w:rsidRDefault="00DC2D7F" w:rsidP="00FD5CD5">
            <w:pPr>
              <w:spacing w:after="0" w:line="240" w:lineRule="auto"/>
              <w:rPr>
                <w:rFonts w:ascii="Times New Roman" w:eastAsia="Times New Roman" w:hAnsi="Times New Roman" w:cs="Times New Roman"/>
                <w:b/>
                <w:bCs/>
                <w:sz w:val="24"/>
                <w:szCs w:val="24"/>
                <w:lang w:val="en-GB" w:eastAsia="pl-PL"/>
              </w:rPr>
            </w:pPr>
          </w:p>
          <w:p w14:paraId="6D0A3FAF" w14:textId="77777777" w:rsidR="00DC2D7F" w:rsidRPr="00FB76A9" w:rsidRDefault="00DC2D7F" w:rsidP="00FD5CD5">
            <w:pPr>
              <w:spacing w:after="0" w:line="240" w:lineRule="auto"/>
              <w:rPr>
                <w:rFonts w:ascii="Times New Roman" w:eastAsia="Times New Roman" w:hAnsi="Times New Roman" w:cs="Times New Roman"/>
                <w:b/>
                <w:bCs/>
                <w:sz w:val="24"/>
                <w:szCs w:val="24"/>
                <w:lang w:val="en-GB" w:eastAsia="pl-PL"/>
              </w:rPr>
            </w:pPr>
          </w:p>
          <w:p w14:paraId="3D3A206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9F8C9D4"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863CABE"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765B744"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4344FD1"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5E6F3E5"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8277268"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C5CCDEF"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F550E9B"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D1E46C4"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D8DD427"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51094E4"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82CB59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63E1AC6"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795E004"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BBFDB3D"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A4A6835"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38CAA2B"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669298E"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B6C2931"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F751956"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A59DE99"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4BD4BB4"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D0E141A"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0260FE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F3BC377"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2C683D3"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4BC047A"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C049975"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77FEEE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1FBEB41"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87CFB53"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DC26968"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65294D9"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925090C"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CD8DE64"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6D84B5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2CE239D"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9391913"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E83BBFA"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ECF49FF"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156B638"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699627B"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563BDE2"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E785F98"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AF8118E"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9C6251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188C4A8"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6ED45D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79BFBE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61AACDF"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866C173"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9183BD5"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1BC392B"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CE9D17A"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11631A1"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B7AAE27"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C77DEA3"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DA5169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15F7C2F"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72C0A2A"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F8EC719"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378DBC1"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E935481"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51DA717"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D9FE91C"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ABEA327"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E85C9B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D973974"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D841326"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r w:rsidRPr="00FB76A9">
              <w:rPr>
                <w:rFonts w:ascii="Times New Roman" w:eastAsia="Times New Roman" w:hAnsi="Times New Roman" w:cs="Times New Roman"/>
                <w:b/>
                <w:bCs/>
                <w:sz w:val="24"/>
                <w:szCs w:val="24"/>
                <w:lang w:val="en-GB" w:eastAsia="pl-PL"/>
              </w:rPr>
              <w:t>Art. 5</w:t>
            </w:r>
          </w:p>
          <w:p w14:paraId="3EDF63F5"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B0A8EF7"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F1B4EDA"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5ACF914"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7DC6614"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D450A19"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CA12C16"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E251B03"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08A25D2"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ED9BA1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1C3CA4F"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F351204"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200EAB7"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83917FD"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15A36E1"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CF82AC8"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78E1AB8"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1A3B313"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019BC84"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661DAE9"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317F702"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96BE3D1"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B0F8578"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D801D72" w14:textId="77777777" w:rsidR="00820972" w:rsidRPr="00FB76A9" w:rsidRDefault="00820972" w:rsidP="00FD5CD5">
            <w:pPr>
              <w:spacing w:after="0" w:line="240" w:lineRule="auto"/>
              <w:rPr>
                <w:rFonts w:ascii="Times New Roman" w:eastAsia="Times New Roman" w:hAnsi="Times New Roman" w:cs="Times New Roman"/>
                <w:b/>
                <w:bCs/>
                <w:sz w:val="24"/>
                <w:szCs w:val="24"/>
                <w:lang w:val="en-GB" w:eastAsia="pl-PL"/>
              </w:rPr>
            </w:pPr>
          </w:p>
          <w:p w14:paraId="06F65185" w14:textId="77777777" w:rsidR="00820972" w:rsidRPr="00FB76A9" w:rsidRDefault="00820972" w:rsidP="00FD5CD5">
            <w:pPr>
              <w:spacing w:after="0" w:line="240" w:lineRule="auto"/>
              <w:rPr>
                <w:rFonts w:ascii="Times New Roman" w:eastAsia="Times New Roman" w:hAnsi="Times New Roman" w:cs="Times New Roman"/>
                <w:b/>
                <w:bCs/>
                <w:sz w:val="24"/>
                <w:szCs w:val="24"/>
                <w:lang w:val="en-GB" w:eastAsia="pl-PL"/>
              </w:rPr>
            </w:pPr>
          </w:p>
          <w:p w14:paraId="32A20A26"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r w:rsidRPr="00FB76A9">
              <w:rPr>
                <w:rFonts w:ascii="Times New Roman" w:eastAsia="Times New Roman" w:hAnsi="Times New Roman" w:cs="Times New Roman"/>
                <w:b/>
                <w:bCs/>
                <w:sz w:val="24"/>
                <w:szCs w:val="24"/>
                <w:lang w:val="en-GB" w:eastAsia="pl-PL"/>
              </w:rPr>
              <w:t>Art. 6</w:t>
            </w:r>
          </w:p>
          <w:p w14:paraId="0D6C1B71"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765640B"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7BBB0FE"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681E68D"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07686BD"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E1BE07E"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E8027D4"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584B2C7"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ECB501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8CB528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B28C66C"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65119D8"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05929A4"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79F5EEE"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809AEF1"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68955A1"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DA6C18C"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15C23AE"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6D17B97"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D7F1E3B"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0B7A296"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FE536B9"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771361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D34025E"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F4BA20B"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3946E4A"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057F51C"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963001F"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6089402"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222D609"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D79F1C8"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A3D6FAD"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1F240F4"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5B282EA"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C5546A5"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E83D02E"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1D63CF1"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2ECC749"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0A61E47"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FE44CDA"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46536D6"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9F5ADD8"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11B2C49"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A7EA6D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7D25F8A"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CA81323"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6F31609"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6A11589"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CC4006F"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6519018"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211C687"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EFA12C4"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AAECE5B"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F2F5B23"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6C8450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C0BF16F"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13A0066"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92E111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7515BA5"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73591B3"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D2341D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CA0B4D5"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C463B47"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D5CDBD9"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E6AF17D"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7BF4A8F"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09C3D6C"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4ED1A2B"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711DDD4"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377F1C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B81FD28"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4D9E064"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58235B7"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F53A212"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67D584A"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1B10138"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E88C897"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0841D73"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76AA163"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0BE4049"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DB50AF6"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5723C1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A76EA3B"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F04D105"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6D382C3"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B4C336D"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55DCC77"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A79D257"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E8716AA"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F7D6766"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8F4A6C6"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CAEB0EC"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4C65A6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885EC77"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4CD7809"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982ACD6"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52D7718"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C3E962E"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81440F8"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C0D5743"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6D99821"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4AE0E5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4681B95" w14:textId="77777777" w:rsidR="00C7369A" w:rsidRPr="00FB76A9" w:rsidRDefault="00C7369A" w:rsidP="00FD5CD5">
            <w:pPr>
              <w:spacing w:after="0" w:line="240" w:lineRule="auto"/>
              <w:rPr>
                <w:rFonts w:ascii="Times New Roman" w:eastAsia="Times New Roman" w:hAnsi="Times New Roman" w:cs="Times New Roman"/>
                <w:b/>
                <w:bCs/>
                <w:sz w:val="24"/>
                <w:szCs w:val="24"/>
                <w:lang w:val="en-GB" w:eastAsia="pl-PL"/>
              </w:rPr>
            </w:pPr>
          </w:p>
          <w:p w14:paraId="38F6FB2C" w14:textId="77777777" w:rsidR="00C7369A" w:rsidRPr="00FB76A9" w:rsidRDefault="00C7369A" w:rsidP="00FD5CD5">
            <w:pPr>
              <w:spacing w:after="0" w:line="240" w:lineRule="auto"/>
              <w:rPr>
                <w:rFonts w:ascii="Times New Roman" w:eastAsia="Times New Roman" w:hAnsi="Times New Roman" w:cs="Times New Roman"/>
                <w:b/>
                <w:bCs/>
                <w:sz w:val="24"/>
                <w:szCs w:val="24"/>
                <w:lang w:val="en-GB" w:eastAsia="pl-PL"/>
              </w:rPr>
            </w:pPr>
          </w:p>
          <w:p w14:paraId="760E8ADE"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r w:rsidRPr="00FB76A9">
              <w:rPr>
                <w:rFonts w:ascii="Times New Roman" w:eastAsia="Times New Roman" w:hAnsi="Times New Roman" w:cs="Times New Roman"/>
                <w:b/>
                <w:bCs/>
                <w:sz w:val="24"/>
                <w:szCs w:val="24"/>
                <w:lang w:val="en-GB" w:eastAsia="pl-PL"/>
              </w:rPr>
              <w:t xml:space="preserve">Art. 7 </w:t>
            </w:r>
          </w:p>
          <w:p w14:paraId="26F25638"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9E267A7"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DAF4C2F"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90A6ABD"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FAD88F5"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F6C16F6"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0B9D43B"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40F8E76"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3D91318"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9BE4B79"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4622CF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562ADB5"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5AECD45"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E05CC12"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F72C00E"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03EBA0C"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174137D"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D1C4D92"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1D8B3DE"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17911EF"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CB1BFD5"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A194F8D"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80DDA1F"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675A185"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9C21F04"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72CC307"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B42D6EE"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E3C5E2B"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CF5A59C"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6DF339B"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BCB845E"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9A1F9CB"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5F8ACF3"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00FB5B3"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5BA828C"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F2F0BB3"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AE0BFDF"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B2DB2F1"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33694BB"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FF480DB"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20030DE"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C5F9049"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92F1FFB"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FEAA38C"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790F0A6"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E6CF263"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49B90E3"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F1234E6"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8842CA1"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1B0E47F"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A3AA4F8"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6D786D9" w14:textId="77777777" w:rsidR="003E518F" w:rsidRPr="00FB76A9" w:rsidRDefault="003E518F" w:rsidP="00FD5CD5">
            <w:pPr>
              <w:spacing w:after="0" w:line="240" w:lineRule="auto"/>
              <w:rPr>
                <w:rFonts w:ascii="Times New Roman" w:eastAsia="Times New Roman" w:hAnsi="Times New Roman" w:cs="Times New Roman"/>
                <w:b/>
                <w:bCs/>
                <w:sz w:val="24"/>
                <w:szCs w:val="24"/>
                <w:lang w:val="en-GB" w:eastAsia="pl-PL"/>
              </w:rPr>
            </w:pPr>
          </w:p>
          <w:p w14:paraId="255D1AFC"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r w:rsidRPr="00FB76A9">
              <w:rPr>
                <w:rFonts w:ascii="Times New Roman" w:eastAsia="Times New Roman" w:hAnsi="Times New Roman" w:cs="Times New Roman"/>
                <w:b/>
                <w:bCs/>
                <w:sz w:val="24"/>
                <w:szCs w:val="24"/>
                <w:lang w:val="en-GB" w:eastAsia="pl-PL"/>
              </w:rPr>
              <w:t>Art. 8</w:t>
            </w:r>
          </w:p>
          <w:p w14:paraId="7FE0FB74"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751B7D09"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A98B1B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EE58AAD"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705CB3E"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452CC6F"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779A009"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FFD2759"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DDB766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758E9B6"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90AC4BB"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5D2A1D10"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3A9D491"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154C8BC8"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49B279D"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F4B6F1A"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BF213B5"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0EAE9BD"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6F15A91C"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2D0592E1"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9E09762"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481C55AE"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020FCE34" w14:textId="77777777" w:rsidR="00662094" w:rsidRPr="00FB76A9" w:rsidRDefault="00662094" w:rsidP="00FD5CD5">
            <w:pPr>
              <w:spacing w:after="0" w:line="240" w:lineRule="auto"/>
              <w:rPr>
                <w:rFonts w:ascii="Times New Roman" w:eastAsia="Times New Roman" w:hAnsi="Times New Roman" w:cs="Times New Roman"/>
                <w:b/>
                <w:bCs/>
                <w:sz w:val="24"/>
                <w:szCs w:val="24"/>
                <w:lang w:val="en-GB" w:eastAsia="pl-PL"/>
              </w:rPr>
            </w:pPr>
          </w:p>
          <w:p w14:paraId="33665A23"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Art. 9</w:t>
            </w:r>
          </w:p>
          <w:p w14:paraId="789CC1DD"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30C62144"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3BF6E96C"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0A65A529"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787DCFF6"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0DA007CE"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4F5831FE"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0582B40B"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0241CA83"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3102C621"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52779EDB"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5216113F"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p>
          <w:p w14:paraId="33A087FC"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p>
          <w:p w14:paraId="308DB02E"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46ACA230"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67D6DE3B"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3918729F"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79F21AE5"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57FEBAED"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6255FA20"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17698A46"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46EA6171"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28A906DE"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77792BD1"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7E92E177"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63E08BD6"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38618974"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10E2F286"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6D7EA7D0"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2EF8CC0D"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19B8E15F"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64AABA66"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04BDC070"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7E8C32F2"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638B58D6"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73DBEB5F"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56E18F5A"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264542A5"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4A1A6A57"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726E607F"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0F78E0A0"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2B4E1099"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6CDF9971"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590E786A"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1B2E57CC"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5BEAE60E"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5D8882B9"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590BD2AA"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359DAD55"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7D0F6D18"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53D91C0B"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4B15A23E"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17FE12F8"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092A83E5"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3F12ACD3"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4A7D032D"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38EFBE19"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605C9C5F"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5BE7D9CD"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689B7FE3"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30860F51"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220666D3"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6AA382AB"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1DD8C80B"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207F1362"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461751B8"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07A6E5C0"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28C8AB6D"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356542AD"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08BBA4AB"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21A8E1FB"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66F213F4" w14:textId="77777777" w:rsidR="003E518F" w:rsidRPr="00FB76A9" w:rsidRDefault="003E518F" w:rsidP="00FD5CD5">
            <w:pPr>
              <w:spacing w:after="0" w:line="240" w:lineRule="auto"/>
              <w:rPr>
                <w:rFonts w:ascii="Times New Roman" w:eastAsia="Times New Roman" w:hAnsi="Times New Roman" w:cs="Times New Roman"/>
                <w:b/>
                <w:bCs/>
                <w:sz w:val="24"/>
                <w:szCs w:val="24"/>
                <w:lang w:eastAsia="pl-PL"/>
              </w:rPr>
            </w:pPr>
          </w:p>
          <w:p w14:paraId="6FF45333" w14:textId="77777777" w:rsidR="003E518F" w:rsidRPr="00FB76A9" w:rsidRDefault="003E518F" w:rsidP="00FD5CD5">
            <w:pPr>
              <w:spacing w:after="0" w:line="240" w:lineRule="auto"/>
              <w:rPr>
                <w:rFonts w:ascii="Times New Roman" w:eastAsia="Times New Roman" w:hAnsi="Times New Roman" w:cs="Times New Roman"/>
                <w:b/>
                <w:bCs/>
                <w:sz w:val="24"/>
                <w:szCs w:val="24"/>
                <w:lang w:eastAsia="pl-PL"/>
              </w:rPr>
            </w:pPr>
          </w:p>
          <w:p w14:paraId="0B28CA62"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Art. 10</w:t>
            </w:r>
          </w:p>
          <w:p w14:paraId="36E8D902"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1DD9FF8A"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4F2D147E"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0F780AEE"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0B48082F"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656E9DA2"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5FA23048"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6C233197"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1D325C3A"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3008E5FA"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606B778B"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15D5F387"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4BEC4853"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429F8087"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7C1295DA"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700BD217"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1087ACFA"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4003A699"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671B02C3"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1245E21D"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1E001BE6"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053B0439"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441DC4FD"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451B0649"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38CCF955"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2A86116A"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7456D9AF" w14:textId="77777777" w:rsidR="00722B4C" w:rsidRPr="00FB76A9" w:rsidRDefault="00722B4C" w:rsidP="00FD5CD5">
            <w:pPr>
              <w:spacing w:after="0" w:line="240" w:lineRule="auto"/>
              <w:rPr>
                <w:rFonts w:ascii="Times New Roman" w:eastAsia="Times New Roman" w:hAnsi="Times New Roman" w:cs="Times New Roman"/>
                <w:b/>
                <w:bCs/>
                <w:sz w:val="24"/>
                <w:szCs w:val="24"/>
                <w:lang w:eastAsia="pl-PL"/>
              </w:rPr>
            </w:pPr>
          </w:p>
          <w:p w14:paraId="42EA0808" w14:textId="77777777" w:rsidR="003E518F" w:rsidRPr="00FB76A9" w:rsidRDefault="003E518F" w:rsidP="00FD5CD5">
            <w:pPr>
              <w:spacing w:after="0" w:line="240" w:lineRule="auto"/>
              <w:rPr>
                <w:rFonts w:ascii="Times New Roman" w:eastAsia="Times New Roman" w:hAnsi="Times New Roman" w:cs="Times New Roman"/>
                <w:b/>
                <w:bCs/>
                <w:sz w:val="24"/>
                <w:szCs w:val="24"/>
                <w:lang w:eastAsia="pl-PL"/>
              </w:rPr>
            </w:pPr>
          </w:p>
          <w:p w14:paraId="274305AE"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Art. 11</w:t>
            </w:r>
          </w:p>
          <w:p w14:paraId="513DB7D5"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47C23521"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007D0929"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p w14:paraId="57D51906" w14:textId="77777777" w:rsidR="00662094" w:rsidRPr="00FB76A9" w:rsidRDefault="00662094" w:rsidP="00FD5CD5">
            <w:pPr>
              <w:spacing w:after="0" w:line="240" w:lineRule="auto"/>
              <w:rPr>
                <w:rFonts w:ascii="Times New Roman" w:eastAsia="Times New Roman" w:hAnsi="Times New Roman" w:cs="Times New Roman"/>
                <w:b/>
                <w:bCs/>
                <w:sz w:val="24"/>
                <w:szCs w:val="24"/>
                <w:lang w:eastAsia="pl-PL"/>
              </w:rPr>
            </w:pPr>
          </w:p>
        </w:tc>
        <w:tc>
          <w:tcPr>
            <w:tcW w:w="5572" w:type="dxa"/>
            <w:tcBorders>
              <w:top w:val="single" w:sz="4" w:space="0" w:color="auto"/>
              <w:left w:val="single" w:sz="4" w:space="0" w:color="auto"/>
              <w:bottom w:val="single" w:sz="4" w:space="0" w:color="auto"/>
              <w:right w:val="single" w:sz="4" w:space="0" w:color="auto"/>
            </w:tcBorders>
          </w:tcPr>
          <w:p w14:paraId="252DDEB0" w14:textId="77777777" w:rsidR="00777DE4" w:rsidRPr="00FB76A9" w:rsidRDefault="00CF31F7"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bCs/>
                <w:sz w:val="24"/>
                <w:szCs w:val="24"/>
              </w:rPr>
              <w:t>„</w:t>
            </w:r>
            <w:r w:rsidR="00777DE4" w:rsidRPr="00FB76A9">
              <w:rPr>
                <w:rFonts w:ascii="Times New Roman" w:hAnsi="Times New Roman" w:cs="Times New Roman"/>
                <w:bCs/>
                <w:sz w:val="24"/>
                <w:szCs w:val="24"/>
              </w:rPr>
              <w:t>Art. 4</w:t>
            </w:r>
            <w:r w:rsidR="00662094" w:rsidRPr="00FB76A9">
              <w:rPr>
                <w:rFonts w:ascii="Times New Roman" w:hAnsi="Times New Roman" w:cs="Times New Roman"/>
                <w:bCs/>
                <w:sz w:val="24"/>
                <w:szCs w:val="24"/>
              </w:rPr>
              <w:t>.</w:t>
            </w:r>
            <w:r w:rsidR="00777DE4" w:rsidRPr="00FB76A9">
              <w:rPr>
                <w:rFonts w:ascii="Times New Roman" w:hAnsi="Times New Roman" w:cs="Times New Roman"/>
                <w:sz w:val="24"/>
                <w:szCs w:val="24"/>
              </w:rPr>
              <w:t xml:space="preserve">1. Producenci wykazują, że wszystkie nowe pojazdy wprowadzone do obrotu, zarejestrowane lub dopuszczone do ruchu oraz wszystkie nowe układy, komponenty i oddzielne zespoły techniczne wprowadzane do obrotu lub dopuszczone do ruchu posiadają homologację typu zgodnie z wymogami niniejszego rozporządzenia i aktów delegowanych oraz aktów wykonawczych przyjętych na jego podstawie. </w:t>
            </w:r>
          </w:p>
          <w:p w14:paraId="6BC4CD44"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2. Homologację typu zgodnie z regulaminami ONZ wymienionymi w załączniku I uznaje się za homologację typu UE zgodnie z wymogami niniejszego rozporządzenia i aktów delegowanych oraz aktów wykonawczych przyjętych na jego podstawie. </w:t>
            </w:r>
          </w:p>
          <w:p w14:paraId="7803A6E8"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3. Komisja jest uprawniona do przyjęcia aktów delegowanych zgodnie z art. 12 w celu zmiany załącznika I, aby uwzględnić postęp techniczny i zmiany regulacyjne poprzez wprowadzenie i aktualizację odniesień do regulaminów ONZ oraz odpowiednich serii poprawek, które stosuje się obowiązkowo. </w:t>
            </w:r>
          </w:p>
          <w:p w14:paraId="3F270034"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4. Producenci zapewniają, aby pojazdy były projektowane, konstruowane i montowane w sposób minimalizujący ryzyko obrażeń osób znajdujących się w pojeździe i niechronionych uczestników ruchu drogowego. </w:t>
            </w:r>
          </w:p>
          <w:p w14:paraId="563F9059"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5. Producenci zapewniają również, aby pojazdy, układy, komponenty i oddzielne zespoły techniczne były zgodne z odpowiednimi wymogami wymienionymi w załączniku II ze skutkiem od dat określonych w tym załączniku, ze szczegółowymi wymogami technicznymi i procedurami badań określonymi w aktach delegowanych, a także z jednolitymi procedurami i specyfikacjami technicznymi określonymi w aktach wykonawczych przyjętych na podstawie niniejszego rozporządzenia, w tym z wymogami odnoszącymi się do: </w:t>
            </w:r>
          </w:p>
          <w:p w14:paraId="5F918EC8"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a) urządzeń przytrzymujących, badań zderzenia, integralności układu paliwowego oraz bezpieczeństwa elektrycznego wysokiego napięcia; </w:t>
            </w:r>
          </w:p>
          <w:p w14:paraId="6E1F706F"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b) niechronionych uczestników ruchu drogowego, widzialności i widoczności; </w:t>
            </w:r>
          </w:p>
          <w:p w14:paraId="4729541A"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c) podwozia pojazdu, hamowania, opon i układu kierowniczego; </w:t>
            </w:r>
          </w:p>
          <w:p w14:paraId="178C3400"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d) przyrządów pokładowych, układu elektrycznego, oświetlenia pojazdu i zabezpieczenia przed nieuprawnionym użyciem, w tym cyberatakami; </w:t>
            </w:r>
          </w:p>
          <w:p w14:paraId="78B3B392"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e) zachowania kierowcy i funkcjonowania układów; oraz </w:t>
            </w:r>
          </w:p>
          <w:p w14:paraId="20FCE47F"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f) ogólnej budowy i właściwości pojazdu. </w:t>
            </w:r>
          </w:p>
          <w:p w14:paraId="20D6AABD"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6. Komisja jest uprawniona do przyjmowania aktów delegowanych zgodnie z art. 12 w celu zmiany załącznika II, aby uwzględnić postęp techniczny i zmiany regulacyjne, w szczególności w odniesieniu do kwestii wymienionych w ust. 5 lit. a)–f) niniejszego artykułu, jak również tych, o których mowa w art. 6 ust. 1 lit. a)–g), art. 7 ust. 2, 3, 4 i 5, art. 9 ust. 2, 3 i 5 oraz art. 11 ust. 1, oraz w celu zapewnienia wysokiego poziomu ogólnego bezpieczeństwa pojazdów, układów, komponentów i oddzielnych zespołów technicznych oraz wysokiego poziomu ochrony osób znajdujących się w pojeździe i niechronionych uczestników ruchu drogowego poprzez wprowadzenie i aktualizację odniesień do regulaminów ONZ, a także aktów delegowanych i aktów wykonawczych. </w:t>
            </w:r>
          </w:p>
          <w:p w14:paraId="6660DCE4"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7. Komisja przyjmuje w drodze aktów wykonawczych przepisy dotyczące jednolitych procedur i specyfikacji technicznych w zakresie homologacji typu pojazdów, układów, komponentów i oddzielnych zespołów technicznych w odniesieniu do wymogów wymienionych w załączniku II. </w:t>
            </w:r>
          </w:p>
          <w:p w14:paraId="2D06F491"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Te akty wykonawcze przyjmuje się zgodnie z procedurą sprawdzającą, o której mowa w art. 13 ust. 2. Publikuje się je co najmniej na 15 miesięcy przed mającymi zastosowanie datami określonymi w załączniku II.</w:t>
            </w:r>
            <w:r w:rsidR="00CF31F7" w:rsidRPr="00FB76A9">
              <w:rPr>
                <w:rFonts w:ascii="Times New Roman" w:hAnsi="Times New Roman" w:cs="Times New Roman"/>
                <w:sz w:val="24"/>
                <w:szCs w:val="24"/>
              </w:rPr>
              <w:t>”</w:t>
            </w:r>
            <w:r w:rsidRPr="00FB76A9">
              <w:rPr>
                <w:rFonts w:ascii="Times New Roman" w:hAnsi="Times New Roman" w:cs="Times New Roman"/>
                <w:sz w:val="24"/>
                <w:szCs w:val="24"/>
              </w:rPr>
              <w:t xml:space="preserve"> </w:t>
            </w:r>
          </w:p>
          <w:p w14:paraId="7EE11B11"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i/>
                <w:iCs/>
                <w:sz w:val="24"/>
                <w:szCs w:val="24"/>
              </w:rPr>
              <w:t xml:space="preserve"> </w:t>
            </w:r>
          </w:p>
          <w:p w14:paraId="1CD84474" w14:textId="77777777" w:rsidR="00777DE4" w:rsidRPr="00FB76A9" w:rsidRDefault="00CF31F7"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w:t>
            </w:r>
            <w:r w:rsidR="00662094" w:rsidRPr="00FB76A9">
              <w:rPr>
                <w:rFonts w:ascii="Times New Roman" w:hAnsi="Times New Roman" w:cs="Times New Roman"/>
                <w:sz w:val="24"/>
                <w:szCs w:val="24"/>
              </w:rPr>
              <w:t xml:space="preserve">Art. 5. </w:t>
            </w:r>
            <w:r w:rsidR="00777DE4" w:rsidRPr="00FB76A9">
              <w:rPr>
                <w:rFonts w:ascii="Times New Roman" w:hAnsi="Times New Roman" w:cs="Times New Roman"/>
                <w:sz w:val="24"/>
                <w:szCs w:val="24"/>
              </w:rPr>
              <w:t xml:space="preserve">1. Pojazdy muszą być wyposażone w precyzyjny system monitorowania ciśnienia w oponach, w różnych warunkach drogowych i środowiskowych, który jest w stanie uprzedzać kierowcę wewnątrz pojazdu o wystąpieniu spadku ciśnienia w oponie. </w:t>
            </w:r>
          </w:p>
          <w:p w14:paraId="2FC6D18F"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2. Systemy monitorowania ciśnienia w oponach są zaprojektowane w taki sposób, aby uniknąć zresetowania lub ponownej kalibracji przy niskim ciśnieniu opon. </w:t>
            </w:r>
          </w:p>
          <w:p w14:paraId="7962365C"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3. Wszystkie opony wprowadzone do obrotu muszą spełniać wymogi w zakresie bezpieczeństwa i efektywności środowiskowej określone w odpowiednich aktach regulacyjnych wymienionych w załączniku II. </w:t>
            </w:r>
          </w:p>
          <w:p w14:paraId="47CC5857"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4. Komisja przyjmuje w drodze aktów wykonawczych przepisy dotyczące jednolitych procedur i specyfikacji technicznych w zakresie: </w:t>
            </w:r>
          </w:p>
          <w:p w14:paraId="0565D142"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a) homologacji typu pojazdów w odniesieniu do ich systemów monitorowania ciśnienia w oponach; </w:t>
            </w:r>
          </w:p>
          <w:p w14:paraId="2E1987AD"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b) homologacji typu opon, włącznie ze specyfikacjami technicznymi dotyczącymi ich montażu. </w:t>
            </w:r>
          </w:p>
          <w:p w14:paraId="2476C241"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Te akty wykonawcze przyjmuje się zgodnie z procedurą sprawdzającą, o której mowa w art. 13 ust. 2. Publikuje się je co najmniej na 15 miesięcy przed mającymi zastosowanie datami, określonymi w załączniku II.</w:t>
            </w:r>
            <w:r w:rsidR="00CF31F7" w:rsidRPr="00FB76A9">
              <w:rPr>
                <w:rFonts w:ascii="Times New Roman" w:hAnsi="Times New Roman" w:cs="Times New Roman"/>
                <w:sz w:val="24"/>
                <w:szCs w:val="24"/>
              </w:rPr>
              <w:t>”</w:t>
            </w:r>
          </w:p>
          <w:p w14:paraId="7B06F93F" w14:textId="77777777" w:rsidR="00907BD7" w:rsidRPr="00FB76A9" w:rsidRDefault="00907BD7" w:rsidP="00FD5CD5">
            <w:pPr>
              <w:autoSpaceDE w:val="0"/>
              <w:autoSpaceDN w:val="0"/>
              <w:adjustRightInd w:val="0"/>
              <w:spacing w:after="0" w:line="240" w:lineRule="auto"/>
              <w:rPr>
                <w:rFonts w:ascii="Times New Roman" w:hAnsi="Times New Roman" w:cs="Times New Roman"/>
                <w:sz w:val="24"/>
                <w:szCs w:val="24"/>
              </w:rPr>
            </w:pPr>
          </w:p>
          <w:p w14:paraId="5594EA95" w14:textId="77777777" w:rsidR="00777DE4" w:rsidRPr="00FB76A9" w:rsidRDefault="00CF31F7"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bCs/>
                <w:sz w:val="24"/>
                <w:szCs w:val="24"/>
              </w:rPr>
              <w:t>„</w:t>
            </w:r>
            <w:r w:rsidR="00662094" w:rsidRPr="00FB76A9">
              <w:rPr>
                <w:rFonts w:ascii="Times New Roman" w:hAnsi="Times New Roman" w:cs="Times New Roman"/>
                <w:bCs/>
                <w:sz w:val="24"/>
                <w:szCs w:val="24"/>
              </w:rPr>
              <w:t xml:space="preserve">Art. 6. </w:t>
            </w:r>
            <w:r w:rsidR="00777DE4" w:rsidRPr="00FB76A9">
              <w:rPr>
                <w:rFonts w:ascii="Times New Roman" w:hAnsi="Times New Roman" w:cs="Times New Roman"/>
                <w:sz w:val="24"/>
                <w:szCs w:val="24"/>
              </w:rPr>
              <w:t xml:space="preserve">1. Pojazdy silnikowe muszą być wyposażone w następujące zaawansowane układy pojazdów: </w:t>
            </w:r>
          </w:p>
          <w:p w14:paraId="4CF84A58"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a) inteligentny asystent kontroli prędkości; </w:t>
            </w:r>
          </w:p>
          <w:p w14:paraId="6C48E13E"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b) ułatwienia w zakresie montażu alkomatów blokujących zapłon; </w:t>
            </w:r>
          </w:p>
          <w:p w14:paraId="42F5E81B"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c) ostrzeganie o senności i spadku poziomu uwagi kierowcy; </w:t>
            </w:r>
          </w:p>
          <w:p w14:paraId="6ED632E4"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d) zaawansowany system ostrzegania o rozproszeniu uwagi kierowcy; </w:t>
            </w:r>
          </w:p>
          <w:p w14:paraId="2A6B41ED"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e) awaryjny sygnał stopu; </w:t>
            </w:r>
          </w:p>
          <w:p w14:paraId="6FCCE68E"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f) wykrywanie obiektów przy cofaniu; oraz </w:t>
            </w:r>
          </w:p>
          <w:p w14:paraId="22B5BE0A"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g) rejestrator danych na temat zdarzeń. </w:t>
            </w:r>
          </w:p>
          <w:p w14:paraId="31484134"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2. Inteligentny asystent kontroli prędkości musi być zgodny z następującymi minimalnymi wymogami: </w:t>
            </w:r>
          </w:p>
          <w:p w14:paraId="3BFA2AE1"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a) kierowca musi mieć możliwość uzyskania informacji za pośrednictwem urządzenia sterującego przyspieszeniem lub specjalnych i odpowiednich informacji zwrotnych, że mający zastosowanie limit prędkości został przekroczony; </w:t>
            </w:r>
          </w:p>
          <w:p w14:paraId="074BBC0E"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b) istnieje możliwość wyłączenia systemu;. informacje o ograniczeniu prędkości mogą być nadal dostarczane, a inteligentny asystent kontroli prędkości działa w normalnym trybie pracy przy każdym uruchomieniu głównego wyłącznika pojazdu; </w:t>
            </w:r>
          </w:p>
          <w:p w14:paraId="7F7A0F0B"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c) specjalne odpowiednie informacje zwrotne opierają się na informacjach na temat ograniczeń prędkości uzyskiwanych poprzez obserwację znaków drogowych i sygnałów, w oparciu o udostępnione w pojeździe sygnały infrastruktury lub dane z map elektronicznych, lub połączenie obu tych sposobów; </w:t>
            </w:r>
          </w:p>
          <w:p w14:paraId="08A00E6A"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d) nie wpływają na możliwość przekroczenia przez kierowców sugerowanej przez system prędkości pojazdu; </w:t>
            </w:r>
          </w:p>
          <w:p w14:paraId="7F559DE5"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e) docelowe parametry skuteczności działania określa się w celu uniknięcia lub zminimalizowania poziomu błędu w rzeczywistych warunkach jazdy. </w:t>
            </w:r>
          </w:p>
          <w:p w14:paraId="12974C89"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3. Systemy ostrzegania o senności i spadku poziomu uwagi kierowcy oraz zaawansowane systemy ostrzegania o rozproszeniu uwagi kierowcy są zaprojektowane w taki sposób, by nie prowadziły ciągłego zapisu ani nie zatrzymywały żadnych danych innych niż dane niezbędne do celów, do których zostały zebrane lub w inny sposób przetworzone w systemie obiegu zamkniętego. Ponadto dane te nie mogą być dostępne ani udostępniane stronom trzecim w żadnym momencie i muszą być usuwane niezwłocznie po przetworzeniu. Systemy te są również projektowane tak, by ich działanie nie nakładało się na siebie, i nie mogą dawać kierowcy wskazówek niezależnych i równoczesnych ani wprowadzać go w błąd, w razie gdy jedno działanie powoduje uruchomienie obu systemów. </w:t>
            </w:r>
          </w:p>
          <w:p w14:paraId="515FDE70"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4. Rejestratory danych na temat zdarzeń muszą w szczególności spełniać następujące wymogi: </w:t>
            </w:r>
          </w:p>
          <w:p w14:paraId="65E55124"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a) dane, które rejestratory są w stanie rejestrować i przechowywać w odniesieniu do czasu tuż przed zderzeniem, w trakcie zderzenia i niezwłocznie po zderzeniu, obejmują prędkość pojazdu, hamowanie, pozycję i nachylenie pojazdu na drodze, stan i szybkość uruchomienia wszystkich systemów bezpieczeństwa pojazdu, systemu pokładowego eCall opartego na numerze 112, uruchomienie hamulców oraz istotne parametry wejściowe dotyczące pokładowych systemów bezpieczeństwa czynnego i zapobiegania wypadkom, przy wysokiej dokładności danych i zapewnieniu ich przetrwania; </w:t>
            </w:r>
          </w:p>
          <w:p w14:paraId="2966C5D8"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b) nie ma możliwości wyłączenia urządzeń; </w:t>
            </w:r>
          </w:p>
          <w:p w14:paraId="66C0BB4B"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c) metody rejestrowania i przechowywania danych zapewniają: </w:t>
            </w:r>
          </w:p>
          <w:p w14:paraId="0ADE258F"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(i) działanie rejestratorów w systemie układu zamkniętego; </w:t>
            </w:r>
          </w:p>
          <w:p w14:paraId="0753955A"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(ii) anonimizację zgromadzonych danych i ich ochronę przed manipulacją i niewłaściwym użyciem; oraz </w:t>
            </w:r>
          </w:p>
          <w:p w14:paraId="2C954C3A"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(iii) zgromadzone dane umożliwiają dokładną identyfikację typu, wariantu i wersji pojazdu, w szczególności systemów czynnego bezpieczeństwa i zapobiegania wypadkom, zamontowanych w pojeździe; oraz </w:t>
            </w:r>
          </w:p>
          <w:p w14:paraId="769A1F30"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d) dane, które rejestratory są w stanie rejestrować mogą być udostępniane organom krajowym na mocy prawa unijnego lub krajowego wyłącznie do badań i analiz dotyczących wypadków, w tym do celów homologacji typu systemów i komponentów oraz zgodnie z rozporządzeniem (UE) 2016/679, z wykorzystaniem standardowego interfejsu. </w:t>
            </w:r>
          </w:p>
          <w:p w14:paraId="11AB77A4"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5. Rejestrator danych na temat zdarzeń nie może być w stanie rejestrować i przechowywać ostatnich czterech cyfr członu identyfikującego pojazd numeru identyfikacyjnego pojazdu ani żadnych innych informacji potencjalnie umożliwiających identyfikację samego pojazdu, jego właściciela lub użytkownika. </w:t>
            </w:r>
          </w:p>
          <w:p w14:paraId="7A198426"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6. Komisja przyjmuje akty delegowane zgodnie z art. 12, uzupełniające niniejsze rozporządzenie o szczegółowe przepisy dotyczące konkretnych procedur badań i wymogów technicznych w zakresie: </w:t>
            </w:r>
          </w:p>
          <w:p w14:paraId="3FEFA123"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a) homologacji typu pojazdów w odniesieniu do zaawansowanych układów pojazdów, o których mowa w ust. 1; </w:t>
            </w:r>
          </w:p>
          <w:p w14:paraId="670594F4"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b) homologacji typu zaawansowanych układów pojazdów, o których mowa w ust. 1 lit. a), f) i g) jako oddzielnych zespołów technicznych. </w:t>
            </w:r>
          </w:p>
          <w:p w14:paraId="5C303B4A" w14:textId="77777777" w:rsidR="00777DE4" w:rsidRPr="00FB76A9" w:rsidRDefault="00777DE4" w:rsidP="00FD5CD5">
            <w:pPr>
              <w:autoSpaceDE w:val="0"/>
              <w:autoSpaceDN w:val="0"/>
              <w:adjustRightInd w:val="0"/>
              <w:spacing w:after="0" w:line="240" w:lineRule="auto"/>
              <w:rPr>
                <w:rFonts w:ascii="Times New Roman" w:hAnsi="Times New Roman" w:cs="Times New Roman"/>
                <w:b/>
                <w:bCs/>
                <w:sz w:val="24"/>
                <w:szCs w:val="24"/>
              </w:rPr>
            </w:pPr>
            <w:r w:rsidRPr="00FB76A9">
              <w:rPr>
                <w:rFonts w:ascii="Times New Roman" w:hAnsi="Times New Roman" w:cs="Times New Roman"/>
                <w:sz w:val="24"/>
                <w:szCs w:val="24"/>
              </w:rPr>
              <w:t>Te akty delegowane publikuje się na co najmniej 15 miesięcy przed mającymi zastosowanie datami określonymi w załączniku II.</w:t>
            </w:r>
            <w:r w:rsidR="00CF31F7" w:rsidRPr="00FB76A9">
              <w:rPr>
                <w:rFonts w:ascii="Times New Roman" w:hAnsi="Times New Roman" w:cs="Times New Roman"/>
                <w:sz w:val="24"/>
                <w:szCs w:val="24"/>
              </w:rPr>
              <w:t>”</w:t>
            </w:r>
          </w:p>
          <w:p w14:paraId="415F803E" w14:textId="77777777" w:rsidR="00662094" w:rsidRPr="00FB76A9" w:rsidRDefault="00662094" w:rsidP="00FD5CD5">
            <w:pPr>
              <w:autoSpaceDE w:val="0"/>
              <w:autoSpaceDN w:val="0"/>
              <w:adjustRightInd w:val="0"/>
              <w:spacing w:after="0" w:line="240" w:lineRule="auto"/>
              <w:rPr>
                <w:rFonts w:ascii="Times New Roman" w:hAnsi="Times New Roman" w:cs="Times New Roman"/>
                <w:sz w:val="24"/>
                <w:szCs w:val="24"/>
              </w:rPr>
            </w:pPr>
          </w:p>
          <w:p w14:paraId="07C795C1" w14:textId="77777777" w:rsidR="00777DE4" w:rsidRPr="00FB76A9" w:rsidRDefault="00CF31F7"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w:t>
            </w:r>
            <w:r w:rsidR="00662094" w:rsidRPr="00FB76A9">
              <w:rPr>
                <w:rFonts w:ascii="Times New Roman" w:hAnsi="Times New Roman" w:cs="Times New Roman"/>
                <w:sz w:val="24"/>
                <w:szCs w:val="24"/>
              </w:rPr>
              <w:t xml:space="preserve">Art. 7. </w:t>
            </w:r>
            <w:r w:rsidR="00777DE4" w:rsidRPr="00FB76A9">
              <w:rPr>
                <w:rFonts w:ascii="Times New Roman" w:hAnsi="Times New Roman" w:cs="Times New Roman"/>
                <w:sz w:val="24"/>
                <w:szCs w:val="24"/>
              </w:rPr>
              <w:t xml:space="preserve">1. Oprócz innych wymogów niniejszego rozporządzenia oraz aktów delegowanych i wykonawczych przyjętych na jego podstawie, które mają również zastosowanie do pojazdów kategorii M 1 i N 1 , pojazdy tych kategorii spełniają wymogi określone w ust. 2–5 oraz specyfikacje techniczne określone w aktach wykonawczych, o których mowa w ust. 6. </w:t>
            </w:r>
          </w:p>
          <w:p w14:paraId="0EC8CEAE"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2. Pojazdy kategorii M 1 i N 1 muszą być wyposażone w zaawansowane systemy hamowania awaryjnego zaprojektowane i zainstalowane w dwóch fazach oraz zapewniające: </w:t>
            </w:r>
          </w:p>
          <w:p w14:paraId="48AD9A37"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a) wykrywanie przeszkód i pojazdów w ruchu znajdujących się przed pojazdem silnikowym w pierwszej fazie; </w:t>
            </w:r>
          </w:p>
          <w:p w14:paraId="470201E1"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b) rozszerzenie zdolności wykrywania, o których mowa w lit. a) tak aby obejmowała ona również pieszych i rowerzystów znajdujących się przed pojazdem silnikowym w drugiej fazie. </w:t>
            </w:r>
          </w:p>
          <w:p w14:paraId="330EDCAC"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3. Pojazdy kategorii M 1 i N 1 muszą być również wyposażone w system awaryjnego utrzymywania pojazdu na pasie ruchu. </w:t>
            </w:r>
          </w:p>
          <w:p w14:paraId="5C347458"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4. Zaawansowane systemy hamowania awaryjnego oraz awaryjnego utrzymywania pojazdu na pasie ruchu muszą w szczególności spełniać następujące wymogi: </w:t>
            </w:r>
          </w:p>
          <w:p w14:paraId="63604735"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a) musi być możliwe wyłączenie jednorazowo tylko jednego z systemów poprzez przeprowadzenie przez kierowcę sekwencji czynności. </w:t>
            </w:r>
          </w:p>
          <w:p w14:paraId="7F98A407"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b) systemy muszą znajdować się w normalnym trybie pracy przy każdym uruchomieniu głównego wyłącznika pojazdu; </w:t>
            </w:r>
          </w:p>
          <w:p w14:paraId="1DD99057"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c) musi istnieć możliwość łatwego wyłączenia ostrzeżeń dźwiękowych, przy czym takie działanie nie może jednocześnie wyłączyć funkcji systemu innych niż ostrzeżenia dźwiękowe; </w:t>
            </w:r>
          </w:p>
          <w:p w14:paraId="3E830D62"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d) kierowca musi mieć możliwość zignorowania działania takich systemów. </w:t>
            </w:r>
          </w:p>
          <w:p w14:paraId="44A52FC9"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5. Pojazdy kategorii M 1 i N 1 należy projektować i konstruować w taki sposób, aby umożliwić powiększenie strefy zabezpieczenia przed uderzeniem głową w celu zwiększenia ochrony niechronionych uczestników ruchu drogowego i złagodzenia ich potencjalnych obrażeń w przypadku zderzenia. </w:t>
            </w:r>
          </w:p>
          <w:p w14:paraId="1026FAEE"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6. Komisja przyjmuje w drodze aktów wykonawczych przepisy dotyczące jednolitych procedur i specyfikacji technicznych w zakresie homologacji typu pojazdów w odniesieniu do wymogów określonych w ust. 2–5 niniejszego artykułu. </w:t>
            </w:r>
          </w:p>
          <w:p w14:paraId="427525D2"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Te akty wykonawcze przyjmuje się zgodnie z procedurą sprawdzającą, o której mowa w art. 13 ust. 2. Publikuje się je co najmniej na 15 miesięcy przed mającymi zastosowanie datami określonymi w załączniku II.</w:t>
            </w:r>
            <w:r w:rsidR="00CF31F7" w:rsidRPr="00FB76A9">
              <w:rPr>
                <w:rFonts w:ascii="Times New Roman" w:hAnsi="Times New Roman" w:cs="Times New Roman"/>
                <w:sz w:val="24"/>
                <w:szCs w:val="24"/>
              </w:rPr>
              <w:t>”</w:t>
            </w:r>
          </w:p>
          <w:p w14:paraId="2338CD52" w14:textId="77777777" w:rsidR="00777DE4" w:rsidRPr="00FB76A9" w:rsidRDefault="00777DE4" w:rsidP="00FD5CD5">
            <w:pPr>
              <w:pageBreakBefore/>
              <w:autoSpaceDE w:val="0"/>
              <w:autoSpaceDN w:val="0"/>
              <w:adjustRightInd w:val="0"/>
              <w:spacing w:after="0" w:line="240" w:lineRule="auto"/>
              <w:rPr>
                <w:rFonts w:ascii="Times New Roman" w:hAnsi="Times New Roman" w:cs="Times New Roman"/>
                <w:sz w:val="24"/>
                <w:szCs w:val="24"/>
              </w:rPr>
            </w:pPr>
          </w:p>
          <w:p w14:paraId="55298912" w14:textId="77777777" w:rsidR="00777DE4" w:rsidRPr="00FB76A9" w:rsidRDefault="00CF31F7"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w:t>
            </w:r>
            <w:r w:rsidR="00662094" w:rsidRPr="00FB76A9">
              <w:rPr>
                <w:rFonts w:ascii="Times New Roman" w:hAnsi="Times New Roman" w:cs="Times New Roman"/>
                <w:sz w:val="24"/>
                <w:szCs w:val="24"/>
              </w:rPr>
              <w:t xml:space="preserve">Art. 8. </w:t>
            </w:r>
            <w:r w:rsidR="00777DE4" w:rsidRPr="00FB76A9">
              <w:rPr>
                <w:rFonts w:ascii="Times New Roman" w:hAnsi="Times New Roman" w:cs="Times New Roman"/>
                <w:sz w:val="24"/>
                <w:szCs w:val="24"/>
              </w:rPr>
              <w:t xml:space="preserve">1. Przednie układy zabezpieczające, zamontowane jako oryginalne wyposażenie w pojazdach kategorii M 1 i N 1 lub udostępniane na rynku jako oddzielne zespoły techniczne dla takich pojazdów, muszą spełniać wymogi określone w ust. 2 i odpowiadać specyfikacjom technicznym określonym w aktach wykonawczych, o których mowa w ust. 3. </w:t>
            </w:r>
          </w:p>
          <w:p w14:paraId="357C5FEA"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2. Do przednich układów zabezpieczających udostępnianych na rynku jako oddzielne zespoły techniczne należy dołączyć szczegółowy wykaz typów, wariantów i wersji pojazdu, w odniesieniu do których dany przedni układ zabezpieczający otrzymał homologację typu, jak również zrozumiałe instrukcje montażu. </w:t>
            </w:r>
          </w:p>
          <w:p w14:paraId="7F786ED1"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3. Komisja przyjmuje w drodze aktów wykonawczych przepisy dotyczące jednolitych procedur i specyfikacji technicznych w zakresie homologacji typu przednich układów zabezpieczających, w tym specyfikacji technicznych dotyczących ich konstrukcji i instalacji. </w:t>
            </w:r>
          </w:p>
          <w:p w14:paraId="4A404DD3"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Te akty wykonawcze przyjmuje się zgodnie z procedurą sprawdzającą, o której mowa w art. 13 ust. 2. Publikuje się je co najmniej na 15 miesięcy przed mającymi zastosowanie datami określonymi w załączniku II.</w:t>
            </w:r>
            <w:r w:rsidR="00CF31F7" w:rsidRPr="00FB76A9">
              <w:rPr>
                <w:rFonts w:ascii="Times New Roman" w:hAnsi="Times New Roman" w:cs="Times New Roman"/>
                <w:sz w:val="24"/>
                <w:szCs w:val="24"/>
              </w:rPr>
              <w:t>”</w:t>
            </w:r>
          </w:p>
          <w:p w14:paraId="1FF661E9" w14:textId="77777777" w:rsidR="00662094" w:rsidRPr="00FB76A9" w:rsidRDefault="00662094" w:rsidP="00FD5CD5">
            <w:pPr>
              <w:autoSpaceDE w:val="0"/>
              <w:autoSpaceDN w:val="0"/>
              <w:adjustRightInd w:val="0"/>
              <w:spacing w:after="0" w:line="240" w:lineRule="auto"/>
              <w:rPr>
                <w:rFonts w:ascii="Times New Roman" w:hAnsi="Times New Roman" w:cs="Times New Roman"/>
                <w:i/>
                <w:iCs/>
                <w:sz w:val="24"/>
                <w:szCs w:val="24"/>
              </w:rPr>
            </w:pPr>
          </w:p>
          <w:p w14:paraId="4A16DB58" w14:textId="77777777" w:rsidR="00777DE4" w:rsidRPr="00FB76A9" w:rsidRDefault="00CF31F7"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w:t>
            </w:r>
            <w:r w:rsidR="00662094" w:rsidRPr="00FB76A9">
              <w:rPr>
                <w:rFonts w:ascii="Times New Roman" w:hAnsi="Times New Roman" w:cs="Times New Roman"/>
                <w:sz w:val="24"/>
                <w:szCs w:val="24"/>
              </w:rPr>
              <w:t xml:space="preserve">Art. 9. </w:t>
            </w:r>
            <w:r w:rsidR="00777DE4" w:rsidRPr="00FB76A9">
              <w:rPr>
                <w:rFonts w:ascii="Times New Roman" w:hAnsi="Times New Roman" w:cs="Times New Roman"/>
                <w:sz w:val="24"/>
                <w:szCs w:val="24"/>
              </w:rPr>
              <w:t xml:space="preserve">1. Oprócz innych wymogów niniejszego rozporządzenia oraz aktów delegowanych i wykonawczych przyjętych na jego podstawie, które mają również zastosowanie do pojazdów kategorii M 2 , M 3 , N 2 i N 3 , pojazdy tych kategorii spełniają wymogi określone w ust. 2–5 i w specyfikacjach technicznych ustanowionych w aktach wykonawczych, o których mowa w ust. 7. Pojazdy kategorii M 2 i M 3 muszą również spełniać wymóg określony w ust. 6. </w:t>
            </w:r>
          </w:p>
          <w:p w14:paraId="69E9A58B"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2. Pojazdy kategorii M 2 , M 3 , N 2 i N 3 muszą być wyposażone w system ostrzegania przed niezamierzoną zmianą pasa ruchu i zaawansowany system hamowania awaryjnego, które są zgodne ze specyfikacjami technicznymi określonymi w aktach wykonawczych, o których mowa w ust. 7. </w:t>
            </w:r>
          </w:p>
          <w:p w14:paraId="4380B8E3"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3. Pojazdy kategorii M 2 , M 3 , N 2 i N 3 muszą być wyposażone w zaawansowane systemy, które są zdolne do wykrywania pieszych i rowerzystów znajdujących się w ich pobliżu z przodu lub obok pojazdu oraz przekazujące ostrzeżenia lub umożliwiające uniknięcie zderzenia z tymi niechronionymi uczestnikami ruchu drogowego. </w:t>
            </w:r>
          </w:p>
          <w:p w14:paraId="3C41ABD1"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4. Systemy, o których mowa w ust. 2 i 3, spełniają w szczególności następujące wymogi: </w:t>
            </w:r>
          </w:p>
          <w:p w14:paraId="3E69321D"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a) musi być możliwe wyłączenie jednorazowo tylko takich systemów poprzez przeprowadzenie przez kierowcę sekwencji czynności. </w:t>
            </w:r>
          </w:p>
          <w:p w14:paraId="64B45D6C"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b) systemy muszą znajdować się w normalnym trybie pracy przy każdym uruchomieniu głównego wyłącznika pojazdu; </w:t>
            </w:r>
          </w:p>
          <w:p w14:paraId="7670DEBC"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c) musi istnieć możliwość łatwego wyłączenia ostrzeżeń dźwiękowych, przy czym takie działanie nie może jednocześnie wyłączyć funkcji systemu innych niż ostrzeżenia dźwiękowe. </w:t>
            </w:r>
          </w:p>
          <w:p w14:paraId="631DBEB7"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d) kierowca musi mieć możliwość zignorowania działania takich systemów. </w:t>
            </w:r>
          </w:p>
          <w:p w14:paraId="072A6C65"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5. Pojazdy kategorii M 2 , M 3 , N 2 i N 3 należy projektować i konstruować w taki sposób, aby zwiększyć bezpośrednią widoczność niechronionych uczestników ruchu drogowego z fotela kierowcy, ograniczając w jak największym zakresie martwe pola przed kierowcą i po jego bokach, przy jednoczesnym uwzględnieniu charakterystyki różnych kategorii pojazdów. </w:t>
            </w:r>
          </w:p>
          <w:p w14:paraId="018D001D"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6. Pojazdy kategorii M 2 i M 3 mogące przewozić więcej niż 22 pasażerów, nie licząc kierowcy, o konstrukcji obejmującej miejsca dla stojących pasażerów, umożliwiającej ich częste przemieszczanie się, należy projektować i konstruować w taki sposób, aby były dostępne dla osób o ograniczonej możliwości poruszania się, w tym dla użytkowników wózków inwalidzkich. </w:t>
            </w:r>
          </w:p>
          <w:p w14:paraId="194A0C77"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7. Komisja przyjmuje w drodze aktów wykonawczych przepisy dotyczące jednolitych procedur i specyfikacji technicznych w zakresie: </w:t>
            </w:r>
          </w:p>
          <w:p w14:paraId="48CCDFFD"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a) homologacji typu pojazdów w odniesieniu do wymogów określonych w ust. 2–5 niniejszego artykułu; </w:t>
            </w:r>
          </w:p>
          <w:p w14:paraId="76B9B912"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b) homologacji typu układów, o których mowa w ust. 3 niniejszego artykułu, jako oddzielnych zespołów technicznych. </w:t>
            </w:r>
          </w:p>
          <w:p w14:paraId="4DFDED10"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Te akty wykonawcze przyjmuje się zgodnie z procedurą sprawdzającą, o której mowa w art. 13 ust. 2. </w:t>
            </w:r>
          </w:p>
          <w:p w14:paraId="217C4CAA"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Jeżeli te akty wykonawcze dotyczą wymogów określonych w ust. 2, 3 i 4 niniejszego artykułu, publikuje się je na co najmniej 15 miesięcy przed mającymi zastosowanie datami określonymi w załączniku II. </w:t>
            </w:r>
          </w:p>
          <w:p w14:paraId="3895E508"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Jeżeli te akty wykonawcze dotyczą wymogów określonych w ust. 5 niniejszego artykułu, publikuje się je na co najmniej 36 miesięcy przed mającymi zastosowanie datami określonymi w załączniku II.</w:t>
            </w:r>
            <w:r w:rsidR="00CF31F7" w:rsidRPr="00FB76A9">
              <w:rPr>
                <w:rFonts w:ascii="Times New Roman" w:hAnsi="Times New Roman" w:cs="Times New Roman"/>
                <w:sz w:val="24"/>
                <w:szCs w:val="24"/>
              </w:rPr>
              <w:t>”</w:t>
            </w:r>
          </w:p>
          <w:p w14:paraId="6980447D" w14:textId="77777777" w:rsidR="00907BD7" w:rsidRPr="00FB76A9" w:rsidRDefault="00907BD7" w:rsidP="00FD5CD5">
            <w:pPr>
              <w:autoSpaceDE w:val="0"/>
              <w:autoSpaceDN w:val="0"/>
              <w:adjustRightInd w:val="0"/>
              <w:spacing w:after="0" w:line="240" w:lineRule="auto"/>
              <w:rPr>
                <w:rFonts w:ascii="Times New Roman" w:hAnsi="Times New Roman" w:cs="Times New Roman"/>
                <w:sz w:val="24"/>
                <w:szCs w:val="24"/>
              </w:rPr>
            </w:pPr>
          </w:p>
          <w:p w14:paraId="78D04E6B" w14:textId="77777777" w:rsidR="00777DE4" w:rsidRPr="00FB76A9" w:rsidRDefault="00CF31F7"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iCs/>
                <w:sz w:val="24"/>
                <w:szCs w:val="24"/>
              </w:rPr>
              <w:t>„</w:t>
            </w:r>
            <w:r w:rsidR="00662094" w:rsidRPr="00FB76A9">
              <w:rPr>
                <w:rFonts w:ascii="Times New Roman" w:hAnsi="Times New Roman" w:cs="Times New Roman"/>
                <w:iCs/>
                <w:sz w:val="24"/>
                <w:szCs w:val="24"/>
              </w:rPr>
              <w:t xml:space="preserve">Art. 10. </w:t>
            </w:r>
            <w:r w:rsidR="00777DE4" w:rsidRPr="00FB76A9">
              <w:rPr>
                <w:rFonts w:ascii="Times New Roman" w:hAnsi="Times New Roman" w:cs="Times New Roman"/>
                <w:sz w:val="24"/>
                <w:szCs w:val="24"/>
              </w:rPr>
              <w:t xml:space="preserve">1. Oprócz innych wymogów niniejszego rozporządzenia oraz aktów delegowanych i wykonawczych przyjętych na jego podstawie, które mają również zastosowanie do pojazdów kategorii M i N, pojazdy napędzane wodorem należące do tych kategorii, ich instalacje wodorowe i komponenty takich instalacji są zgodne ze specyfikacjami technicznymi określonymi w aktach wykonawczych, o których mowa w ust. 3. </w:t>
            </w:r>
          </w:p>
          <w:p w14:paraId="6A5D44FF"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2. Producenci zapewniają, aby instalacje wodorowe i komponenty wodorowe były instalowane zgodnie ze specyfikacjami technicznymi określonymi w aktach wykonawczych, o których mowa w ust. 3. W razie konieczności producenci udostępniają informacje do celów kontroli instalacji i komponentów wodorowych w okresie użytkowania pojazdów napędzanych wodorem. </w:t>
            </w:r>
          </w:p>
          <w:p w14:paraId="172CDAA8"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3. Komisja przyjmuje w drodze aktów wykonawczych przepisy dotyczące jednolitych procedur i specyfikacji technicznych w zakresie homologacji typu pojazdów napędzanych wodorem w odniesieniu do ich instalacji wodorowych, w tym tych dotyczących kompatybilności materiałowej i gniazd tankowania oraz homologacji typu komponentów wodorowych, w tym specyfikacji technicznych dotyczących ich montażu. </w:t>
            </w:r>
          </w:p>
          <w:p w14:paraId="2ECD27B7"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Te akty wykonawcze przyjmuje się zgodnie z procedurą sprawdzającą, o której mowa w art. 13 ust. 2. Publikuje się je na co najmniej na 15 miesięcy przed mającymi zastosowanie datami określonymi w załączniku II.</w:t>
            </w:r>
            <w:r w:rsidR="00CF31F7" w:rsidRPr="00FB76A9">
              <w:rPr>
                <w:rFonts w:ascii="Times New Roman" w:hAnsi="Times New Roman" w:cs="Times New Roman"/>
                <w:sz w:val="24"/>
                <w:szCs w:val="24"/>
              </w:rPr>
              <w:t>”</w:t>
            </w:r>
          </w:p>
          <w:p w14:paraId="0F79524D" w14:textId="77777777" w:rsidR="00662094" w:rsidRPr="00FB76A9" w:rsidRDefault="00662094" w:rsidP="00FD5CD5">
            <w:pPr>
              <w:autoSpaceDE w:val="0"/>
              <w:autoSpaceDN w:val="0"/>
              <w:adjustRightInd w:val="0"/>
              <w:spacing w:after="0" w:line="240" w:lineRule="auto"/>
              <w:rPr>
                <w:rFonts w:ascii="Times New Roman" w:hAnsi="Times New Roman" w:cs="Times New Roman"/>
                <w:sz w:val="24"/>
                <w:szCs w:val="24"/>
              </w:rPr>
            </w:pPr>
          </w:p>
          <w:p w14:paraId="3C571E01" w14:textId="77777777" w:rsidR="00777DE4" w:rsidRPr="00FB76A9" w:rsidRDefault="00CF31F7"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w:t>
            </w:r>
            <w:r w:rsidR="00662094" w:rsidRPr="00FB76A9">
              <w:rPr>
                <w:rFonts w:ascii="Times New Roman" w:hAnsi="Times New Roman" w:cs="Times New Roman"/>
                <w:sz w:val="24"/>
                <w:szCs w:val="24"/>
              </w:rPr>
              <w:t>Art. 11.</w:t>
            </w:r>
            <w:r w:rsidR="00777DE4" w:rsidRPr="00FB76A9">
              <w:rPr>
                <w:rFonts w:ascii="Times New Roman" w:hAnsi="Times New Roman" w:cs="Times New Roman"/>
                <w:sz w:val="24"/>
                <w:szCs w:val="24"/>
              </w:rPr>
              <w:t xml:space="preserve">1. Oprócz innych wymogów niniejszego rozporządzenia oraz aktów delegowanych i wykonawczych przyjętych na jego podstawie, które mają zastosowanie do pojazdów odpowiednich kategorii, pojazdy zautomatyzowane i pojazdy w pełni zautomatyzowane muszą być zgodne ze specyfikacjami technicznymi określonymi w aktach wykonawczych, o których mowa w ust. 2, które dotyczą: </w:t>
            </w:r>
          </w:p>
          <w:p w14:paraId="7526D185"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a) układów zastępujących panowanie kierowcy nad pojazdem, w tym urządzeń sygnalizacyjnych, układu kierowniczego, przyspieszania i hamowania; </w:t>
            </w:r>
          </w:p>
          <w:p w14:paraId="6D40CE41"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b) układów dostarczających pojazdowi w czasie rzeczywistym informacji o stanie pojazdu i jego otoczenia; </w:t>
            </w:r>
          </w:p>
          <w:p w14:paraId="6A358607"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c) systemów monitorowania dostępności kierowcy; </w:t>
            </w:r>
          </w:p>
          <w:p w14:paraId="2263A278"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d) rejestratorów danych na temat zdarzeń w pojazdach zautomatyzowanych; </w:t>
            </w:r>
          </w:p>
          <w:p w14:paraId="635CACF5"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e) zharmonizowanego formatu wymiany danych, na przykład w odniesieniu do jazdy w kolumnie pojazdów różnych marek; </w:t>
            </w:r>
          </w:p>
          <w:p w14:paraId="75642B43"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f) systemów przekazujących innym użytkownikom dróg informacje dotyczące bezpieczeństwa. </w:t>
            </w:r>
          </w:p>
          <w:p w14:paraId="1EDC97A3"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Jednakże te specyfikacje techniczne odnoszące się do systemu monitorowania dostępności kierowcy, o którym mowa w akapicie pierwszym lit. c), nie mają zastosowania do pojazdów w pełni zautomatyzowanych. </w:t>
            </w:r>
          </w:p>
          <w:p w14:paraId="0FB20A15" w14:textId="77777777" w:rsidR="00777DE4" w:rsidRPr="00FB76A9" w:rsidRDefault="00777DE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2. Komisja przyjmuje w drodze aktów wykonawczych przepisy dotyczące jednolitych procedur i specyfikacji technicznych dotyczących układów i innych pozycji wymienionych w ust. 1 lit. a)–f) niniejszego artykułu oraz homologacji typu pojazdów zautomatyzowanych i w pełni zautomatyzowanych w odniesieniu do tych układów i innych pozycji, aby zapewnić bezpieczną eksploatację pojazdów zautomatyzowanych i w pełni zautomatyzowanych na drogach publicznych. </w:t>
            </w:r>
          </w:p>
          <w:p w14:paraId="3C396E25" w14:textId="77777777" w:rsidR="00DC2D7F" w:rsidRPr="00FB76A9" w:rsidRDefault="00777DE4" w:rsidP="00FD5CD5">
            <w:pPr>
              <w:spacing w:after="0" w:line="240" w:lineRule="auto"/>
              <w:rPr>
                <w:rFonts w:ascii="Times New Roman" w:hAnsi="Times New Roman" w:cs="Times New Roman"/>
                <w:sz w:val="24"/>
                <w:szCs w:val="24"/>
              </w:rPr>
            </w:pPr>
            <w:r w:rsidRPr="00FB76A9">
              <w:rPr>
                <w:rFonts w:ascii="Times New Roman" w:hAnsi="Times New Roman" w:cs="Times New Roman"/>
                <w:sz w:val="24"/>
                <w:szCs w:val="24"/>
              </w:rPr>
              <w:t>Te akty wykonawcze przyjmuje się zgodnie z procedurą sprawdzającą, o której mowa w art. 13 ust. 2.”</w:t>
            </w:r>
          </w:p>
        </w:tc>
        <w:tc>
          <w:tcPr>
            <w:tcW w:w="884" w:type="dxa"/>
            <w:tcBorders>
              <w:top w:val="single" w:sz="4" w:space="0" w:color="auto"/>
              <w:left w:val="single" w:sz="4" w:space="0" w:color="auto"/>
              <w:bottom w:val="single" w:sz="4" w:space="0" w:color="auto"/>
              <w:right w:val="single" w:sz="4" w:space="0" w:color="auto"/>
            </w:tcBorders>
          </w:tcPr>
          <w:p w14:paraId="024342DC"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w:t>
            </w:r>
          </w:p>
        </w:tc>
        <w:tc>
          <w:tcPr>
            <w:tcW w:w="805" w:type="dxa"/>
            <w:tcBorders>
              <w:top w:val="single" w:sz="4" w:space="0" w:color="auto"/>
              <w:left w:val="single" w:sz="4" w:space="0" w:color="auto"/>
              <w:bottom w:val="single" w:sz="4" w:space="0" w:color="auto"/>
              <w:right w:val="single" w:sz="4" w:space="0" w:color="auto"/>
            </w:tcBorders>
          </w:tcPr>
          <w:p w14:paraId="696894FC" w14:textId="77777777" w:rsidR="00DC2D7F" w:rsidRPr="00FB76A9" w:rsidRDefault="007361A0"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sz w:val="24"/>
                <w:szCs w:val="24"/>
                <w:lang w:eastAsia="pl-PL"/>
              </w:rPr>
              <w:t>Art. 1 pkt 24</w:t>
            </w:r>
          </w:p>
        </w:tc>
        <w:tc>
          <w:tcPr>
            <w:tcW w:w="5433" w:type="dxa"/>
            <w:tcBorders>
              <w:top w:val="single" w:sz="4" w:space="0" w:color="auto"/>
              <w:left w:val="single" w:sz="4" w:space="0" w:color="auto"/>
              <w:bottom w:val="single" w:sz="4" w:space="0" w:color="auto"/>
              <w:right w:val="single" w:sz="4" w:space="0" w:color="auto"/>
            </w:tcBorders>
          </w:tcPr>
          <w:p w14:paraId="6C28880D" w14:textId="77777777" w:rsidR="00C60357" w:rsidRPr="00FB76A9" w:rsidRDefault="00C60357"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„Rozdział 6a</w:t>
            </w:r>
          </w:p>
          <w:p w14:paraId="69F838E8" w14:textId="77777777" w:rsidR="007361A0" w:rsidRPr="00FB76A9" w:rsidRDefault="00C60357" w:rsidP="00FD5CD5">
            <w:pPr>
              <w:pStyle w:val="ZROZDZODDZPRZEDMzmprzedmrozdzoddzartykuempunktem"/>
              <w:spacing w:before="0" w:after="0" w:line="240" w:lineRule="auto"/>
              <w:ind w:left="0"/>
              <w:jc w:val="left"/>
              <w:rPr>
                <w:rFonts w:ascii="Times New Roman" w:hAnsi="Times New Roman"/>
              </w:rPr>
            </w:pPr>
            <w:r w:rsidRPr="00FB76A9">
              <w:rPr>
                <w:rFonts w:ascii="Times New Roman" w:hAnsi="Times New Roman"/>
              </w:rPr>
              <w:t>Administracyjne kary pieniężne</w:t>
            </w:r>
          </w:p>
          <w:p w14:paraId="72AC028E" w14:textId="77777777" w:rsidR="00C60357" w:rsidRPr="00FB76A9" w:rsidRDefault="009E1768"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Art. 71c. Podmiot gospodarczy, który wprowadził do obrotu pojazd, przedmiot wyposażenia lub część niezgodnie z wymaganiami określonymi w:</w:t>
            </w:r>
          </w:p>
          <w:p w14:paraId="4BEAFF77" w14:textId="77777777" w:rsidR="009E1768" w:rsidRPr="00FB76A9" w:rsidRDefault="009E1768"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8) </w:t>
            </w:r>
            <w:r w:rsidRPr="00FB76A9">
              <w:rPr>
                <w:rFonts w:ascii="Times New Roman" w:hAnsi="Times New Roman" w:cs="Times New Roman"/>
                <w:szCs w:val="24"/>
              </w:rPr>
              <w:tab/>
              <w:t>art. 4–11 rozporządzenia Parlamentu Europejskiego i Rady (UE) 2019/2144 z dnia 27 listopada 2019 r. w sprawie wymogów dotyczących homologacji typu pojazdów silnikowych i ich przyczep oraz układów, komponentów i oddzielnych zespołów technicznych przeznaczonych do tych pojazdów, w odniesieniu do ich ogólnego bezpieczeństwa oraz ochrony osób znajdujących się w pojeździe i niechronionych uczestników ruchu drogowego, zmieniającego rozporządzenie Parlamentu Europejskiego i Rady (UE) 2018/858 oraz uchylającego rozporządzenia Parlamentu Europejskiego i Rady (WE) nr 78/2009, (WE) nr 79/2009 i (WE) nr 661/2009 oraz rozporządzenia Komisji (WE) nr 631/2009, (UE) nr 406/2010, (UE) nr 672/2010, (UE) nr 1003/2010, (UE) nr 1005/2010, (UE) nr 1008/2010, (UE) nr 1009/2010, (UE) nr 19/2011, (UE) nr 109/2011, (UE) nr 458/2011, (UE) nr 65/2012, (UE) nr 130/2012, (UE) nr 347/2012, (UE) nr 351/2012, (UE) nr 1230/2012 i (UE) 2015/166 (Dz. Urz. UE L 325 z 16.12.2019, str. 1, z późn. zm. )), zwanego dalej „rozporządzeniem 2019/2144”;</w:t>
            </w:r>
          </w:p>
          <w:p w14:paraId="11575811" w14:textId="77777777" w:rsidR="009E1768" w:rsidRPr="00FB76A9" w:rsidRDefault="009E1768"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podlega administracyjnej karze pieniężnej do wysokości dwunastokrotności przeciętnego wynagrodzenia, o którym mowa w art. 68g ust. 4, ogłaszanego za czwarty kwartał roku poprzedzającego nałożenie kary, za każdy pojazd, przedmiot wyposażenia lub część, które wprowadził do obrotu.</w:t>
            </w:r>
          </w:p>
          <w:p w14:paraId="5EDA43DD" w14:textId="77777777" w:rsidR="009E1768" w:rsidRPr="00FB76A9" w:rsidRDefault="009E1768" w:rsidP="00FD5CD5">
            <w:pPr>
              <w:pStyle w:val="ZARTzmartartykuempunktem"/>
              <w:spacing w:line="240" w:lineRule="auto"/>
              <w:ind w:left="0" w:firstLine="0"/>
              <w:jc w:val="left"/>
              <w:rPr>
                <w:rFonts w:ascii="Times New Roman" w:hAnsi="Times New Roman" w:cs="Times New Roman"/>
                <w:szCs w:val="24"/>
              </w:rPr>
            </w:pPr>
          </w:p>
          <w:p w14:paraId="766A5E42" w14:textId="77777777" w:rsidR="009E1768" w:rsidRPr="00FB76A9" w:rsidRDefault="009E1768"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Art. 71h. Podmiot gospodarczy, który wbrew obowiązkowi lub na żądanie Dyrektora TDT nie udostępnia informacji i dokumentacji niezbędnych do wykonywania zadań realizowanych przez Dyrektora TDT w przypadkach, o których mowa w:</w:t>
            </w:r>
          </w:p>
          <w:p w14:paraId="69AEF62C" w14:textId="77777777" w:rsidR="009E1768" w:rsidRPr="00FB76A9" w:rsidRDefault="009E1768"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5) </w:t>
            </w:r>
            <w:r w:rsidRPr="00FB76A9">
              <w:rPr>
                <w:rFonts w:ascii="Times New Roman" w:hAnsi="Times New Roman" w:cs="Times New Roman"/>
                <w:szCs w:val="24"/>
              </w:rPr>
              <w:tab/>
              <w:t>art. 4–11 rozporządzenia 2019/2144;</w:t>
            </w:r>
          </w:p>
          <w:p w14:paraId="7826DAE9" w14:textId="77777777" w:rsidR="009E1768" w:rsidRPr="00FB76A9" w:rsidRDefault="009E1768"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podlega administracyjnej karze pieniężnej do wysokości dwukrotności przeciętnego wynagrodzenia, o którym mowa w art. 68g ust. 4, ogłaszanego za czwarty kwartał roku poprzedzającego nałożenie kary, za każdy przypadek nieudostępnienia informacji lub dokumentów.</w:t>
            </w:r>
          </w:p>
          <w:p w14:paraId="05A91030" w14:textId="77777777" w:rsidR="00777DE4" w:rsidRDefault="00777DE4" w:rsidP="00CA313E">
            <w:pPr>
              <w:pStyle w:val="ZCZWSPPKTzmczciwsppktartykuempunktem"/>
              <w:spacing w:line="240" w:lineRule="auto"/>
              <w:ind w:left="0"/>
              <w:jc w:val="left"/>
              <w:rPr>
                <w:rFonts w:ascii="Times New Roman" w:eastAsia="Times New Roman" w:hAnsi="Times New Roman" w:cs="Times New Roman"/>
                <w:bCs w:val="0"/>
                <w:szCs w:val="24"/>
              </w:rPr>
            </w:pPr>
          </w:p>
          <w:p w14:paraId="41DEB883" w14:textId="77777777" w:rsidR="00CA313E" w:rsidRPr="001F1A7B" w:rsidRDefault="00CA313E" w:rsidP="00CA313E">
            <w:pPr>
              <w:pStyle w:val="ZARTzmartartykuempunktem"/>
              <w:spacing w:line="240" w:lineRule="auto"/>
              <w:ind w:left="0" w:firstLine="0"/>
              <w:jc w:val="left"/>
            </w:pPr>
            <w:r w:rsidRPr="001F1A7B">
              <w:t>Art. 71p. 1. Administracyjne kary pieniężne, o których mowa w art. 71a</w:t>
            </w:r>
            <w:r w:rsidRPr="001F1A7B">
              <w:rPr>
                <w:rFonts w:ascii="Times New Roman" w:hAnsi="Times New Roman" w:cs="Times New Roman"/>
                <w:szCs w:val="24"/>
              </w:rPr>
              <w:t>–</w:t>
            </w:r>
            <w:r w:rsidRPr="001F1A7B">
              <w:t xml:space="preserve">71o, nakłada Dyrektor TDT w drodze decyzji administracyjnej. </w:t>
            </w:r>
          </w:p>
          <w:p w14:paraId="1859407A" w14:textId="77777777" w:rsidR="00CA313E" w:rsidRPr="001F1A7B" w:rsidRDefault="00CA313E" w:rsidP="00CA313E">
            <w:pPr>
              <w:pStyle w:val="ZUSTzmustartykuempunktem"/>
              <w:spacing w:line="240" w:lineRule="auto"/>
              <w:ind w:left="0" w:firstLine="0"/>
              <w:jc w:val="left"/>
            </w:pPr>
            <w:r w:rsidRPr="001F1A7B">
              <w:t xml:space="preserve">2. Organem wyższego stopnia w rozumieniu przepisów ustawy z dnia 14 czerwca 1960 r. – Kodeks postępowania administracyjnego w sprawach, o których mowa w ust. 1, jest minister właściwy do spraw transportu. </w:t>
            </w:r>
          </w:p>
          <w:p w14:paraId="330B355A" w14:textId="77777777" w:rsidR="00CA313E" w:rsidRPr="001F1A7B" w:rsidRDefault="00CA313E" w:rsidP="00CA313E">
            <w:pPr>
              <w:pStyle w:val="ZUSTzmustartykuempunktem"/>
              <w:keepNext/>
              <w:spacing w:line="240" w:lineRule="auto"/>
              <w:ind w:left="0" w:firstLine="0"/>
              <w:jc w:val="left"/>
            </w:pPr>
            <w:r w:rsidRPr="001F1A7B">
              <w:t xml:space="preserve">3. Przy ustalaniu wysokości administracyjnych kar pieniężnych, o których mowa </w:t>
            </w:r>
            <w:r w:rsidRPr="001F1A7B">
              <w:br/>
              <w:t>w art. 71a</w:t>
            </w:r>
            <w:r w:rsidRPr="001F1A7B">
              <w:rPr>
                <w:rFonts w:ascii="Times New Roman" w:hAnsi="Times New Roman" w:cs="Times New Roman"/>
                <w:szCs w:val="24"/>
              </w:rPr>
              <w:t>–</w:t>
            </w:r>
            <w:r w:rsidRPr="001F1A7B">
              <w:t>71o, uwzględnia się:</w:t>
            </w:r>
          </w:p>
          <w:p w14:paraId="500A9DE7" w14:textId="77777777" w:rsidR="00CA313E" w:rsidRPr="001F1A7B" w:rsidRDefault="00CA313E" w:rsidP="00CA313E">
            <w:pPr>
              <w:pStyle w:val="ZPKTzmpktartykuempunktem"/>
              <w:tabs>
                <w:tab w:val="left" w:pos="170"/>
                <w:tab w:val="left" w:pos="340"/>
                <w:tab w:val="left" w:pos="510"/>
                <w:tab w:val="left" w:pos="680"/>
                <w:tab w:val="left" w:pos="850"/>
                <w:tab w:val="left" w:pos="1020"/>
                <w:tab w:val="left" w:pos="1190"/>
                <w:tab w:val="left" w:pos="1360"/>
                <w:tab w:val="left" w:pos="1530"/>
                <w:tab w:val="left" w:pos="1700"/>
                <w:tab w:val="left" w:pos="1870"/>
                <w:tab w:val="left" w:pos="2040"/>
                <w:tab w:val="left" w:pos="2210"/>
                <w:tab w:val="left" w:pos="2380"/>
                <w:tab w:val="left" w:pos="2550"/>
                <w:tab w:val="left" w:pos="2720"/>
                <w:tab w:val="left" w:pos="2890"/>
                <w:tab w:val="left" w:pos="3060"/>
                <w:tab w:val="left" w:pos="3230"/>
                <w:tab w:val="left" w:pos="3400"/>
                <w:tab w:val="left" w:pos="3570"/>
                <w:tab w:val="left" w:pos="3740"/>
                <w:tab w:val="left" w:pos="3910"/>
                <w:tab w:val="left" w:pos="4080"/>
                <w:tab w:val="left" w:pos="4250"/>
                <w:tab w:val="left" w:pos="4420"/>
                <w:tab w:val="left" w:pos="4590"/>
                <w:tab w:val="left" w:pos="4760"/>
                <w:tab w:val="left" w:pos="4930"/>
                <w:tab w:val="left" w:pos="5100"/>
                <w:tab w:val="left" w:pos="5270"/>
                <w:tab w:val="left" w:pos="5440"/>
                <w:tab w:val="left" w:pos="5610"/>
                <w:tab w:val="left" w:pos="5780"/>
                <w:tab w:val="left" w:pos="5950"/>
                <w:tab w:val="left" w:pos="6120"/>
                <w:tab w:val="left" w:pos="6768"/>
              </w:tabs>
              <w:spacing w:line="240" w:lineRule="auto"/>
              <w:jc w:val="left"/>
            </w:pPr>
            <w:r w:rsidRPr="001F1A7B">
              <w:t>1)</w:t>
            </w:r>
            <w:r w:rsidRPr="001F1A7B">
              <w:tab/>
            </w:r>
            <w:r w:rsidRPr="001F1A7B">
              <w:tab/>
              <w:t>stopień, okoliczności i okres naruszenia obowiązków;</w:t>
            </w:r>
            <w:r w:rsidRPr="001F1A7B">
              <w:tab/>
            </w:r>
            <w:r w:rsidRPr="001F1A7B">
              <w:tab/>
            </w:r>
          </w:p>
          <w:p w14:paraId="42588973" w14:textId="77777777" w:rsidR="00CA313E" w:rsidRPr="00A21A0C" w:rsidRDefault="00CA313E" w:rsidP="00CA313E">
            <w:pPr>
              <w:pStyle w:val="ZPKTzmpktartykuempunktem"/>
              <w:tabs>
                <w:tab w:val="left" w:pos="170"/>
                <w:tab w:val="left" w:pos="340"/>
                <w:tab w:val="left" w:pos="510"/>
                <w:tab w:val="left" w:pos="680"/>
                <w:tab w:val="left" w:pos="850"/>
                <w:tab w:val="left" w:pos="1020"/>
                <w:tab w:val="left" w:pos="1190"/>
                <w:tab w:val="left" w:pos="1360"/>
                <w:tab w:val="left" w:pos="1530"/>
                <w:tab w:val="left" w:pos="1700"/>
                <w:tab w:val="left" w:pos="1870"/>
                <w:tab w:val="left" w:pos="2040"/>
                <w:tab w:val="left" w:pos="2210"/>
                <w:tab w:val="left" w:pos="2380"/>
                <w:tab w:val="left" w:pos="2550"/>
                <w:tab w:val="left" w:pos="2720"/>
                <w:tab w:val="left" w:pos="2890"/>
                <w:tab w:val="left" w:pos="3060"/>
                <w:tab w:val="left" w:pos="3230"/>
                <w:tab w:val="left" w:pos="3400"/>
                <w:tab w:val="left" w:pos="3570"/>
                <w:tab w:val="left" w:pos="3740"/>
                <w:tab w:val="left" w:pos="3910"/>
                <w:tab w:val="left" w:pos="4080"/>
                <w:tab w:val="left" w:pos="4250"/>
                <w:tab w:val="left" w:pos="4420"/>
                <w:tab w:val="left" w:pos="4590"/>
                <w:tab w:val="left" w:pos="4760"/>
                <w:tab w:val="left" w:pos="4930"/>
                <w:tab w:val="left" w:pos="5100"/>
                <w:tab w:val="left" w:pos="5270"/>
                <w:tab w:val="left" w:pos="5440"/>
                <w:tab w:val="left" w:pos="5610"/>
                <w:tab w:val="left" w:pos="5780"/>
                <w:tab w:val="left" w:pos="5950"/>
                <w:tab w:val="left" w:pos="6120"/>
                <w:tab w:val="left" w:pos="6768"/>
              </w:tabs>
              <w:spacing w:line="240" w:lineRule="auto"/>
              <w:jc w:val="left"/>
            </w:pPr>
            <w:r w:rsidRPr="001F1A7B">
              <w:t xml:space="preserve">2) </w:t>
            </w:r>
            <w:r w:rsidRPr="001F1A7B">
              <w:tab/>
            </w:r>
            <w:r w:rsidRPr="001F1A7B">
              <w:tab/>
              <w:t xml:space="preserve">rodzaj i charakter </w:t>
            </w:r>
            <w:r w:rsidRPr="00A21A0C">
              <w:t xml:space="preserve">stwierdzonych niezgodności z wymaganiami technicznymi, </w:t>
            </w:r>
            <w:r w:rsidRPr="00A21A0C">
              <w:rPr>
                <w:rFonts w:ascii="Times New Roman" w:hAnsi="Times New Roman" w:cs="Times New Roman"/>
                <w:szCs w:val="24"/>
              </w:rPr>
              <w:t>warunkami technicznymi, o których mowa w art. 66 ust. 1 ustawy z dnia 20 czerwca 1997 r. – Prawo o ruchu drogowym oraz określonymi w przepisach wydanych na podstawie art. 66 ust. 5 tej ustawy,</w:t>
            </w:r>
            <w:r w:rsidRPr="00A21A0C">
              <w:t xml:space="preserve"> lub rodzaj </w:t>
            </w:r>
            <w:r w:rsidRPr="00A21A0C">
              <w:rPr>
                <w:rFonts w:ascii="Times New Roman" w:hAnsi="Times New Roman" w:cs="Times New Roman"/>
                <w:szCs w:val="24"/>
              </w:rPr>
              <w:t>stwarzanego poważnego ryzyka</w:t>
            </w:r>
            <w:r w:rsidRPr="00A21A0C">
              <w:t xml:space="preserve"> przez pojazd, przedmiot wyposażenia lub część, rower, wózek rowerowy, hulajnogę elektryczną oraz urządzenie transportu osobistego;</w:t>
            </w:r>
          </w:p>
          <w:p w14:paraId="599DD525" w14:textId="77777777" w:rsidR="00CA313E" w:rsidRPr="001F1A7B" w:rsidRDefault="00CA313E" w:rsidP="00CA313E">
            <w:pPr>
              <w:pStyle w:val="ZPKTzmpktartykuempunktem"/>
              <w:spacing w:line="240" w:lineRule="auto"/>
              <w:jc w:val="left"/>
            </w:pPr>
            <w:r w:rsidRPr="00A21A0C">
              <w:t>3)</w:t>
            </w:r>
            <w:r w:rsidRPr="00A21A0C">
              <w:tab/>
              <w:t>liczbę udostępnionych na rynku pojazdów, przedmiotów wyposażenia lub części niezgodnych z wymaganiami technicznymi albo rowerów, wózków rowerowych, hulajnóg elektrycznych oraz urządzeń transportu osobistego</w:t>
            </w:r>
            <w:r w:rsidRPr="00A21A0C">
              <w:rPr>
                <w:rFonts w:ascii="Times New Roman" w:hAnsi="Times New Roman" w:cs="Times New Roman"/>
                <w:szCs w:val="24"/>
              </w:rPr>
              <w:t xml:space="preserve"> niezgodnych z warunkami technicznymi, o których mowa w art. 66 ust. 1 ustawy z dnia 20 czerwca 1997 r. – Prawo o ruchu drogowym oraz określonymi w przepisach wydanych na podstawie art. 66 ust. 5 tej ustawy</w:t>
            </w:r>
            <w:r w:rsidRPr="00A21A0C">
              <w:t>, w których dokonano montażu dodatkowej instalacji zasilania gazem pojazdu niezgodnie z wymaganiami</w:t>
            </w:r>
            <w:r w:rsidRPr="001F1A7B">
              <w:t>, o których mowa w art. 31 ust. 2, art. 36, art. 42 i 43, wymaganiami technicznymi obowiązującymi w procedurze homologacji dodatkowej instalacji zasilania gazem pojazdu oraz wymaganiami w zakresie tabliczki informacyjnej, wynikając</w:t>
            </w:r>
            <w:r>
              <w:t>ymi</w:t>
            </w:r>
            <w:r w:rsidRPr="001F1A7B">
              <w:t xml:space="preserve"> z przepisów wydanych na podstawie art. 58;</w:t>
            </w:r>
          </w:p>
          <w:p w14:paraId="1706DA84" w14:textId="77777777" w:rsidR="00CA313E" w:rsidRPr="001F1A7B" w:rsidRDefault="00CA313E" w:rsidP="00CA313E">
            <w:pPr>
              <w:pStyle w:val="ZPKTzmpktartykuempunktem"/>
              <w:spacing w:line="240" w:lineRule="auto"/>
              <w:jc w:val="left"/>
            </w:pPr>
            <w:r w:rsidRPr="001F1A7B">
              <w:t>4)</w:t>
            </w:r>
            <w:r w:rsidRPr="001F1A7B">
              <w:tab/>
              <w:t>uprzednie naruszenie obowiązków;</w:t>
            </w:r>
          </w:p>
          <w:p w14:paraId="7CF9A6E8" w14:textId="77777777" w:rsidR="00CA313E" w:rsidRPr="001F1A7B" w:rsidRDefault="00CA313E" w:rsidP="00CA313E">
            <w:pPr>
              <w:pStyle w:val="ZPKTzmpktartykuempunktem"/>
              <w:spacing w:line="240" w:lineRule="auto"/>
              <w:jc w:val="left"/>
            </w:pPr>
            <w:r w:rsidRPr="001F1A7B">
              <w:t>5)</w:t>
            </w:r>
            <w:r w:rsidRPr="001F1A7B">
              <w:tab/>
              <w:t>współpracę z Dyrektorem TDT jako organem nadzoru rynku, w tym przyczynienie się do szybkiego i sprawnego przeprowadzenia czynności wyjaśniających, kontroli, badań lub postępowań administracyjnych;</w:t>
            </w:r>
          </w:p>
          <w:p w14:paraId="108511E3" w14:textId="77777777" w:rsidR="00CA313E" w:rsidRPr="001F1A7B" w:rsidRDefault="00CA313E" w:rsidP="00CA313E">
            <w:pPr>
              <w:pStyle w:val="ZPKTzmpktartykuempunktem"/>
              <w:spacing w:line="240" w:lineRule="auto"/>
              <w:jc w:val="left"/>
            </w:pPr>
            <w:r w:rsidRPr="001F1A7B">
              <w:t xml:space="preserve">6) </w:t>
            </w:r>
            <w:r w:rsidRPr="001F1A7B">
              <w:tab/>
              <w:t xml:space="preserve">zaprzestanie przez podmiot gospodarczy naruszenia obowiązków, o których mowa odpowiednio w art. 53a i </w:t>
            </w:r>
            <w:r>
              <w:t xml:space="preserve">art. </w:t>
            </w:r>
            <w:r w:rsidRPr="001F1A7B">
              <w:t>53b oraz potwierdzenie realizacji tych obowiązków;</w:t>
            </w:r>
          </w:p>
          <w:p w14:paraId="5C0BF1D4" w14:textId="77777777" w:rsidR="00CA313E" w:rsidRPr="001F1A7B" w:rsidRDefault="00CA313E" w:rsidP="00CA313E">
            <w:pPr>
              <w:pStyle w:val="ZPKTzmpktartykuempunktem"/>
              <w:spacing w:line="240" w:lineRule="auto"/>
              <w:jc w:val="left"/>
            </w:pPr>
            <w:r w:rsidRPr="001F1A7B">
              <w:t>7)</w:t>
            </w:r>
            <w:r w:rsidRPr="001F1A7B">
              <w:rPr>
                <w:rFonts w:eastAsiaTheme="minorHAnsi"/>
                <w:sz w:val="22"/>
                <w:szCs w:val="22"/>
                <w:lang w:eastAsia="en-US"/>
              </w:rPr>
              <w:tab/>
            </w:r>
            <w:r w:rsidRPr="001F1A7B">
              <w:t>zlecenie przez podmiot, który zamontował w pojeździe dodatkową instalację zasilania gazem pojazdu bez świadectwa homologacji montażu dodatkowej instalacji zasilania gazem pojazdu, uprawnionemu podmiotowi wymianę tej instalacji w pojeździe, na swój koszt, na instalację zgodną z takim świadectwem.</w:t>
            </w:r>
          </w:p>
          <w:p w14:paraId="51492CFA" w14:textId="77777777" w:rsidR="00CA313E" w:rsidRPr="001F1A7B" w:rsidRDefault="00CA313E" w:rsidP="00CA313E">
            <w:pPr>
              <w:pStyle w:val="ZUSTzmustartykuempunktem"/>
              <w:spacing w:line="240" w:lineRule="auto"/>
              <w:ind w:left="0" w:firstLine="0"/>
              <w:jc w:val="left"/>
            </w:pPr>
            <w:r w:rsidRPr="001F1A7B">
              <w:t xml:space="preserve">4. Przy wydawaniu decyzji o nałożeniu administracyjnej kary pieniężnej, o której mowa w art. 71a–71o, przepisu art. 189f ustawy z dnia 14 czerwca 1960 r. – Kodeks postępowania administracyjnego nie stosuje się. </w:t>
            </w:r>
          </w:p>
          <w:p w14:paraId="7F4F6049" w14:textId="77777777" w:rsidR="00CA313E" w:rsidRPr="001F1A7B" w:rsidRDefault="00CA313E" w:rsidP="00CA313E">
            <w:pPr>
              <w:pStyle w:val="ZARTzmartartykuempunktem"/>
              <w:spacing w:line="240" w:lineRule="auto"/>
              <w:ind w:left="0" w:firstLine="0"/>
              <w:jc w:val="left"/>
            </w:pPr>
            <w:r w:rsidRPr="001F1A7B">
              <w:t xml:space="preserve">Art. 71r. 1. Administracyjne kary pieniężne, o których mowa w art. 71a–71o, uiszcza się na rachunek Transportowego Dozoru Technicznego w terminie 14 dni od dnia, w którym decyzja o nałożeniu administracyjnej kary pieniężnej stała się ostateczna. </w:t>
            </w:r>
          </w:p>
          <w:p w14:paraId="232DDF2F" w14:textId="77777777" w:rsidR="00CA313E" w:rsidRPr="001F1A7B" w:rsidRDefault="00CA313E" w:rsidP="00CA313E">
            <w:pPr>
              <w:pStyle w:val="ZUSTzmustartykuempunktem"/>
              <w:spacing w:line="240" w:lineRule="auto"/>
              <w:ind w:left="0" w:firstLine="0"/>
              <w:jc w:val="left"/>
            </w:pPr>
            <w:r w:rsidRPr="001F1A7B">
              <w:t>2. Wpływy z administracyjnych kar pieniężnych wraz z odsetkami stanowią przychód Dyrektora TDT.</w:t>
            </w:r>
          </w:p>
          <w:p w14:paraId="31D7E1EC" w14:textId="77777777" w:rsidR="00CA313E" w:rsidRPr="00F51BEF" w:rsidRDefault="00CA313E" w:rsidP="00CA313E">
            <w:pPr>
              <w:pStyle w:val="ZUSTzmustartykuempunktem"/>
              <w:spacing w:line="240" w:lineRule="auto"/>
              <w:ind w:left="0" w:firstLine="0"/>
              <w:jc w:val="left"/>
            </w:pPr>
            <w:r w:rsidRPr="00F51BEF">
              <w:t>Art. 71s. 1. Kary pieniężne, o których mowa w art. 71a</w:t>
            </w:r>
            <w:r w:rsidRPr="00F51BEF">
              <w:rPr>
                <w:rFonts w:ascii="Times New Roman" w:hAnsi="Times New Roman" w:cs="Times New Roman"/>
                <w:szCs w:val="24"/>
              </w:rPr>
              <w:t>–</w:t>
            </w:r>
            <w:r w:rsidRPr="00F51BEF">
              <w:t>71o, wraz z odsetkami ustawowymi za opóźnienie, podlegają przymusowemu ściągnięciu w trybie określonym w ustawie z dnia 17 czerwca 1966 r. o postępowaniu egzekucyjnym w administracji.</w:t>
            </w:r>
          </w:p>
          <w:p w14:paraId="4202D807" w14:textId="77777777" w:rsidR="00CA313E" w:rsidRPr="00F51BEF" w:rsidRDefault="00CA313E" w:rsidP="00CA313E">
            <w:pPr>
              <w:pStyle w:val="ZARTzmartartykuempunktem"/>
              <w:tabs>
                <w:tab w:val="left" w:pos="851"/>
              </w:tabs>
              <w:spacing w:line="240" w:lineRule="auto"/>
              <w:ind w:left="0" w:firstLine="0"/>
              <w:jc w:val="left"/>
            </w:pPr>
            <w:r>
              <w:t>2.</w:t>
            </w:r>
            <w:r w:rsidRPr="00F51BEF">
              <w:t xml:space="preserve"> Obowiązek uiszczenia kar pieniężnych, o których mowa w ust. 1, przedawnia się z upływem 5 lat, licząc od ostatniego dnia roku kalendarzowego, w którym kary powinny zostać uiszczone.”.</w:t>
            </w:r>
          </w:p>
          <w:p w14:paraId="02264E5A" w14:textId="77777777" w:rsidR="00CA313E" w:rsidRPr="00CA313E" w:rsidRDefault="00CA313E" w:rsidP="00CA313E">
            <w:pPr>
              <w:pStyle w:val="ZARTzmartartykuempunktem"/>
              <w:ind w:left="0" w:firstLine="0"/>
            </w:pPr>
          </w:p>
        </w:tc>
        <w:tc>
          <w:tcPr>
            <w:tcW w:w="1504" w:type="dxa"/>
            <w:tcBorders>
              <w:top w:val="single" w:sz="4" w:space="0" w:color="auto"/>
              <w:left w:val="single" w:sz="4" w:space="0" w:color="auto"/>
              <w:bottom w:val="single" w:sz="4" w:space="0" w:color="auto"/>
              <w:right w:val="single" w:sz="4" w:space="0" w:color="auto"/>
            </w:tcBorders>
          </w:tcPr>
          <w:p w14:paraId="129882F4"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p>
        </w:tc>
      </w:tr>
    </w:tbl>
    <w:p w14:paraId="7BA4AF1F" w14:textId="77777777" w:rsidR="003E518F" w:rsidRPr="00FB76A9" w:rsidRDefault="003E518F" w:rsidP="00FD5CD5">
      <w:pPr>
        <w:rPr>
          <w:rFonts w:ascii="Times New Roman" w:hAnsi="Times New Roman" w:cs="Times New Roman"/>
          <w:sz w:val="24"/>
          <w:szCs w:val="24"/>
        </w:rPr>
      </w:pPr>
      <w:r w:rsidRPr="00FB76A9">
        <w:rPr>
          <w:rFonts w:ascii="Times New Roman" w:hAnsi="Times New Roman" w:cs="Times New Roman"/>
          <w:sz w:val="24"/>
          <w:szCs w:val="24"/>
        </w:rPr>
        <w:br w:type="page"/>
      </w:r>
    </w:p>
    <w:tbl>
      <w:tblPr>
        <w:tblpPr w:leftFromText="141" w:rightFromText="141" w:vertAnchor="text" w:tblpY="1"/>
        <w:tblOverlap w:val="neve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13"/>
        <w:gridCol w:w="9482"/>
      </w:tblGrid>
      <w:tr w:rsidR="00DC2D7F" w:rsidRPr="00FB76A9" w14:paraId="2EA0B6D9" w14:textId="77777777" w:rsidTr="00777DE4">
        <w:trPr>
          <w:cantSplit/>
          <w:trHeight w:val="576"/>
        </w:trPr>
        <w:tc>
          <w:tcPr>
            <w:tcW w:w="5513" w:type="dxa"/>
            <w:tcBorders>
              <w:bottom w:val="single" w:sz="4" w:space="0" w:color="auto"/>
            </w:tcBorders>
            <w:shd w:val="clear" w:color="auto" w:fill="E0E0E0"/>
          </w:tcPr>
          <w:p w14:paraId="77DF3A1C" w14:textId="77777777" w:rsidR="00DC2D7F" w:rsidRPr="00FB76A9" w:rsidRDefault="00DC2D7F" w:rsidP="00FD5CD5">
            <w:pPr>
              <w:keepNext/>
              <w:spacing w:after="0" w:line="240" w:lineRule="auto"/>
              <w:outlineLvl w:val="0"/>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TYTUŁ PROJEKTU:</w:t>
            </w:r>
          </w:p>
        </w:tc>
        <w:tc>
          <w:tcPr>
            <w:tcW w:w="9482" w:type="dxa"/>
            <w:tcBorders>
              <w:bottom w:val="single" w:sz="4" w:space="0" w:color="auto"/>
            </w:tcBorders>
          </w:tcPr>
          <w:p w14:paraId="49C53C22" w14:textId="77777777" w:rsidR="00DC2D7F" w:rsidRPr="00FB76A9" w:rsidRDefault="00DC2D7F" w:rsidP="00FD5CD5">
            <w:pPr>
              <w:spacing w:after="0" w:line="240" w:lineRule="auto"/>
              <w:contextualSpacing/>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Projekt ustawy o zmianie ustawy o systemach homologacji pojazdów oraz ich wyposażenia oraz niektórych innych ustaw (UC95)</w:t>
            </w:r>
          </w:p>
        </w:tc>
      </w:tr>
      <w:tr w:rsidR="00DC2D7F" w:rsidRPr="00FB76A9" w14:paraId="1F1386B0" w14:textId="77777777" w:rsidTr="00777DE4">
        <w:trPr>
          <w:cantSplit/>
          <w:trHeight w:val="576"/>
        </w:trPr>
        <w:tc>
          <w:tcPr>
            <w:tcW w:w="5513" w:type="dxa"/>
            <w:shd w:val="clear" w:color="auto" w:fill="E0E0E0"/>
          </w:tcPr>
          <w:p w14:paraId="66937C25"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TYTUŁ WDRAŻANEGO AKTU PRAWNEGO</w:t>
            </w:r>
          </w:p>
        </w:tc>
        <w:tc>
          <w:tcPr>
            <w:tcW w:w="9482" w:type="dxa"/>
          </w:tcPr>
          <w:p w14:paraId="430E8510" w14:textId="77777777" w:rsidR="00725FE2" w:rsidRPr="00FB76A9" w:rsidRDefault="00DC2D7F" w:rsidP="00FD5CD5">
            <w:pPr>
              <w:pStyle w:val="ZPKTzmpktartykuempunktem"/>
              <w:spacing w:line="240" w:lineRule="auto"/>
              <w:ind w:left="82" w:firstLine="0"/>
              <w:jc w:val="left"/>
              <w:rPr>
                <w:rFonts w:ascii="Times New Roman" w:hAnsi="Times New Roman" w:cs="Times New Roman"/>
                <w:szCs w:val="24"/>
              </w:rPr>
            </w:pPr>
            <w:r w:rsidRPr="00FB76A9">
              <w:rPr>
                <w:rFonts w:ascii="Times New Roman" w:hAnsi="Times New Roman" w:cs="Times New Roman"/>
                <w:szCs w:val="24"/>
              </w:rPr>
              <w:t xml:space="preserve">Rozporządzenie Parlamentu Europejskiego i Rady (WE) nr </w:t>
            </w:r>
            <w:r w:rsidRPr="00FB76A9">
              <w:rPr>
                <w:rFonts w:ascii="Times New Roman" w:hAnsi="Times New Roman" w:cs="Times New Roman"/>
                <w:b/>
                <w:szCs w:val="24"/>
              </w:rPr>
              <w:t>595/2009</w:t>
            </w:r>
            <w:r w:rsidRPr="00FB76A9">
              <w:rPr>
                <w:rFonts w:ascii="Times New Roman" w:hAnsi="Times New Roman" w:cs="Times New Roman"/>
                <w:szCs w:val="24"/>
              </w:rPr>
              <w:t xml:space="preserve"> z dnia 18 czerwca 2009 r. dotyczącego homologacji typu pojazdów silnikowych i silników w odniesieniu do emisji zanieczyszczeń pochodzących z pojazdów ciężarowych o dużej ładowności (Euro VI) i</w:t>
            </w:r>
            <w:r w:rsidR="00FB76A9">
              <w:rPr>
                <w:rFonts w:ascii="Times New Roman" w:hAnsi="Times New Roman" w:cs="Times New Roman"/>
                <w:szCs w:val="24"/>
              </w:rPr>
              <w:t xml:space="preserve"> </w:t>
            </w:r>
            <w:r w:rsidRPr="00FB76A9">
              <w:rPr>
                <w:rFonts w:ascii="Times New Roman" w:hAnsi="Times New Roman" w:cs="Times New Roman"/>
                <w:szCs w:val="24"/>
              </w:rPr>
              <w:t>zmieniającego rozporządzenie (WE) nr 715/2007 i dyrektywę 2007/46/WE oraz uchylającego dyrektywy 80/1269/EWG, 2005/55/WE i 2005/78/WE (Dz. Urz. UE L 188 z 18.07.2009, str. 1, z późn. zm.).</w:t>
            </w:r>
          </w:p>
        </w:tc>
      </w:tr>
      <w:tr w:rsidR="002307C6" w:rsidRPr="00FB76A9" w14:paraId="1190DBE6" w14:textId="77777777" w:rsidTr="00777DE4">
        <w:trPr>
          <w:cantSplit/>
          <w:trHeight w:val="576"/>
        </w:trPr>
        <w:tc>
          <w:tcPr>
            <w:tcW w:w="5513" w:type="dxa"/>
            <w:shd w:val="clear" w:color="auto" w:fill="E0E0E0"/>
          </w:tcPr>
          <w:p w14:paraId="4B22D98A" w14:textId="77777777" w:rsidR="002307C6" w:rsidRPr="00FB76A9" w:rsidRDefault="002307C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hAnsi="Times New Roman" w:cs="Times New Roman"/>
                <w:b/>
                <w:bCs/>
                <w:sz w:val="24"/>
                <w:szCs w:val="24"/>
              </w:rPr>
              <w:t>WYJAŚNIENIE TERMINU WEJŚCIA W ŻYCIE PROJEKTU / PROJEKTÓW</w:t>
            </w:r>
          </w:p>
        </w:tc>
        <w:tc>
          <w:tcPr>
            <w:tcW w:w="9482" w:type="dxa"/>
          </w:tcPr>
          <w:p w14:paraId="1300678A" w14:textId="77777777" w:rsidR="002307C6" w:rsidRPr="00FB76A9" w:rsidRDefault="002307C6" w:rsidP="00FD5CD5">
            <w:pPr>
              <w:pStyle w:val="ZPKTzmpktartykuempunktem"/>
              <w:spacing w:line="240" w:lineRule="auto"/>
              <w:ind w:left="82" w:firstLine="0"/>
              <w:jc w:val="left"/>
              <w:rPr>
                <w:rFonts w:ascii="Times New Roman" w:hAnsi="Times New Roman" w:cs="Times New Roman"/>
                <w:szCs w:val="24"/>
              </w:rPr>
            </w:pPr>
            <w:r w:rsidRPr="00FB76A9">
              <w:rPr>
                <w:rFonts w:ascii="Times New Roman" w:hAnsi="Times New Roman" w:cs="Times New Roman"/>
                <w:szCs w:val="24"/>
              </w:rPr>
              <w:t>Co do zasady przewiduje się, iż zgodnie z art. 1</w:t>
            </w:r>
            <w:r w:rsidR="00C31722">
              <w:rPr>
                <w:rFonts w:ascii="Times New Roman" w:hAnsi="Times New Roman" w:cs="Times New Roman"/>
                <w:szCs w:val="24"/>
              </w:rPr>
              <w:t>9</w:t>
            </w:r>
            <w:r w:rsidRPr="00FB76A9">
              <w:rPr>
                <w:rFonts w:ascii="Times New Roman" w:hAnsi="Times New Roman" w:cs="Times New Roman"/>
                <w:szCs w:val="24"/>
              </w:rPr>
              <w:t xml:space="preserve"> projektu, ustawa wejdzie w życie po upływie 14 dni od dnia ogłoszenia, z wyjątkami wskazanymi w </w:t>
            </w:r>
            <w:r w:rsidR="00C31722">
              <w:rPr>
                <w:rFonts w:ascii="Times New Roman" w:hAnsi="Times New Roman" w:cs="Times New Roman"/>
                <w:szCs w:val="24"/>
              </w:rPr>
              <w:t xml:space="preserve">art. 18 </w:t>
            </w:r>
            <w:r w:rsidRPr="00FB76A9">
              <w:rPr>
                <w:rFonts w:ascii="Times New Roman" w:hAnsi="Times New Roman" w:cs="Times New Roman"/>
                <w:szCs w:val="24"/>
              </w:rPr>
              <w:t>pkt 1-6.</w:t>
            </w:r>
          </w:p>
        </w:tc>
      </w:tr>
    </w:tbl>
    <w:tbl>
      <w:tblP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7"/>
        <w:gridCol w:w="5572"/>
        <w:gridCol w:w="884"/>
        <w:gridCol w:w="805"/>
        <w:gridCol w:w="5433"/>
        <w:gridCol w:w="1504"/>
      </w:tblGrid>
      <w:tr w:rsidR="007F6DD5" w:rsidRPr="00FB76A9" w14:paraId="0BD9E500" w14:textId="77777777" w:rsidTr="007F6DD5">
        <w:trPr>
          <w:trHeight w:val="151"/>
        </w:trPr>
        <w:tc>
          <w:tcPr>
            <w:tcW w:w="797" w:type="dxa"/>
            <w:shd w:val="clear" w:color="auto" w:fill="D9D9D9"/>
          </w:tcPr>
          <w:p w14:paraId="7D50B3F5" w14:textId="77777777" w:rsidR="007F6DD5" w:rsidRPr="00FB76A9" w:rsidRDefault="007F6DD5"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Jedn. red. </w:t>
            </w:r>
          </w:p>
        </w:tc>
        <w:tc>
          <w:tcPr>
            <w:tcW w:w="5572" w:type="dxa"/>
            <w:shd w:val="clear" w:color="auto" w:fill="D9D9D9"/>
          </w:tcPr>
          <w:p w14:paraId="1C14C10E" w14:textId="77777777" w:rsidR="007F6DD5" w:rsidRPr="00FB76A9" w:rsidRDefault="007F6DD5"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Treść przepisu UE </w:t>
            </w:r>
          </w:p>
        </w:tc>
        <w:tc>
          <w:tcPr>
            <w:tcW w:w="884" w:type="dxa"/>
            <w:shd w:val="clear" w:color="auto" w:fill="D9D9D9"/>
          </w:tcPr>
          <w:p w14:paraId="633F0416" w14:textId="77777777" w:rsidR="007F6DD5" w:rsidRPr="00FB76A9" w:rsidRDefault="007F6DD5"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Konieczność</w:t>
            </w:r>
          </w:p>
          <w:p w14:paraId="038C9D35" w14:textId="77777777" w:rsidR="007F6DD5" w:rsidRPr="00FB76A9" w:rsidRDefault="007F6DD5"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wdrożenia</w:t>
            </w:r>
          </w:p>
          <w:p w14:paraId="4477AC3B" w14:textId="77777777" w:rsidR="007F6DD5" w:rsidRPr="00FB76A9" w:rsidRDefault="007F6DD5" w:rsidP="00FD5CD5">
            <w:pPr>
              <w:spacing w:after="0" w:line="240" w:lineRule="auto"/>
              <w:rPr>
                <w:rFonts w:ascii="Times New Roman" w:eastAsia="Times New Roman" w:hAnsi="Times New Roman" w:cs="Times New Roman"/>
                <w:sz w:val="24"/>
                <w:szCs w:val="24"/>
                <w:lang w:eastAsia="pl-PL"/>
              </w:rPr>
            </w:pPr>
          </w:p>
          <w:p w14:paraId="3E173331" w14:textId="77777777" w:rsidR="007F6DD5" w:rsidRPr="00FB76A9" w:rsidRDefault="007F6DD5"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sz w:val="24"/>
                <w:szCs w:val="24"/>
                <w:lang w:eastAsia="pl-PL"/>
              </w:rPr>
              <w:t xml:space="preserve"> T / N</w:t>
            </w:r>
          </w:p>
        </w:tc>
        <w:tc>
          <w:tcPr>
            <w:tcW w:w="805" w:type="dxa"/>
            <w:shd w:val="clear" w:color="auto" w:fill="D9D9D9"/>
          </w:tcPr>
          <w:p w14:paraId="1B13BDE3" w14:textId="77777777" w:rsidR="007F6DD5" w:rsidRPr="00FB76A9" w:rsidRDefault="007F6DD5"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Jedn. red. (*) </w:t>
            </w:r>
          </w:p>
        </w:tc>
        <w:tc>
          <w:tcPr>
            <w:tcW w:w="5433" w:type="dxa"/>
            <w:shd w:val="clear" w:color="auto" w:fill="D9D9D9"/>
          </w:tcPr>
          <w:p w14:paraId="5F687432" w14:textId="77777777" w:rsidR="007F6DD5" w:rsidRPr="00FB76A9" w:rsidRDefault="007F6DD5"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Treść przepisu/ów projektu (*)</w:t>
            </w:r>
          </w:p>
        </w:tc>
        <w:tc>
          <w:tcPr>
            <w:tcW w:w="1504" w:type="dxa"/>
            <w:shd w:val="clear" w:color="auto" w:fill="D9D9D9"/>
          </w:tcPr>
          <w:p w14:paraId="453E8DFC" w14:textId="77777777" w:rsidR="007F6DD5" w:rsidRPr="00FB76A9" w:rsidRDefault="007F6DD5"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Uzasadnienie uwzględnienia w projekcie przepisów wykraczających poza minimalne wymogi  prawa UE (**)</w:t>
            </w:r>
          </w:p>
        </w:tc>
      </w:tr>
      <w:tr w:rsidR="007F6DD5" w:rsidRPr="00FB76A9" w14:paraId="315AB6B8" w14:textId="77777777" w:rsidTr="005547F0">
        <w:trPr>
          <w:trHeight w:val="346"/>
        </w:trPr>
        <w:tc>
          <w:tcPr>
            <w:tcW w:w="797" w:type="dxa"/>
            <w:tcBorders>
              <w:top w:val="single" w:sz="4" w:space="0" w:color="auto"/>
              <w:left w:val="single" w:sz="4" w:space="0" w:color="auto"/>
              <w:bottom w:val="single" w:sz="4" w:space="0" w:color="auto"/>
              <w:right w:val="single" w:sz="4" w:space="0" w:color="auto"/>
            </w:tcBorders>
          </w:tcPr>
          <w:p w14:paraId="4132EC6B"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r w:rsidRPr="00FB76A9">
              <w:rPr>
                <w:rFonts w:ascii="Times New Roman" w:eastAsia="Times New Roman" w:hAnsi="Times New Roman" w:cs="Times New Roman"/>
                <w:b/>
                <w:bCs/>
                <w:sz w:val="24"/>
                <w:szCs w:val="24"/>
                <w:lang w:val="en-GB" w:eastAsia="pl-PL"/>
              </w:rPr>
              <w:t>Art. 4</w:t>
            </w:r>
          </w:p>
          <w:p w14:paraId="59A4A048"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1BA5DB13"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44D2377A"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4FA7196A"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5886C608"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45680888"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431C2B43"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2AB48BB9"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6B60FEA3"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0315A988"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711572B0"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5EDDB131"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79E37AE4"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26EE71B8"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248D611C"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5ED32AAA"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66189E23"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59779182"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5B161E89"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7A9E66B3"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29D6E7AD"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34829B0F"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118365AB"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78E01514"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479596CD"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50C71E19"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01DA86F1"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37778792"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7F98B278"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2003B2E9"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48F35E4C"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3B7578A7"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24A27FDA"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090F983A"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364FAE3B"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29DBDA03"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724770FD"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39C69A30"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1315FC15"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4D746089"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04A83660"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443AA2BE"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188230C3"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5595653B"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5F5971B5"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056C0E77"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1D739950"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76CD60BC"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400501DC"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1B252E9D"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7C7A00C4"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r w:rsidRPr="00FB76A9">
              <w:rPr>
                <w:rFonts w:ascii="Times New Roman" w:eastAsia="Times New Roman" w:hAnsi="Times New Roman" w:cs="Times New Roman"/>
                <w:b/>
                <w:bCs/>
                <w:sz w:val="24"/>
                <w:szCs w:val="24"/>
                <w:lang w:val="en-GB" w:eastAsia="pl-PL"/>
              </w:rPr>
              <w:t xml:space="preserve">Art. 5 </w:t>
            </w:r>
          </w:p>
          <w:p w14:paraId="6F7C6732"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128FDD15"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3421221B"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7626377A"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332B4313"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1DB8FE34"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5CFCE39C"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6CB4C5E4"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6E189D15"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414F2624"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14770221"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349977AB"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7E90A020"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0D5BF6FF"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1C1F426C"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7643DC08"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245D24F4"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245F7CD5"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7E44C932"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2FE790DB"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61ACE79D"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413E6BDE"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12BD0AD4"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79551F0F"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51957D8E"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6EFE9B35"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38952C4D"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4DD15D1D"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73EE04E3"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0D3E7320"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2FD35370"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5934CE19"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59D369D3"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1E8FAE34"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091ABF9C"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6235786B"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38599C47"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60CD2FD9"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3AB192CA"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49592BFE"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7CF99C97"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0EF94D96"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0D22295E"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7299C5A0"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103F7A19"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6E3BC501"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0601B2D9"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0A36EF80"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788EAB9B"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145A5CA9"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69A182E7"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7427CB01" w14:textId="77777777" w:rsidR="00722B4C" w:rsidRPr="00FB76A9" w:rsidRDefault="00722B4C" w:rsidP="00FD5CD5">
            <w:pPr>
              <w:spacing w:after="0" w:line="240" w:lineRule="auto"/>
              <w:rPr>
                <w:rFonts w:ascii="Times New Roman" w:eastAsia="Times New Roman" w:hAnsi="Times New Roman" w:cs="Times New Roman"/>
                <w:b/>
                <w:bCs/>
                <w:sz w:val="24"/>
                <w:szCs w:val="24"/>
                <w:lang w:val="en-GB" w:eastAsia="pl-PL"/>
              </w:rPr>
            </w:pPr>
          </w:p>
          <w:p w14:paraId="35A3E591"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r w:rsidRPr="00FB76A9">
              <w:rPr>
                <w:rFonts w:ascii="Times New Roman" w:eastAsia="Times New Roman" w:hAnsi="Times New Roman" w:cs="Times New Roman"/>
                <w:b/>
                <w:bCs/>
                <w:sz w:val="24"/>
                <w:szCs w:val="24"/>
                <w:lang w:val="en-GB" w:eastAsia="pl-PL"/>
              </w:rPr>
              <w:t>Art. 5a</w:t>
            </w:r>
          </w:p>
          <w:p w14:paraId="6BAABD6C"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1031B898"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5E836979"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72722105"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1F69A365"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32AE26CB"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5E131010"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1C5C193F"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14413ACA"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25791400"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31011BD1"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1294F646"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77B88AA2"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7DAB5352"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30A87557"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49AA4A85"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24F9A7D6"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18A87637"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11CBDBAC"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54B71818"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0F243CEB" w14:textId="77777777" w:rsidR="000A2BF6" w:rsidRPr="00FB76A9" w:rsidRDefault="000A2BF6" w:rsidP="00FD5CD5">
            <w:pPr>
              <w:spacing w:after="0" w:line="240" w:lineRule="auto"/>
              <w:rPr>
                <w:rFonts w:ascii="Times New Roman" w:eastAsia="Times New Roman" w:hAnsi="Times New Roman" w:cs="Times New Roman"/>
                <w:b/>
                <w:bCs/>
                <w:sz w:val="24"/>
                <w:szCs w:val="24"/>
                <w:lang w:val="en-GB" w:eastAsia="pl-PL"/>
              </w:rPr>
            </w:pPr>
          </w:p>
          <w:p w14:paraId="7C41C1EF"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r w:rsidRPr="00FB76A9">
              <w:rPr>
                <w:rFonts w:ascii="Times New Roman" w:eastAsia="Times New Roman" w:hAnsi="Times New Roman" w:cs="Times New Roman"/>
                <w:b/>
                <w:bCs/>
                <w:sz w:val="24"/>
                <w:szCs w:val="24"/>
                <w:lang w:val="en-GB" w:eastAsia="pl-PL"/>
              </w:rPr>
              <w:t>Art. 5b</w:t>
            </w:r>
          </w:p>
          <w:p w14:paraId="01B9E15E"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53078A38"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634E7397"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53B55241"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6E215EC1"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113CF579"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6AA1D109"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5CDD3B4E"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2E3914E6"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5EE3952B" w14:textId="77777777" w:rsidR="00CF31F7" w:rsidRPr="00FB76A9" w:rsidRDefault="00CF31F7" w:rsidP="00FD5CD5">
            <w:pPr>
              <w:spacing w:after="0" w:line="240" w:lineRule="auto"/>
              <w:rPr>
                <w:rFonts w:ascii="Times New Roman" w:eastAsia="Times New Roman" w:hAnsi="Times New Roman" w:cs="Times New Roman"/>
                <w:b/>
                <w:bCs/>
                <w:sz w:val="24"/>
                <w:szCs w:val="24"/>
                <w:lang w:val="en-GB" w:eastAsia="pl-PL"/>
              </w:rPr>
            </w:pPr>
          </w:p>
          <w:p w14:paraId="5BDE75C0" w14:textId="77777777" w:rsidR="00CF31F7" w:rsidRPr="00FB76A9" w:rsidRDefault="00CF31F7" w:rsidP="00FD5CD5">
            <w:pPr>
              <w:spacing w:after="0" w:line="240" w:lineRule="auto"/>
              <w:rPr>
                <w:rFonts w:ascii="Times New Roman" w:eastAsia="Times New Roman" w:hAnsi="Times New Roman" w:cs="Times New Roman"/>
                <w:b/>
                <w:bCs/>
                <w:sz w:val="24"/>
                <w:szCs w:val="24"/>
                <w:lang w:val="en-GB" w:eastAsia="pl-PL"/>
              </w:rPr>
            </w:pPr>
          </w:p>
          <w:p w14:paraId="00582C82"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r w:rsidRPr="00FB76A9">
              <w:rPr>
                <w:rFonts w:ascii="Times New Roman" w:eastAsia="Times New Roman" w:hAnsi="Times New Roman" w:cs="Times New Roman"/>
                <w:b/>
                <w:bCs/>
                <w:sz w:val="24"/>
                <w:szCs w:val="24"/>
                <w:lang w:val="en-GB" w:eastAsia="pl-PL"/>
              </w:rPr>
              <w:t>Art. 5c</w:t>
            </w:r>
          </w:p>
          <w:p w14:paraId="51B01DF7"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6C7A630C"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2E36B52D"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03D155E5"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10D8DDCE"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6AC1D05F"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2863B09E"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137B6AA7"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00B74690"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121AB724"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25F095BB"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19ACE803"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194D7859"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4C0EA178"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68556473"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2EFB8EDB"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03A443CD"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4FC9B396"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07FB7077"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54163914"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7398A8C7"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428FC571"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2096504D"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4193620E" w14:textId="77777777" w:rsidR="005547F0" w:rsidRPr="00FB76A9" w:rsidRDefault="005547F0" w:rsidP="00FD5CD5">
            <w:pPr>
              <w:spacing w:after="0" w:line="240" w:lineRule="auto"/>
              <w:rPr>
                <w:rFonts w:ascii="Times New Roman" w:eastAsia="Times New Roman" w:hAnsi="Times New Roman" w:cs="Times New Roman"/>
                <w:b/>
                <w:bCs/>
                <w:sz w:val="24"/>
                <w:szCs w:val="24"/>
                <w:lang w:val="en-GB" w:eastAsia="pl-PL"/>
              </w:rPr>
            </w:pPr>
          </w:p>
          <w:p w14:paraId="4E2582E2"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r w:rsidRPr="00FB76A9">
              <w:rPr>
                <w:rFonts w:ascii="Times New Roman" w:eastAsia="Times New Roman" w:hAnsi="Times New Roman" w:cs="Times New Roman"/>
                <w:b/>
                <w:bCs/>
                <w:sz w:val="24"/>
                <w:szCs w:val="24"/>
                <w:lang w:val="en-GB" w:eastAsia="pl-PL"/>
              </w:rPr>
              <w:t>Art. 7</w:t>
            </w:r>
          </w:p>
          <w:p w14:paraId="101B031A" w14:textId="77777777" w:rsidR="00743752" w:rsidRPr="00FB76A9" w:rsidRDefault="00743752" w:rsidP="00FD5CD5">
            <w:pPr>
              <w:spacing w:after="0" w:line="240" w:lineRule="auto"/>
              <w:rPr>
                <w:rFonts w:ascii="Times New Roman" w:eastAsia="Times New Roman" w:hAnsi="Times New Roman" w:cs="Times New Roman"/>
                <w:b/>
                <w:bCs/>
                <w:sz w:val="24"/>
                <w:szCs w:val="24"/>
                <w:lang w:val="en-GB" w:eastAsia="pl-PL"/>
              </w:rPr>
            </w:pPr>
          </w:p>
          <w:p w14:paraId="7752BE9B"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3C67290F" w14:textId="77777777" w:rsidR="007F6DD5" w:rsidRPr="00FB76A9" w:rsidRDefault="007F6DD5" w:rsidP="00FD5CD5">
            <w:pPr>
              <w:spacing w:after="0" w:line="240" w:lineRule="auto"/>
              <w:rPr>
                <w:rFonts w:ascii="Times New Roman" w:eastAsia="Times New Roman" w:hAnsi="Times New Roman" w:cs="Times New Roman"/>
                <w:b/>
                <w:bCs/>
                <w:sz w:val="24"/>
                <w:szCs w:val="24"/>
                <w:lang w:val="en-GB" w:eastAsia="pl-PL"/>
              </w:rPr>
            </w:pPr>
          </w:p>
          <w:p w14:paraId="5C9EFBE4" w14:textId="77777777" w:rsidR="007F6DD5" w:rsidRPr="00FB76A9" w:rsidRDefault="007F6DD5" w:rsidP="00FD5CD5">
            <w:pPr>
              <w:spacing w:after="0" w:line="240" w:lineRule="auto"/>
              <w:rPr>
                <w:rFonts w:ascii="Times New Roman" w:eastAsia="Times New Roman" w:hAnsi="Times New Roman" w:cs="Times New Roman"/>
                <w:b/>
                <w:bCs/>
                <w:sz w:val="24"/>
                <w:szCs w:val="24"/>
                <w:lang w:eastAsia="pl-PL"/>
              </w:rPr>
            </w:pPr>
          </w:p>
        </w:tc>
        <w:tc>
          <w:tcPr>
            <w:tcW w:w="5572" w:type="dxa"/>
            <w:tcBorders>
              <w:top w:val="single" w:sz="4" w:space="0" w:color="auto"/>
              <w:left w:val="single" w:sz="4" w:space="0" w:color="auto"/>
              <w:bottom w:val="single" w:sz="4" w:space="0" w:color="auto"/>
              <w:right w:val="single" w:sz="4" w:space="0" w:color="auto"/>
            </w:tcBorders>
          </w:tcPr>
          <w:p w14:paraId="5A3232B1" w14:textId="77777777" w:rsidR="007F6DD5" w:rsidRPr="00FB76A9" w:rsidRDefault="00743752"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w:t>
            </w:r>
            <w:r w:rsidR="007F6DD5" w:rsidRPr="00FB76A9">
              <w:rPr>
                <w:rFonts w:ascii="Times New Roman" w:hAnsi="Times New Roman" w:cs="Times New Roman"/>
                <w:sz w:val="24"/>
                <w:szCs w:val="24"/>
              </w:rPr>
              <w:t xml:space="preserve">Art. 4. 1. Producenci wykazują, że wszystkie nowe pojazdy sprzedawane, rejestrowane lub wprowadzane do użytku we Wspólnocie, wszystkie nowe silniki sprzedawane lub wprowadzane do użytku we Wspólnocie oraz wszystkie nowe urządzenia kontrolujące emisję zanieczyszczeń stanowiące części zamienne wymagające homologacji typu zgodnie z art. 8 i 9, sprzedawane lub wprowadzane do użytku we Wspólnocie, posiadają homologację typu zgodną z niniejszym rozporządzeniem i przepisami wykonawczymi do niego. </w:t>
            </w:r>
          </w:p>
          <w:p w14:paraId="52CF9A79"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2. Producenci zapewniają przestrzeganie procedur homologacji typu w zakresie kontroli zgodności produkcji, trwałości urządzeń kontrolujących emisję zanieczyszczeń oraz zgodności eksploatacyjnej. </w:t>
            </w:r>
          </w:p>
          <w:p w14:paraId="0165FC90"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Środki techniczne wprowadzone przez producenta zapewniają faktyczne ograniczenie emisji z rury wydechowej, zgodnie z niniejszym rozporządzeniem i przepisami wykonawczymi do niego, w ciągu całego okresu normalnej eksploatacji pojazdu i w normalnych warunkach jego użytkowania. </w:t>
            </w:r>
          </w:p>
          <w:p w14:paraId="4096C34E"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Do tego celu, przeprowadzając badania trwałości urządzeń kontrolujących emisję zanieczyszczeń dla homologacji typu oraz sprawdzenia zgodności użytkowanych pojazdów lub silników, uwzględnia się następujący przebieg i okres: </w:t>
            </w:r>
          </w:p>
          <w:p w14:paraId="72CF5A81"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a) 160 000 km lub pięć lat, zależnie od tego, co nastąpi wcześniej, w przypadku silników zamontowanych w pojazdach kategorii M1, N1 oraz M2; </w:t>
            </w:r>
          </w:p>
          <w:p w14:paraId="17D003FF"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b) 300 000 km lub sześć lat, zależnie od tego, co nastąpi wcześniej, w przypadku silników zamontowanych w pojazdach kategorii N2 , N3 o technicznie dopuszczalnej masie całkowitej nieprzekraczającej 16 ton oraz M3 klasy I, klasy II, klasy A i klasy B o technicznie dopuszczalnej masie całkowitej nieprzekraczającej 7,5 tony; </w:t>
            </w:r>
          </w:p>
          <w:p w14:paraId="22360E4D"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c) 700 000 km lub siedem lat, zależnie od tego, co nastąpi wcześniej, w przypadku silników zamontowanych w pojazdach kategorii N 3 o technicznie dopuszczalnej masie całkowitej przekraczającej 16 ton oraz M 3 klasy III i klasy B o technicznie dopuszczalnej masie całkowitej przekraczającej 7,5 tony. </w:t>
            </w:r>
          </w:p>
          <w:p w14:paraId="0ECF7073"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3. Komisja określa szczegółowe procedury i wymagania w zakresie stosowania ust. 1 i 2 niniejszego artykułu. Środki te, mające na celu zmianę elementów innych niż istotne niniejszego rozporządzenia, poprzez jego uzupełnienie, przyjmuje się zgodnie z procedurą regulacyjną połączoną z kontrolą, o której mowa w art. 13 ust. 2.</w:t>
            </w:r>
            <w:r w:rsidR="00743752" w:rsidRPr="00FB76A9">
              <w:rPr>
                <w:rFonts w:ascii="Times New Roman" w:hAnsi="Times New Roman" w:cs="Times New Roman"/>
                <w:sz w:val="24"/>
                <w:szCs w:val="24"/>
              </w:rPr>
              <w:t>”</w:t>
            </w:r>
          </w:p>
          <w:p w14:paraId="4719A266" w14:textId="77777777" w:rsidR="007F6DD5" w:rsidRPr="00FB76A9" w:rsidRDefault="007F6DD5" w:rsidP="00FD5CD5">
            <w:pPr>
              <w:autoSpaceDE w:val="0"/>
              <w:autoSpaceDN w:val="0"/>
              <w:adjustRightInd w:val="0"/>
              <w:spacing w:after="0" w:line="240" w:lineRule="auto"/>
              <w:rPr>
                <w:rFonts w:ascii="Times New Roman" w:hAnsi="Times New Roman" w:cs="Times New Roman"/>
                <w:i/>
                <w:iCs/>
                <w:sz w:val="24"/>
                <w:szCs w:val="24"/>
              </w:rPr>
            </w:pPr>
          </w:p>
          <w:p w14:paraId="3D780CDB" w14:textId="77777777" w:rsidR="007F6DD5" w:rsidRPr="00FB76A9" w:rsidRDefault="00743752"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w:t>
            </w:r>
            <w:r w:rsidR="007F6DD5" w:rsidRPr="00FB76A9">
              <w:rPr>
                <w:rFonts w:ascii="Times New Roman" w:hAnsi="Times New Roman" w:cs="Times New Roman"/>
                <w:sz w:val="24"/>
                <w:szCs w:val="24"/>
              </w:rPr>
              <w:t xml:space="preserve">Art. 5. 1. Producenci zapewniają zgodność z wartościami granicznymi emisji zanieczyszczeń określonymi w załączniku I. </w:t>
            </w:r>
          </w:p>
          <w:p w14:paraId="4191F351"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2. Producenci wyposażają pojazdy i silniki w taki sposób, aby części mające potencjalny wpływ na emisję były tak zaprojektowane, zbudowane i zmontowane, aby pojazd lub silnik w trakcie normalnego użytkowania był zgodny z wymogami niniejszego rozporządzenia i przepisów wykonawczych do niego. </w:t>
            </w:r>
          </w:p>
          <w:p w14:paraId="17304864"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3. Stosowanie strategii nieracjonalnych ograniczających skuteczność działania układów kontrolujących emisję zanieczyszczeń jest zabronione. </w:t>
            </w:r>
          </w:p>
          <w:p w14:paraId="3255CF43"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4. Komisja przyjmuje środki w celu wykonania przepisów niniejszego artykułu, obejmujące między innymi przepisy dotyczące: </w:t>
            </w:r>
          </w:p>
          <w:p w14:paraId="20FD1A41"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a) emisji z rury wydechowej, w tym cyklów badań, zastosowania przenośnych systemów pomiaru emisji w celu weryfikacji faktycznych emisji w czasie eksploatacji oraz weryfikacji i ograniczenia emisji nieobjętych cyklem badawczym, określenia wartości granicznych liczby cząstek stałych przy zachowaniu obowiązujących ambitnych wymogów w zakresie ochrony środowiska, oraz emisji na biegu jałowym; </w:t>
            </w:r>
          </w:p>
          <w:p w14:paraId="28E4EC15"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b) emisji zanieczyszczeń ze skrzyni korbowej; </w:t>
            </w:r>
          </w:p>
          <w:p w14:paraId="7141AB81"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c) systemów OBD i ocenę wydajności w trakcie pracy urządzeń kontrolujących emisję zanieczyszczeń;</w:t>
            </w:r>
          </w:p>
          <w:p w14:paraId="7F5D77CF"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d) trwałości urządzeń kontrolujących emisję zanieczyszczeń, urządzeń kontrolujących emisję zanieczyszczeń stanowiących części zamienne, zgodności eksploatacyjnej silników i pojazdów, zgodności produkcji i zdatności pojazdów do ruchu drogowego; </w:t>
            </w:r>
          </w:p>
          <w:p w14:paraId="3FCA3B75"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e) emisji CO2 i zużycia paliwa; </w:t>
            </w:r>
          </w:p>
          <w:p w14:paraId="4C57C9B3"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f) przyznawania rozszerzenia homologacji typu; </w:t>
            </w:r>
          </w:p>
          <w:p w14:paraId="5EE1BBD5"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g) wyposażenia do badań; </w:t>
            </w:r>
          </w:p>
          <w:p w14:paraId="14EFB21F"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h) paliwa wzorcowego, np. benzyny, oleju napędowego, paliw gazowych i biopaliw, np. bioetanolu, biodiesela i biogazu; </w:t>
            </w:r>
          </w:p>
          <w:p w14:paraId="4A911DA3"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i) pomiaru mocy silnika; </w:t>
            </w:r>
          </w:p>
          <w:p w14:paraId="3C2ACFE8"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j) prawidłowego działania i regeneracji urządzeń kontrolujących emisję zanieczyszczeń; </w:t>
            </w:r>
          </w:p>
          <w:p w14:paraId="5176BB04"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k) przepisów szczegółowych zapewniających właściwe funkcjonowanie środków kontroli NO x ; przepisy te zapewniają, by pojazdy nie mogły działać, jeżeli urządzenia kontrolujące NO x nie działają, np. z powodu braku jakiegokolwiek wymaganego odczynnika, nieprawidłowego przepływu w układzie recyrkulacji spalin (EGR) lub jego dezaktywacji. </w:t>
            </w:r>
          </w:p>
          <w:p w14:paraId="52F16A15" w14:textId="77777777" w:rsidR="007F6DD5" w:rsidRPr="00FB76A9" w:rsidRDefault="007F6DD5" w:rsidP="00FD5CD5">
            <w:pPr>
              <w:autoSpaceDE w:val="0"/>
              <w:autoSpaceDN w:val="0"/>
              <w:adjustRightInd w:val="0"/>
              <w:spacing w:after="0" w:line="240" w:lineRule="auto"/>
              <w:rPr>
                <w:rFonts w:ascii="Times New Roman" w:hAnsi="Times New Roman" w:cs="Times New Roman"/>
                <w:b/>
                <w:bCs/>
                <w:sz w:val="24"/>
                <w:szCs w:val="24"/>
              </w:rPr>
            </w:pPr>
            <w:r w:rsidRPr="00FB76A9">
              <w:rPr>
                <w:rFonts w:ascii="Times New Roman" w:hAnsi="Times New Roman" w:cs="Times New Roman"/>
                <w:sz w:val="24"/>
                <w:szCs w:val="24"/>
              </w:rPr>
              <w:t>Środki te, mające na celu zmianę elementów innych niż istotne niniejszego rozporządzenia, poprzez jego uzupełnienie, przyjmuje się zgodnie z procedurą regulacyjną połączoną z kontrolą, o której mowa w art. 13 ust. 2.</w:t>
            </w:r>
            <w:r w:rsidR="00743752" w:rsidRPr="00FB76A9">
              <w:rPr>
                <w:rFonts w:ascii="Times New Roman" w:hAnsi="Times New Roman" w:cs="Times New Roman"/>
                <w:sz w:val="24"/>
                <w:szCs w:val="24"/>
              </w:rPr>
              <w:t>”</w:t>
            </w:r>
          </w:p>
          <w:p w14:paraId="127F9B79" w14:textId="77777777" w:rsidR="007F6DD5" w:rsidRPr="00FB76A9" w:rsidRDefault="00743752"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iCs/>
                <w:sz w:val="24"/>
                <w:szCs w:val="24"/>
              </w:rPr>
              <w:t>„</w:t>
            </w:r>
            <w:r w:rsidR="007F6DD5" w:rsidRPr="00FB76A9">
              <w:rPr>
                <w:rFonts w:ascii="Times New Roman" w:hAnsi="Times New Roman" w:cs="Times New Roman"/>
                <w:iCs/>
                <w:sz w:val="24"/>
                <w:szCs w:val="24"/>
              </w:rPr>
              <w:t>Art. 5a.</w:t>
            </w:r>
            <w:r w:rsidR="007F6DD5" w:rsidRPr="00FB76A9">
              <w:rPr>
                <w:rFonts w:ascii="Times New Roman" w:hAnsi="Times New Roman" w:cs="Times New Roman"/>
                <w:sz w:val="24"/>
                <w:szCs w:val="24"/>
              </w:rPr>
              <w:t xml:space="preserve">1. Producenci dopilnowują, by nowe pojazdy kategorii O3 i O4 sprzedawane, rejestrowane lub dopuszczane do ruchu spełniały następujące wymagania: </w:t>
            </w:r>
          </w:p>
          <w:p w14:paraId="447C1D64"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a) wpływ tych pojazdów na emisje CO2 , zużycie paliwa, zużycie energii elektrycznej i zasięg przy jeździe bezemisyjnej w przypadku pojazdów silnikowych określa się zgodnie z metodą, o której mowa w art. 5c lit. a); </w:t>
            </w:r>
          </w:p>
          <w:p w14:paraId="68805427"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b) są one wyposażone w urządzenia pokładowe służące do monitorowania i rejestrowania ładowności zgodnie z wymogami, o których mowa w art. 5c lit. b). </w:t>
            </w:r>
          </w:p>
          <w:p w14:paraId="1E29394E"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2. Producenci dopilnowują, by nowe pojazdy kategorii M2, M3, N2 i N3 sprzedawane, rejestrowane lub dopuszczane do ruchu były wyposażone w urządzenia pokładowe służące do monitorowania i rejestrowania zużycia paliwa lub energii, ładowności i przebiegu zgodnie z wymogami, o których mowa w art. 5c lit. b). </w:t>
            </w:r>
          </w:p>
          <w:p w14:paraId="2E8836B6"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Dopilnowują oni również, by zasięg przy jeździe bezemisyjnej i zużycie energii elektrycznej w przypadku tych pojazdów były określane zgodnie z metodą, o której mowa w art. 5c lit. c).</w:t>
            </w:r>
            <w:r w:rsidR="00743752" w:rsidRPr="00FB76A9">
              <w:rPr>
                <w:rFonts w:ascii="Times New Roman" w:hAnsi="Times New Roman" w:cs="Times New Roman"/>
                <w:sz w:val="24"/>
                <w:szCs w:val="24"/>
              </w:rPr>
              <w:t>”</w:t>
            </w:r>
          </w:p>
          <w:p w14:paraId="3AA7A1A2" w14:textId="77777777" w:rsidR="007F6DD5" w:rsidRPr="00FB76A9" w:rsidRDefault="00743752"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w:t>
            </w:r>
            <w:r w:rsidR="007F6DD5" w:rsidRPr="00FB76A9">
              <w:rPr>
                <w:rFonts w:ascii="Times New Roman" w:hAnsi="Times New Roman" w:cs="Times New Roman"/>
                <w:sz w:val="24"/>
                <w:szCs w:val="24"/>
              </w:rPr>
              <w:t xml:space="preserve">Art. 5b. 1. Zgodnie ze środkami wykonawczymi, o których mowa w art. 5c, organy krajowe odmawiają udzielenia homologacji typu WE lub krajowej homologacji typu w odniesieniu do nowych pojazdów kategorii M2 , M3 , N2 , N3 , O3 i O4 , które nie spełniają wymogów określonych w tych środkach wykonawczych. </w:t>
            </w:r>
          </w:p>
          <w:p w14:paraId="4BF0A28F"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2. Zgodnie ze środkami wykonawczymi, o których mowa w art. 5c, organy krajowe zakazują sprzedaży, rejestrowania lub dopuszczania do użytku nowych pojazdów kategorii M2 , M3 , N2 , N3 , O3 i O4 , które nie spełniają wymogów określonych w tych środkach wykonawczych.</w:t>
            </w:r>
            <w:r w:rsidR="00743752" w:rsidRPr="00FB76A9">
              <w:rPr>
                <w:rFonts w:ascii="Times New Roman" w:hAnsi="Times New Roman" w:cs="Times New Roman"/>
                <w:sz w:val="24"/>
                <w:szCs w:val="24"/>
              </w:rPr>
              <w:t>”</w:t>
            </w:r>
          </w:p>
          <w:p w14:paraId="69993890" w14:textId="77777777" w:rsidR="007F6DD5" w:rsidRPr="00FB76A9" w:rsidRDefault="00743752"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iCs/>
                <w:sz w:val="24"/>
                <w:szCs w:val="24"/>
              </w:rPr>
              <w:t>„</w:t>
            </w:r>
            <w:r w:rsidR="007F6DD5" w:rsidRPr="00FB76A9">
              <w:rPr>
                <w:rFonts w:ascii="Times New Roman" w:hAnsi="Times New Roman" w:cs="Times New Roman"/>
                <w:iCs/>
                <w:sz w:val="24"/>
                <w:szCs w:val="24"/>
              </w:rPr>
              <w:t>Art. 5c</w:t>
            </w:r>
            <w:r w:rsidR="007F6DD5" w:rsidRPr="00FB76A9">
              <w:rPr>
                <w:rFonts w:ascii="Times New Roman" w:hAnsi="Times New Roman" w:cs="Times New Roman"/>
                <w:sz w:val="24"/>
                <w:szCs w:val="24"/>
              </w:rPr>
              <w:t xml:space="preserve">. Do dnia 31 grudnia 2021 r. Komisja w drodze aktów wykonawczych przyjmie następujące środki: </w:t>
            </w:r>
          </w:p>
          <w:p w14:paraId="361BECBE"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a) metodę oceny parametrów pojazdów kategorii O 3 i O 4 w odniesieniu do ich wpływu na emisje CO 2 , zużycia paliwa, zużycia energii elektrycznej oraz zasięgów przy jeździe bezemisyjnej pojazdów silnikowych; </w:t>
            </w:r>
          </w:p>
          <w:p w14:paraId="6855F53C"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b) wymogi techniczne dotyczące wyposażenia w urządzenia pokładowe w celu monitorowania i rejestrowania zużycia paliwa lub energii oraz przebiegu pojazdów silnikowych kategorii M2 , M3 , N2 i N3 , jak również w celu określania i rejestrowania ładowności lub całkowitej masy pojazdów o parametrach określonych w art. 2 ust. 1 akapit pierwszy lit. a), b), c) lub d) rozporządzenia Parlamentu Europejskiego i Rady (UE) 2019/1242 ( 1 ) oraz ich zespołów z pojazdami kategorii O 3 i O 4 , w tym w razie konieczności przekazywania danych między pojazdami w ramach zespołu pojazdów; </w:t>
            </w:r>
          </w:p>
          <w:p w14:paraId="44ADF230"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c) metodę określania zasięgu przy jeździe bezemisyjnej i zużycia energii elektrycznej w przypadku nowych pojazdów kategorii M 2 , M 3 , N 2 i N 3 . </w:t>
            </w:r>
          </w:p>
          <w:p w14:paraId="6030EAC9"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Te akty wykonawcze przyjmuje się zgodnie z procedurą sprawdzającą, o której mowa w art. 13a.</w:t>
            </w:r>
            <w:r w:rsidR="00743752" w:rsidRPr="00FB76A9">
              <w:rPr>
                <w:rFonts w:ascii="Times New Roman" w:hAnsi="Times New Roman" w:cs="Times New Roman"/>
                <w:sz w:val="24"/>
                <w:szCs w:val="24"/>
              </w:rPr>
              <w:t>”</w:t>
            </w:r>
          </w:p>
          <w:p w14:paraId="4FAC0892" w14:textId="77777777" w:rsidR="007F6DD5" w:rsidRPr="00FB76A9" w:rsidRDefault="007F6DD5" w:rsidP="00FD5CD5">
            <w:pPr>
              <w:autoSpaceDE w:val="0"/>
              <w:autoSpaceDN w:val="0"/>
              <w:adjustRightInd w:val="0"/>
              <w:spacing w:after="0" w:line="240" w:lineRule="auto"/>
              <w:rPr>
                <w:rFonts w:ascii="Times New Roman" w:hAnsi="Times New Roman" w:cs="Times New Roman"/>
                <w:sz w:val="24"/>
                <w:szCs w:val="24"/>
              </w:rPr>
            </w:pPr>
          </w:p>
          <w:p w14:paraId="15D1A3EE" w14:textId="77777777" w:rsidR="007F6DD5" w:rsidRPr="00FB76A9" w:rsidRDefault="00743752"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w:t>
            </w:r>
            <w:r w:rsidR="007F6DD5" w:rsidRPr="00FB76A9">
              <w:rPr>
                <w:rFonts w:ascii="Times New Roman" w:hAnsi="Times New Roman" w:cs="Times New Roman"/>
                <w:sz w:val="24"/>
                <w:szCs w:val="24"/>
              </w:rPr>
              <w:t xml:space="preserve">Art. 7. 1. Producenci, naprawiający i użytkownicy pojazdów nie ingerują w systemy wykorzystujące odczynnik ulegający zużyciu. </w:t>
            </w:r>
          </w:p>
          <w:p w14:paraId="268AA19A" w14:textId="77777777" w:rsidR="00CF31F7" w:rsidRPr="00FB76A9" w:rsidRDefault="007F6DD5" w:rsidP="00FD5CD5">
            <w:pPr>
              <w:spacing w:after="0" w:line="240" w:lineRule="auto"/>
              <w:rPr>
                <w:rFonts w:ascii="Times New Roman" w:hAnsi="Times New Roman" w:cs="Times New Roman"/>
                <w:sz w:val="24"/>
                <w:szCs w:val="24"/>
              </w:rPr>
            </w:pPr>
            <w:r w:rsidRPr="00FB76A9">
              <w:rPr>
                <w:rFonts w:ascii="Times New Roman" w:hAnsi="Times New Roman" w:cs="Times New Roman"/>
                <w:sz w:val="24"/>
                <w:szCs w:val="24"/>
              </w:rPr>
              <w:t>2. Użytkownicy pojazdów zapewniają, by pojazdy nie były użytkowane bez odczynnika ulegającego zużyciu.”</w:t>
            </w:r>
          </w:p>
        </w:tc>
        <w:tc>
          <w:tcPr>
            <w:tcW w:w="884" w:type="dxa"/>
            <w:tcBorders>
              <w:top w:val="single" w:sz="4" w:space="0" w:color="auto"/>
              <w:left w:val="single" w:sz="4" w:space="0" w:color="auto"/>
              <w:bottom w:val="single" w:sz="4" w:space="0" w:color="auto"/>
              <w:right w:val="single" w:sz="4" w:space="0" w:color="auto"/>
            </w:tcBorders>
          </w:tcPr>
          <w:p w14:paraId="2F665701" w14:textId="77777777" w:rsidR="007F6DD5" w:rsidRPr="00FB76A9" w:rsidRDefault="007F6DD5"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w:t>
            </w:r>
          </w:p>
        </w:tc>
        <w:tc>
          <w:tcPr>
            <w:tcW w:w="805" w:type="dxa"/>
            <w:tcBorders>
              <w:top w:val="single" w:sz="4" w:space="0" w:color="auto"/>
              <w:left w:val="single" w:sz="4" w:space="0" w:color="auto"/>
              <w:bottom w:val="single" w:sz="4" w:space="0" w:color="auto"/>
              <w:right w:val="single" w:sz="4" w:space="0" w:color="auto"/>
            </w:tcBorders>
          </w:tcPr>
          <w:p w14:paraId="042494D6" w14:textId="77777777" w:rsidR="007F6DD5" w:rsidRPr="00FB76A9" w:rsidRDefault="007361A0"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sz w:val="24"/>
                <w:szCs w:val="24"/>
                <w:lang w:eastAsia="pl-PL"/>
              </w:rPr>
              <w:t>Art. 1 pkt 24</w:t>
            </w:r>
          </w:p>
        </w:tc>
        <w:tc>
          <w:tcPr>
            <w:tcW w:w="5433" w:type="dxa"/>
            <w:tcBorders>
              <w:top w:val="single" w:sz="4" w:space="0" w:color="auto"/>
              <w:left w:val="single" w:sz="4" w:space="0" w:color="auto"/>
              <w:bottom w:val="single" w:sz="4" w:space="0" w:color="auto"/>
              <w:right w:val="single" w:sz="4" w:space="0" w:color="auto"/>
            </w:tcBorders>
          </w:tcPr>
          <w:p w14:paraId="0A6E968F" w14:textId="77777777" w:rsidR="007361A0" w:rsidRPr="00FB76A9" w:rsidRDefault="007361A0"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„Rozdział 6a</w:t>
            </w:r>
          </w:p>
          <w:p w14:paraId="4F92A3FF" w14:textId="77777777" w:rsidR="007361A0" w:rsidRPr="00FB76A9" w:rsidRDefault="007361A0" w:rsidP="00FD5CD5">
            <w:pPr>
              <w:pStyle w:val="ZROZDZODDZPRZEDMzmprzedmrozdzoddzartykuempunktem"/>
              <w:spacing w:before="0" w:after="0" w:line="240" w:lineRule="auto"/>
              <w:ind w:left="0"/>
              <w:jc w:val="left"/>
              <w:rPr>
                <w:rFonts w:ascii="Times New Roman" w:hAnsi="Times New Roman"/>
              </w:rPr>
            </w:pPr>
            <w:r w:rsidRPr="00FB76A9">
              <w:rPr>
                <w:rFonts w:ascii="Times New Roman" w:hAnsi="Times New Roman"/>
              </w:rPr>
              <w:t>Administracyjne kary pieniężne</w:t>
            </w:r>
          </w:p>
          <w:p w14:paraId="47AA4261" w14:textId="77777777" w:rsidR="00776F54" w:rsidRPr="00FB76A9" w:rsidRDefault="00776F54" w:rsidP="00FD5CD5">
            <w:pPr>
              <w:pStyle w:val="ZARTzmartartykuempunktem"/>
              <w:spacing w:line="240" w:lineRule="auto"/>
              <w:jc w:val="left"/>
              <w:rPr>
                <w:rFonts w:ascii="Times New Roman" w:hAnsi="Times New Roman" w:cs="Times New Roman"/>
                <w:szCs w:val="24"/>
              </w:rPr>
            </w:pPr>
          </w:p>
          <w:p w14:paraId="69C16DC9" w14:textId="77777777" w:rsidR="00776F54" w:rsidRPr="00FB76A9" w:rsidRDefault="00776F54"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Art. 71c. Podmiot gospodarczy, który wprowadził do obrotu pojazd, przedmiot wyposażenia lub część niezgodnie z wymaganiami określonymi w:</w:t>
            </w:r>
          </w:p>
          <w:p w14:paraId="3C9D9D19" w14:textId="77777777" w:rsidR="00776F54" w:rsidRPr="00FB76A9" w:rsidRDefault="00776F54"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10)</w:t>
            </w:r>
            <w:r w:rsidRPr="00FB76A9">
              <w:rPr>
                <w:rFonts w:ascii="Times New Roman" w:hAnsi="Times New Roman" w:cs="Times New Roman"/>
                <w:szCs w:val="24"/>
              </w:rPr>
              <w:tab/>
              <w:t xml:space="preserve"> art. 4, art. 5, art. 5a i art. 7 rozporządzenia Parlamentu Europejskiego i Rady (WE) nr 595/2009 z dnia 18 czerwca 2009 r. dotyczącego homologacji typu pojazdów silnikowych i silników w odniesieniu do emisji zanieczyszczeń pochodzących z pojazdów ciężarowych o dużej ładowności (Euro VI) i zmieniającego rozporządzenie (WE) nr 715/2007 i dyrektywę 2007/46/WE oraz uchylającego dyrektywy 80/1269/EWG, 2005/55/WE i 2005/78/WE (Dz. Urz. UE L 188 z 18.07.2009, str. 1, z późn. zm. )), zwanego dalej „rozporządzeniem 595/2009”;</w:t>
            </w:r>
          </w:p>
          <w:p w14:paraId="05A0A333" w14:textId="77777777" w:rsidR="00776F54" w:rsidRPr="00FB76A9" w:rsidRDefault="00776F54"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podlega administracyjnej karze pieniężnej do wysokości dwunastokrotności przeciętnego wynagrodzenia, o którym mowa w art. 68g ust. 4, ogłaszanego za czwarty kwartał roku poprzedzającego nałożenie kary, za każdy pojazd, przedmiot wyposażenia lub część, które wprowadził do obrotu.</w:t>
            </w:r>
          </w:p>
          <w:p w14:paraId="7EA18A34" w14:textId="77777777" w:rsidR="00776F54" w:rsidRPr="00FB76A9" w:rsidRDefault="00776F54" w:rsidP="00FD5CD5">
            <w:pPr>
              <w:pStyle w:val="ZARTzmartartykuempunktem"/>
              <w:spacing w:line="240" w:lineRule="auto"/>
              <w:ind w:left="0" w:firstLine="0"/>
              <w:jc w:val="left"/>
              <w:rPr>
                <w:rFonts w:ascii="Times New Roman" w:hAnsi="Times New Roman" w:cs="Times New Roman"/>
                <w:szCs w:val="24"/>
              </w:rPr>
            </w:pPr>
          </w:p>
          <w:p w14:paraId="163FF351" w14:textId="77777777" w:rsidR="00776F54" w:rsidRPr="00FB76A9" w:rsidRDefault="00776F54"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Art. 71h. Podmiot gospodarczy, który wbrew obowiązkowi lub na żądanie Dyrektora TDT nie udostępnia informacji i dokumentacji niezbędnych do wykonywania zadań realizowanych przez Dyrektora TDT w przypadkach, o których mowa w:</w:t>
            </w:r>
          </w:p>
          <w:p w14:paraId="2E6618CF" w14:textId="77777777" w:rsidR="00776F54" w:rsidRPr="00FB76A9" w:rsidRDefault="00776F54"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6) </w:t>
            </w:r>
            <w:r w:rsidRPr="00FB76A9">
              <w:rPr>
                <w:rFonts w:ascii="Times New Roman" w:hAnsi="Times New Roman" w:cs="Times New Roman"/>
                <w:szCs w:val="24"/>
              </w:rPr>
              <w:tab/>
              <w:t>art. 4, art. 5, art. 5a i art. 7 rozporządzenia 595/2009;</w:t>
            </w:r>
          </w:p>
          <w:p w14:paraId="1DD28163" w14:textId="77777777" w:rsidR="00776F54" w:rsidRPr="00FB76A9" w:rsidRDefault="00776F54"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podlega administracyjnej karze pieniężnej do wysokości dwukrotności przeciętnego wynagrodzenia, o którym mowa w art. 68g ust. 4, ogłaszanego za czwarty kwartał roku poprzedzającego nałożenie kary, za każdy przypadek nieudostępnienia informacji lub dokumentów.</w:t>
            </w:r>
          </w:p>
          <w:p w14:paraId="2FBA71AE" w14:textId="77777777" w:rsidR="007F6DD5" w:rsidRDefault="007F6DD5" w:rsidP="00C31722">
            <w:pPr>
              <w:pStyle w:val="ZARTzmartartykuempunktem"/>
              <w:spacing w:line="240" w:lineRule="auto"/>
              <w:ind w:left="0" w:firstLine="0"/>
              <w:jc w:val="left"/>
              <w:rPr>
                <w:rFonts w:ascii="Times New Roman" w:hAnsi="Times New Roman" w:cs="Times New Roman"/>
                <w:szCs w:val="24"/>
              </w:rPr>
            </w:pPr>
          </w:p>
          <w:p w14:paraId="1EA7FB53" w14:textId="77777777" w:rsidR="00C31722" w:rsidRPr="001F1A7B" w:rsidRDefault="00C31722" w:rsidP="00C31722">
            <w:pPr>
              <w:pStyle w:val="ZARTzmartartykuempunktem"/>
              <w:spacing w:line="240" w:lineRule="auto"/>
              <w:ind w:left="0" w:firstLine="0"/>
              <w:jc w:val="left"/>
            </w:pPr>
            <w:r w:rsidRPr="001F1A7B">
              <w:t>Art. 71p. 1. Administracyjne kary pieniężne, o których mowa w art. 71a</w:t>
            </w:r>
            <w:r w:rsidRPr="001F1A7B">
              <w:rPr>
                <w:rFonts w:ascii="Times New Roman" w:hAnsi="Times New Roman" w:cs="Times New Roman"/>
                <w:szCs w:val="24"/>
              </w:rPr>
              <w:t>–</w:t>
            </w:r>
            <w:r w:rsidRPr="001F1A7B">
              <w:t xml:space="preserve">71o, nakłada Dyrektor TDT w drodze decyzji administracyjnej. </w:t>
            </w:r>
          </w:p>
          <w:p w14:paraId="2D617433" w14:textId="77777777" w:rsidR="00C31722" w:rsidRPr="001F1A7B" w:rsidRDefault="00C31722" w:rsidP="00C31722">
            <w:pPr>
              <w:pStyle w:val="ZUSTzmustartykuempunktem"/>
              <w:spacing w:line="240" w:lineRule="auto"/>
              <w:ind w:left="0" w:firstLine="0"/>
              <w:jc w:val="left"/>
            </w:pPr>
            <w:r w:rsidRPr="001F1A7B">
              <w:t xml:space="preserve">2. Organem wyższego stopnia w rozumieniu przepisów ustawy z dnia 14 czerwca 1960 r. – Kodeks postępowania administracyjnego w sprawach, o których mowa w ust. 1, jest minister właściwy do spraw transportu. </w:t>
            </w:r>
          </w:p>
          <w:p w14:paraId="0EB3823A" w14:textId="77777777" w:rsidR="00C31722" w:rsidRPr="001F1A7B" w:rsidRDefault="00C31722" w:rsidP="00C31722">
            <w:pPr>
              <w:pStyle w:val="ZUSTzmustartykuempunktem"/>
              <w:keepNext/>
              <w:spacing w:line="240" w:lineRule="auto"/>
              <w:ind w:left="0" w:firstLine="0"/>
              <w:jc w:val="left"/>
            </w:pPr>
            <w:r w:rsidRPr="001F1A7B">
              <w:t xml:space="preserve">3. Przy ustalaniu wysokości administracyjnych kar pieniężnych, o których mowa </w:t>
            </w:r>
            <w:r w:rsidRPr="001F1A7B">
              <w:br/>
              <w:t>w art. 71a</w:t>
            </w:r>
            <w:r w:rsidRPr="001F1A7B">
              <w:rPr>
                <w:rFonts w:ascii="Times New Roman" w:hAnsi="Times New Roman" w:cs="Times New Roman"/>
                <w:szCs w:val="24"/>
              </w:rPr>
              <w:t>–</w:t>
            </w:r>
            <w:r w:rsidRPr="001F1A7B">
              <w:t>71o, uwzględnia się:</w:t>
            </w:r>
          </w:p>
          <w:p w14:paraId="1797994E" w14:textId="77777777" w:rsidR="00C31722" w:rsidRPr="001F1A7B" w:rsidRDefault="00C31722" w:rsidP="00C31722">
            <w:pPr>
              <w:pStyle w:val="ZPKTzmpktartykuempunktem"/>
              <w:tabs>
                <w:tab w:val="left" w:pos="170"/>
                <w:tab w:val="left" w:pos="340"/>
                <w:tab w:val="left" w:pos="510"/>
                <w:tab w:val="left" w:pos="680"/>
                <w:tab w:val="left" w:pos="850"/>
                <w:tab w:val="left" w:pos="1020"/>
                <w:tab w:val="left" w:pos="1190"/>
                <w:tab w:val="left" w:pos="1360"/>
                <w:tab w:val="left" w:pos="1530"/>
                <w:tab w:val="left" w:pos="1700"/>
                <w:tab w:val="left" w:pos="1870"/>
                <w:tab w:val="left" w:pos="2040"/>
                <w:tab w:val="left" w:pos="2210"/>
                <w:tab w:val="left" w:pos="2380"/>
                <w:tab w:val="left" w:pos="2550"/>
                <w:tab w:val="left" w:pos="2720"/>
                <w:tab w:val="left" w:pos="2890"/>
                <w:tab w:val="left" w:pos="3060"/>
                <w:tab w:val="left" w:pos="3230"/>
                <w:tab w:val="left" w:pos="3400"/>
                <w:tab w:val="left" w:pos="3570"/>
                <w:tab w:val="left" w:pos="3740"/>
                <w:tab w:val="left" w:pos="3910"/>
                <w:tab w:val="left" w:pos="4080"/>
                <w:tab w:val="left" w:pos="4250"/>
                <w:tab w:val="left" w:pos="4420"/>
                <w:tab w:val="left" w:pos="4590"/>
                <w:tab w:val="left" w:pos="4760"/>
                <w:tab w:val="left" w:pos="4930"/>
                <w:tab w:val="left" w:pos="5100"/>
                <w:tab w:val="left" w:pos="5270"/>
                <w:tab w:val="left" w:pos="5440"/>
                <w:tab w:val="left" w:pos="5610"/>
                <w:tab w:val="left" w:pos="5780"/>
                <w:tab w:val="left" w:pos="5950"/>
                <w:tab w:val="left" w:pos="6120"/>
                <w:tab w:val="left" w:pos="6768"/>
              </w:tabs>
              <w:spacing w:line="240" w:lineRule="auto"/>
              <w:jc w:val="left"/>
            </w:pPr>
            <w:r w:rsidRPr="001F1A7B">
              <w:t>1)</w:t>
            </w:r>
            <w:r w:rsidRPr="001F1A7B">
              <w:tab/>
            </w:r>
            <w:r w:rsidRPr="001F1A7B">
              <w:tab/>
              <w:t>stopień, okoliczności i okres naruszenia obowiązków;</w:t>
            </w:r>
            <w:r w:rsidRPr="001F1A7B">
              <w:tab/>
            </w:r>
            <w:r w:rsidRPr="001F1A7B">
              <w:tab/>
            </w:r>
          </w:p>
          <w:p w14:paraId="2DE0FB96" w14:textId="77777777" w:rsidR="00C31722" w:rsidRPr="00A21A0C" w:rsidRDefault="00C31722" w:rsidP="00C31722">
            <w:pPr>
              <w:pStyle w:val="ZPKTzmpktartykuempunktem"/>
              <w:tabs>
                <w:tab w:val="left" w:pos="170"/>
                <w:tab w:val="left" w:pos="340"/>
                <w:tab w:val="left" w:pos="510"/>
                <w:tab w:val="left" w:pos="680"/>
                <w:tab w:val="left" w:pos="850"/>
                <w:tab w:val="left" w:pos="1020"/>
                <w:tab w:val="left" w:pos="1190"/>
                <w:tab w:val="left" w:pos="1360"/>
                <w:tab w:val="left" w:pos="1530"/>
                <w:tab w:val="left" w:pos="1700"/>
                <w:tab w:val="left" w:pos="1870"/>
                <w:tab w:val="left" w:pos="2040"/>
                <w:tab w:val="left" w:pos="2210"/>
                <w:tab w:val="left" w:pos="2380"/>
                <w:tab w:val="left" w:pos="2550"/>
                <w:tab w:val="left" w:pos="2720"/>
                <w:tab w:val="left" w:pos="2890"/>
                <w:tab w:val="left" w:pos="3060"/>
                <w:tab w:val="left" w:pos="3230"/>
                <w:tab w:val="left" w:pos="3400"/>
                <w:tab w:val="left" w:pos="3570"/>
                <w:tab w:val="left" w:pos="3740"/>
                <w:tab w:val="left" w:pos="3910"/>
                <w:tab w:val="left" w:pos="4080"/>
                <w:tab w:val="left" w:pos="4250"/>
                <w:tab w:val="left" w:pos="4420"/>
                <w:tab w:val="left" w:pos="4590"/>
                <w:tab w:val="left" w:pos="4760"/>
                <w:tab w:val="left" w:pos="4930"/>
                <w:tab w:val="left" w:pos="5100"/>
                <w:tab w:val="left" w:pos="5270"/>
                <w:tab w:val="left" w:pos="5440"/>
                <w:tab w:val="left" w:pos="5610"/>
                <w:tab w:val="left" w:pos="5780"/>
                <w:tab w:val="left" w:pos="5950"/>
                <w:tab w:val="left" w:pos="6120"/>
                <w:tab w:val="left" w:pos="6768"/>
              </w:tabs>
              <w:spacing w:line="240" w:lineRule="auto"/>
              <w:jc w:val="left"/>
            </w:pPr>
            <w:r w:rsidRPr="001F1A7B">
              <w:t xml:space="preserve">2) </w:t>
            </w:r>
            <w:r w:rsidRPr="001F1A7B">
              <w:tab/>
            </w:r>
            <w:r w:rsidRPr="001F1A7B">
              <w:tab/>
              <w:t xml:space="preserve">rodzaj i charakter </w:t>
            </w:r>
            <w:r w:rsidRPr="00A21A0C">
              <w:t xml:space="preserve">stwierdzonych niezgodności z wymaganiami technicznymi, </w:t>
            </w:r>
            <w:r w:rsidRPr="00A21A0C">
              <w:rPr>
                <w:rFonts w:ascii="Times New Roman" w:hAnsi="Times New Roman" w:cs="Times New Roman"/>
                <w:szCs w:val="24"/>
              </w:rPr>
              <w:t>warunkami technicznymi, o których mowa w art. 66 ust. 1 ustawy z dnia 20 czerwca 1997 r. – Prawo o ruchu drogowym oraz określonymi w przepisach wydanych na podstawie art. 66 ust. 5 tej ustawy,</w:t>
            </w:r>
            <w:r w:rsidRPr="00A21A0C">
              <w:t xml:space="preserve"> lub rodzaj </w:t>
            </w:r>
            <w:r w:rsidRPr="00A21A0C">
              <w:rPr>
                <w:rFonts w:ascii="Times New Roman" w:hAnsi="Times New Roman" w:cs="Times New Roman"/>
                <w:szCs w:val="24"/>
              </w:rPr>
              <w:t>stwarzanego poważnego ryzyka</w:t>
            </w:r>
            <w:r w:rsidRPr="00A21A0C">
              <w:t xml:space="preserve"> przez pojazd, przedmiot wyposażenia lub część, rower, wózek rowerowy, hulajnogę elektryczną oraz urządzenie transportu osobistego;</w:t>
            </w:r>
          </w:p>
          <w:p w14:paraId="2B207073" w14:textId="77777777" w:rsidR="00C31722" w:rsidRPr="001F1A7B" w:rsidRDefault="00C31722" w:rsidP="00C31722">
            <w:pPr>
              <w:pStyle w:val="ZPKTzmpktartykuempunktem"/>
              <w:spacing w:line="240" w:lineRule="auto"/>
              <w:jc w:val="left"/>
            </w:pPr>
            <w:r w:rsidRPr="00A21A0C">
              <w:t>3)</w:t>
            </w:r>
            <w:r w:rsidRPr="00A21A0C">
              <w:tab/>
              <w:t>liczbę udostępnionych na rynku pojazdów, przedmiotów wyposażenia lub części niezgodnych z wymaganiami technicznymi albo rowerów, wózków rowerowych, hulajnóg elektrycznych oraz urządzeń transportu osobistego</w:t>
            </w:r>
            <w:r w:rsidRPr="00A21A0C">
              <w:rPr>
                <w:rFonts w:ascii="Times New Roman" w:hAnsi="Times New Roman" w:cs="Times New Roman"/>
                <w:szCs w:val="24"/>
              </w:rPr>
              <w:t xml:space="preserve"> niezgodnych z warunkami technicznymi, o których mowa w art. 66 ust. 1 ustawy z dnia 20 czerwca 1997 r. – Prawo o ruchu drogowym oraz określonymi w przepisach wydanych na podstawie art. 66 ust. 5 tej ustawy</w:t>
            </w:r>
            <w:r w:rsidRPr="00A21A0C">
              <w:t>, w których dokonano montażu dodatkowej instalacji zasilania gazem pojazdu niezgodnie z wymaganiami</w:t>
            </w:r>
            <w:r w:rsidRPr="001F1A7B">
              <w:t>, o których mowa w art. 31 ust. 2, art. 36, art. 42 i 43, wymaganiami technicznymi obowiązującymi w procedurze homologacji dodatkowej instalacji zasilania gazem pojazdu oraz wymaganiami w zakresie tabliczki informacyjnej, wynikając</w:t>
            </w:r>
            <w:r>
              <w:t>ymi</w:t>
            </w:r>
            <w:r w:rsidRPr="001F1A7B">
              <w:t xml:space="preserve"> z przepisów wydanych na podstawie art. 58;</w:t>
            </w:r>
          </w:p>
          <w:p w14:paraId="1686C625" w14:textId="77777777" w:rsidR="00C31722" w:rsidRPr="001F1A7B" w:rsidRDefault="00C31722" w:rsidP="00C31722">
            <w:pPr>
              <w:pStyle w:val="ZPKTzmpktartykuempunktem"/>
              <w:spacing w:line="240" w:lineRule="auto"/>
              <w:jc w:val="left"/>
            </w:pPr>
            <w:r w:rsidRPr="001F1A7B">
              <w:t>4)</w:t>
            </w:r>
            <w:r w:rsidRPr="001F1A7B">
              <w:tab/>
              <w:t>uprzednie naruszenie obowiązków;</w:t>
            </w:r>
          </w:p>
          <w:p w14:paraId="4B6C2F2A" w14:textId="77777777" w:rsidR="00C31722" w:rsidRPr="001F1A7B" w:rsidRDefault="00C31722" w:rsidP="00C31722">
            <w:pPr>
              <w:pStyle w:val="ZPKTzmpktartykuempunktem"/>
              <w:spacing w:line="240" w:lineRule="auto"/>
              <w:jc w:val="left"/>
            </w:pPr>
            <w:r w:rsidRPr="001F1A7B">
              <w:t>5)</w:t>
            </w:r>
            <w:r w:rsidRPr="001F1A7B">
              <w:tab/>
              <w:t>współpracę z Dyrektorem TDT jako organem nadzoru rynku, w tym przyczynienie się do szybkiego i sprawnego przeprowadzenia czynności wyjaśniających, kontroli, badań lub postępowań administracyjnych;</w:t>
            </w:r>
          </w:p>
          <w:p w14:paraId="105A412B" w14:textId="77777777" w:rsidR="00C31722" w:rsidRPr="001F1A7B" w:rsidRDefault="00C31722" w:rsidP="00C31722">
            <w:pPr>
              <w:pStyle w:val="ZPKTzmpktartykuempunktem"/>
              <w:spacing w:line="240" w:lineRule="auto"/>
              <w:jc w:val="left"/>
            </w:pPr>
            <w:r w:rsidRPr="001F1A7B">
              <w:t xml:space="preserve">6) </w:t>
            </w:r>
            <w:r w:rsidRPr="001F1A7B">
              <w:tab/>
              <w:t xml:space="preserve">zaprzestanie przez podmiot gospodarczy naruszenia obowiązków, o których mowa odpowiednio w art. 53a i </w:t>
            </w:r>
            <w:r>
              <w:t xml:space="preserve">art. </w:t>
            </w:r>
            <w:r w:rsidRPr="001F1A7B">
              <w:t>53b oraz potwierdzenie realizacji tych obowiązków;</w:t>
            </w:r>
          </w:p>
          <w:p w14:paraId="7182B91A" w14:textId="77777777" w:rsidR="00C31722" w:rsidRPr="001F1A7B" w:rsidRDefault="00C31722" w:rsidP="00C31722">
            <w:pPr>
              <w:pStyle w:val="ZPKTzmpktartykuempunktem"/>
              <w:spacing w:line="240" w:lineRule="auto"/>
              <w:jc w:val="left"/>
            </w:pPr>
            <w:r w:rsidRPr="001F1A7B">
              <w:t>7)</w:t>
            </w:r>
            <w:r w:rsidRPr="001F1A7B">
              <w:rPr>
                <w:rFonts w:eastAsiaTheme="minorHAnsi"/>
                <w:sz w:val="22"/>
                <w:szCs w:val="22"/>
                <w:lang w:eastAsia="en-US"/>
              </w:rPr>
              <w:tab/>
            </w:r>
            <w:r w:rsidRPr="001F1A7B">
              <w:t>zlecenie przez podmiot, który zamontował w pojeździe dodatkową instalację zasilania gazem pojazdu bez świadectwa homologacji montażu dodatkowej instalacji zasilania gazem pojazdu, uprawnionemu podmiotowi wymianę tej instalacji w pojeździe, na swój koszt, na instalację zgodną z takim świadectwem.</w:t>
            </w:r>
          </w:p>
          <w:p w14:paraId="3F041A46" w14:textId="77777777" w:rsidR="00C31722" w:rsidRPr="001F1A7B" w:rsidRDefault="00C31722" w:rsidP="00C31722">
            <w:pPr>
              <w:pStyle w:val="ZUSTzmustartykuempunktem"/>
              <w:spacing w:line="240" w:lineRule="auto"/>
              <w:ind w:left="0" w:firstLine="0"/>
              <w:jc w:val="left"/>
            </w:pPr>
            <w:r w:rsidRPr="001F1A7B">
              <w:t xml:space="preserve">4. Przy wydawaniu decyzji o nałożeniu administracyjnej kary pieniężnej, o której mowa w art. 71a–71o, przepisu art. 189f ustawy z dnia 14 czerwca 1960 r. – Kodeks postępowania administracyjnego nie stosuje się. </w:t>
            </w:r>
          </w:p>
          <w:p w14:paraId="1B70C4C7" w14:textId="77777777" w:rsidR="00C31722" w:rsidRPr="001F1A7B" w:rsidRDefault="00C31722" w:rsidP="00C31722">
            <w:pPr>
              <w:pStyle w:val="ZARTzmartartykuempunktem"/>
              <w:spacing w:line="240" w:lineRule="auto"/>
              <w:ind w:left="0" w:firstLine="0"/>
              <w:jc w:val="left"/>
            </w:pPr>
            <w:r w:rsidRPr="001F1A7B">
              <w:t xml:space="preserve">Art. 71r. 1. Administracyjne kary pieniężne, o których mowa w art. 71a–71o, uiszcza się na rachunek Transportowego Dozoru Technicznego w terminie 14 dni od dnia, w którym decyzja o nałożeniu administracyjnej kary pieniężnej stała się ostateczna. </w:t>
            </w:r>
          </w:p>
          <w:p w14:paraId="5039B57F" w14:textId="77777777" w:rsidR="00C31722" w:rsidRPr="001F1A7B" w:rsidRDefault="00C31722" w:rsidP="00C31722">
            <w:pPr>
              <w:pStyle w:val="ZUSTzmustartykuempunktem"/>
              <w:spacing w:line="240" w:lineRule="auto"/>
              <w:ind w:left="0" w:firstLine="0"/>
              <w:jc w:val="left"/>
            </w:pPr>
            <w:r w:rsidRPr="001F1A7B">
              <w:t>2. Wpływy z administracyjnych kar pieniężnych wraz z odsetkami stanowią przychód Dyrektora TDT.</w:t>
            </w:r>
          </w:p>
          <w:p w14:paraId="50F4B39C" w14:textId="77777777" w:rsidR="00C31722" w:rsidRPr="00F51BEF" w:rsidRDefault="00C31722" w:rsidP="00C31722">
            <w:pPr>
              <w:pStyle w:val="ZUSTzmustartykuempunktem"/>
              <w:spacing w:line="240" w:lineRule="auto"/>
              <w:ind w:left="0" w:firstLine="0"/>
              <w:jc w:val="left"/>
            </w:pPr>
            <w:r w:rsidRPr="00F51BEF">
              <w:t>Art. 71s. 1. Kary pieniężne, o których mowa w art. 71a</w:t>
            </w:r>
            <w:r w:rsidRPr="00F51BEF">
              <w:rPr>
                <w:rFonts w:ascii="Times New Roman" w:hAnsi="Times New Roman" w:cs="Times New Roman"/>
                <w:szCs w:val="24"/>
              </w:rPr>
              <w:t>–</w:t>
            </w:r>
            <w:r w:rsidRPr="00F51BEF">
              <w:t>71o, wraz z odsetkami ustawowymi za opóźnienie, podlegają przymusowemu ściągnięciu w trybie określonym w ustawie z dnia 17 czerwca 1966 r. o postępowaniu egzekucyjnym w administracji.</w:t>
            </w:r>
          </w:p>
          <w:p w14:paraId="569B45C8" w14:textId="77777777" w:rsidR="00C31722" w:rsidRPr="00F51BEF" w:rsidRDefault="00C31722" w:rsidP="00C31722">
            <w:pPr>
              <w:pStyle w:val="ZARTzmartartykuempunktem"/>
              <w:tabs>
                <w:tab w:val="left" w:pos="851"/>
              </w:tabs>
              <w:spacing w:line="240" w:lineRule="auto"/>
              <w:ind w:left="0" w:firstLine="0"/>
              <w:jc w:val="left"/>
            </w:pPr>
            <w:r>
              <w:t>2.</w:t>
            </w:r>
            <w:r w:rsidRPr="00F51BEF">
              <w:t xml:space="preserve"> Obowiązek uiszczenia kar pieniężnych, o których mowa w ust. 1, przedawnia się z upływem 5 lat, licząc od ostatniego dnia roku kalendarzowego, w którym kary powinny zostać uiszczone.”.</w:t>
            </w:r>
          </w:p>
          <w:p w14:paraId="1DD0E8E4" w14:textId="77777777" w:rsidR="00C31722" w:rsidRPr="00FB76A9" w:rsidRDefault="00C31722" w:rsidP="00C31722">
            <w:pPr>
              <w:pStyle w:val="ZARTzmartartykuempunktem"/>
              <w:spacing w:line="240" w:lineRule="auto"/>
              <w:ind w:left="0" w:firstLine="0"/>
              <w:jc w:val="left"/>
              <w:rPr>
                <w:rFonts w:ascii="Times New Roman" w:hAnsi="Times New Roman" w:cs="Times New Roman"/>
                <w:szCs w:val="24"/>
              </w:rPr>
            </w:pPr>
          </w:p>
        </w:tc>
        <w:tc>
          <w:tcPr>
            <w:tcW w:w="1504" w:type="dxa"/>
            <w:tcBorders>
              <w:top w:val="single" w:sz="4" w:space="0" w:color="auto"/>
              <w:left w:val="single" w:sz="4" w:space="0" w:color="auto"/>
              <w:bottom w:val="single" w:sz="4" w:space="0" w:color="auto"/>
              <w:right w:val="single" w:sz="4" w:space="0" w:color="auto"/>
            </w:tcBorders>
          </w:tcPr>
          <w:p w14:paraId="7283477F" w14:textId="77777777" w:rsidR="007F6DD5" w:rsidRPr="00FB76A9" w:rsidRDefault="007F6DD5" w:rsidP="00FD5CD5">
            <w:pPr>
              <w:spacing w:after="0" w:line="240" w:lineRule="auto"/>
              <w:rPr>
                <w:rFonts w:ascii="Times New Roman" w:eastAsia="Times New Roman" w:hAnsi="Times New Roman" w:cs="Times New Roman"/>
                <w:b/>
                <w:bCs/>
                <w:sz w:val="24"/>
                <w:szCs w:val="24"/>
                <w:lang w:eastAsia="pl-PL"/>
              </w:rPr>
            </w:pPr>
          </w:p>
        </w:tc>
      </w:tr>
    </w:tbl>
    <w:p w14:paraId="002073C2" w14:textId="77777777" w:rsidR="00776F54" w:rsidRPr="00FB76A9" w:rsidRDefault="00776F54" w:rsidP="00FD5CD5">
      <w:pPr>
        <w:rPr>
          <w:rFonts w:ascii="Times New Roman" w:hAnsi="Times New Roman" w:cs="Times New Roman"/>
          <w:sz w:val="24"/>
          <w:szCs w:val="24"/>
        </w:rPr>
      </w:pPr>
    </w:p>
    <w:tbl>
      <w:tblPr>
        <w:tblpPr w:leftFromText="141" w:rightFromText="141" w:vertAnchor="text" w:tblpY="1"/>
        <w:tblOverlap w:val="neve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13"/>
        <w:gridCol w:w="9482"/>
      </w:tblGrid>
      <w:tr w:rsidR="00DC2D7F" w:rsidRPr="00FB76A9" w14:paraId="542DD96F" w14:textId="77777777" w:rsidTr="00777DE4">
        <w:trPr>
          <w:cantSplit/>
          <w:trHeight w:val="576"/>
        </w:trPr>
        <w:tc>
          <w:tcPr>
            <w:tcW w:w="5513" w:type="dxa"/>
            <w:tcBorders>
              <w:bottom w:val="single" w:sz="4" w:space="0" w:color="auto"/>
            </w:tcBorders>
            <w:shd w:val="clear" w:color="auto" w:fill="E0E0E0"/>
          </w:tcPr>
          <w:p w14:paraId="780594D1" w14:textId="77777777" w:rsidR="00DC2D7F" w:rsidRPr="00FB76A9" w:rsidRDefault="00DC2D7F" w:rsidP="00FD5CD5">
            <w:pPr>
              <w:keepNext/>
              <w:spacing w:after="0" w:line="240" w:lineRule="auto"/>
              <w:outlineLvl w:val="0"/>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TYTUŁ PROJEKTU:</w:t>
            </w:r>
          </w:p>
        </w:tc>
        <w:tc>
          <w:tcPr>
            <w:tcW w:w="9482" w:type="dxa"/>
            <w:tcBorders>
              <w:bottom w:val="single" w:sz="4" w:space="0" w:color="auto"/>
            </w:tcBorders>
          </w:tcPr>
          <w:p w14:paraId="092B10BD" w14:textId="77777777" w:rsidR="00DC2D7F" w:rsidRPr="00FB76A9" w:rsidRDefault="00DC2D7F" w:rsidP="00FD5CD5">
            <w:pPr>
              <w:spacing w:after="0" w:line="240" w:lineRule="auto"/>
              <w:contextualSpacing/>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Projekt ustawy o zmianie ustawy o systemach homologacji pojazdów oraz ich wyposażenia oraz niektórych innych ustaw (UC95)</w:t>
            </w:r>
          </w:p>
        </w:tc>
      </w:tr>
      <w:tr w:rsidR="00DC2D7F" w:rsidRPr="00FB76A9" w14:paraId="7E548B47" w14:textId="77777777" w:rsidTr="00777DE4">
        <w:trPr>
          <w:cantSplit/>
          <w:trHeight w:val="576"/>
        </w:trPr>
        <w:tc>
          <w:tcPr>
            <w:tcW w:w="5513" w:type="dxa"/>
            <w:shd w:val="clear" w:color="auto" w:fill="E0E0E0"/>
          </w:tcPr>
          <w:p w14:paraId="7DFB48B1"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TYTUŁ WDRAŻANEGO AKTU PRAWNEGO</w:t>
            </w:r>
          </w:p>
        </w:tc>
        <w:tc>
          <w:tcPr>
            <w:tcW w:w="9482" w:type="dxa"/>
          </w:tcPr>
          <w:p w14:paraId="2C20B88C" w14:textId="77777777" w:rsidR="00134E54" w:rsidRPr="00FB76A9" w:rsidRDefault="00DC2D7F" w:rsidP="00FD5CD5">
            <w:pPr>
              <w:pStyle w:val="ZPKTzmpktartykuempunktem"/>
              <w:keepNext/>
              <w:spacing w:line="240" w:lineRule="auto"/>
              <w:ind w:left="82" w:firstLine="0"/>
              <w:jc w:val="left"/>
              <w:rPr>
                <w:rFonts w:ascii="Times New Roman" w:hAnsi="Times New Roman" w:cs="Times New Roman"/>
                <w:szCs w:val="24"/>
              </w:rPr>
            </w:pPr>
            <w:r w:rsidRPr="00FB76A9">
              <w:rPr>
                <w:rFonts w:ascii="Times New Roman" w:hAnsi="Times New Roman" w:cs="Times New Roman"/>
                <w:szCs w:val="24"/>
              </w:rPr>
              <w:t xml:space="preserve">Rozporządzenie Parlamentu Europejskiego i Rady (UE) nr  </w:t>
            </w:r>
            <w:r w:rsidRPr="00FB76A9">
              <w:rPr>
                <w:rFonts w:ascii="Times New Roman" w:hAnsi="Times New Roman" w:cs="Times New Roman"/>
                <w:b/>
                <w:szCs w:val="24"/>
              </w:rPr>
              <w:t>540/2014</w:t>
            </w:r>
            <w:r w:rsidRPr="00FB76A9">
              <w:rPr>
                <w:rFonts w:ascii="Times New Roman" w:hAnsi="Times New Roman" w:cs="Times New Roman"/>
                <w:szCs w:val="24"/>
              </w:rPr>
              <w:t xml:space="preserve"> z dnia 16 kwietnia 2014 r. w sprawie poziomu dźwięku pojazdów silnikowych i zamiennych układów tłumiących oraz zmieniającego dyrektywę 2007/46/WE i uchylającego dyrektywę 70/157/EWG (Dz. Urz. UE L 158 z 27.05.2014, str. 131, z późn. zm.).</w:t>
            </w:r>
          </w:p>
        </w:tc>
      </w:tr>
      <w:tr w:rsidR="002307C6" w:rsidRPr="00FB76A9" w14:paraId="7155B8A9" w14:textId="77777777" w:rsidTr="00777DE4">
        <w:trPr>
          <w:cantSplit/>
          <w:trHeight w:val="576"/>
        </w:trPr>
        <w:tc>
          <w:tcPr>
            <w:tcW w:w="5513" w:type="dxa"/>
            <w:shd w:val="clear" w:color="auto" w:fill="E0E0E0"/>
          </w:tcPr>
          <w:p w14:paraId="0C701A62" w14:textId="77777777" w:rsidR="002307C6" w:rsidRPr="00FB76A9" w:rsidRDefault="002307C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hAnsi="Times New Roman" w:cs="Times New Roman"/>
                <w:b/>
                <w:bCs/>
                <w:sz w:val="24"/>
                <w:szCs w:val="24"/>
              </w:rPr>
              <w:t>WYJAŚNIENIE TERMINU WEJŚCIA W ŻYCIE PROJEKTU / PROJEKTÓW</w:t>
            </w:r>
          </w:p>
        </w:tc>
        <w:tc>
          <w:tcPr>
            <w:tcW w:w="9482" w:type="dxa"/>
          </w:tcPr>
          <w:p w14:paraId="43B0D12E" w14:textId="77777777" w:rsidR="002307C6" w:rsidRPr="00FB76A9" w:rsidRDefault="002307C6" w:rsidP="00FD5CD5">
            <w:pPr>
              <w:pStyle w:val="ZPKTzmpktartykuempunktem"/>
              <w:keepNext/>
              <w:spacing w:line="240" w:lineRule="auto"/>
              <w:ind w:left="82" w:firstLine="0"/>
              <w:jc w:val="left"/>
              <w:rPr>
                <w:rFonts w:ascii="Times New Roman" w:hAnsi="Times New Roman" w:cs="Times New Roman"/>
                <w:szCs w:val="24"/>
              </w:rPr>
            </w:pPr>
            <w:r w:rsidRPr="00FB76A9">
              <w:rPr>
                <w:rFonts w:ascii="Times New Roman" w:hAnsi="Times New Roman" w:cs="Times New Roman"/>
                <w:szCs w:val="24"/>
              </w:rPr>
              <w:t>Co do zasady przewiduje się, iż zgodnie z art. 1</w:t>
            </w:r>
            <w:r w:rsidR="00C31722">
              <w:rPr>
                <w:rFonts w:ascii="Times New Roman" w:hAnsi="Times New Roman" w:cs="Times New Roman"/>
                <w:szCs w:val="24"/>
              </w:rPr>
              <w:t>9</w:t>
            </w:r>
            <w:r w:rsidRPr="00FB76A9">
              <w:rPr>
                <w:rFonts w:ascii="Times New Roman" w:hAnsi="Times New Roman" w:cs="Times New Roman"/>
                <w:szCs w:val="24"/>
              </w:rPr>
              <w:t xml:space="preserve"> projektu, ustawa wejdzie w życie po upływie 14 dni od dnia ogłoszenia, z wyjątkami wskazanymi w </w:t>
            </w:r>
            <w:r w:rsidR="00C31722">
              <w:rPr>
                <w:rFonts w:ascii="Times New Roman" w:hAnsi="Times New Roman" w:cs="Times New Roman"/>
                <w:szCs w:val="24"/>
              </w:rPr>
              <w:t xml:space="preserve">art. 18 </w:t>
            </w:r>
            <w:r w:rsidRPr="00FB76A9">
              <w:rPr>
                <w:rFonts w:ascii="Times New Roman" w:hAnsi="Times New Roman" w:cs="Times New Roman"/>
                <w:szCs w:val="24"/>
              </w:rPr>
              <w:t>pkt 1-6.</w:t>
            </w:r>
          </w:p>
        </w:tc>
      </w:tr>
    </w:tbl>
    <w:tbl>
      <w:tblP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7"/>
        <w:gridCol w:w="5572"/>
        <w:gridCol w:w="884"/>
        <w:gridCol w:w="805"/>
        <w:gridCol w:w="5433"/>
        <w:gridCol w:w="1504"/>
      </w:tblGrid>
      <w:tr w:rsidR="00DC2D7F" w:rsidRPr="00FB76A9" w14:paraId="26F37593" w14:textId="77777777" w:rsidTr="00777DE4">
        <w:trPr>
          <w:trHeight w:val="151"/>
        </w:trPr>
        <w:tc>
          <w:tcPr>
            <w:tcW w:w="797" w:type="dxa"/>
            <w:shd w:val="clear" w:color="auto" w:fill="D9D9D9"/>
          </w:tcPr>
          <w:p w14:paraId="009A1B44"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Jedn. red. </w:t>
            </w:r>
          </w:p>
        </w:tc>
        <w:tc>
          <w:tcPr>
            <w:tcW w:w="5572" w:type="dxa"/>
            <w:shd w:val="clear" w:color="auto" w:fill="D9D9D9"/>
          </w:tcPr>
          <w:p w14:paraId="3314BA86"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Treść przepisu UE </w:t>
            </w:r>
          </w:p>
        </w:tc>
        <w:tc>
          <w:tcPr>
            <w:tcW w:w="884" w:type="dxa"/>
            <w:shd w:val="clear" w:color="auto" w:fill="D9D9D9"/>
          </w:tcPr>
          <w:p w14:paraId="3D4470B6"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Konieczność</w:t>
            </w:r>
          </w:p>
          <w:p w14:paraId="05A4C6C8"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wdrożenia</w:t>
            </w:r>
          </w:p>
          <w:p w14:paraId="1D6A9B8F" w14:textId="77777777" w:rsidR="00DC2D7F" w:rsidRPr="00FB76A9" w:rsidRDefault="00DC2D7F" w:rsidP="00FD5CD5">
            <w:pPr>
              <w:spacing w:after="0" w:line="240" w:lineRule="auto"/>
              <w:rPr>
                <w:rFonts w:ascii="Times New Roman" w:eastAsia="Times New Roman" w:hAnsi="Times New Roman" w:cs="Times New Roman"/>
                <w:sz w:val="24"/>
                <w:szCs w:val="24"/>
                <w:lang w:eastAsia="pl-PL"/>
              </w:rPr>
            </w:pPr>
          </w:p>
          <w:p w14:paraId="1DDE7992"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sz w:val="24"/>
                <w:szCs w:val="24"/>
                <w:lang w:eastAsia="pl-PL"/>
              </w:rPr>
              <w:t xml:space="preserve"> T / N</w:t>
            </w:r>
          </w:p>
        </w:tc>
        <w:tc>
          <w:tcPr>
            <w:tcW w:w="805" w:type="dxa"/>
            <w:shd w:val="clear" w:color="auto" w:fill="D9D9D9"/>
          </w:tcPr>
          <w:p w14:paraId="7AEA877D"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Jedn. red. (*) </w:t>
            </w:r>
          </w:p>
        </w:tc>
        <w:tc>
          <w:tcPr>
            <w:tcW w:w="5433" w:type="dxa"/>
            <w:shd w:val="clear" w:color="auto" w:fill="D9D9D9"/>
          </w:tcPr>
          <w:p w14:paraId="125CC21F"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Treść przepisu/ów projektu (*)</w:t>
            </w:r>
          </w:p>
        </w:tc>
        <w:tc>
          <w:tcPr>
            <w:tcW w:w="1504" w:type="dxa"/>
            <w:shd w:val="clear" w:color="auto" w:fill="D9D9D9"/>
          </w:tcPr>
          <w:p w14:paraId="0B8FCE8C" w14:textId="77777777" w:rsidR="00DC2D7F" w:rsidRPr="00FB76A9" w:rsidRDefault="00DC2D7F"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Uzasadnienie uwzględnienia w projekcie przepisów wykraczających poza minimalne wymogi  prawa UE (**)</w:t>
            </w:r>
          </w:p>
        </w:tc>
      </w:tr>
      <w:tr w:rsidR="00776F54" w:rsidRPr="00FB76A9" w14:paraId="056E9207" w14:textId="77777777" w:rsidTr="00777DE4">
        <w:trPr>
          <w:trHeight w:val="151"/>
        </w:trPr>
        <w:tc>
          <w:tcPr>
            <w:tcW w:w="797" w:type="dxa"/>
            <w:tcBorders>
              <w:top w:val="single" w:sz="4" w:space="0" w:color="auto"/>
              <w:left w:val="single" w:sz="4" w:space="0" w:color="auto"/>
              <w:bottom w:val="single" w:sz="4" w:space="0" w:color="auto"/>
              <w:right w:val="single" w:sz="4" w:space="0" w:color="auto"/>
            </w:tcBorders>
          </w:tcPr>
          <w:p w14:paraId="64F26264"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Art. 5</w:t>
            </w:r>
          </w:p>
          <w:p w14:paraId="41B575F0"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697A4955"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135C3738"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53BF240D"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66D6F637"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5FB0809C"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1142B857"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47A6A903"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5FAEB5E6"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4C852247"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2A80E2F3"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2D8F3FFF"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6B96EA8F"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17B15062"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086590C1"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3B6EE4BA"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28497848"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25982B4A"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59C17426"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Art. 6</w:t>
            </w:r>
          </w:p>
          <w:p w14:paraId="6D91AD78"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08B8C25E"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330547AC"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6C9B5BD0"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1F1E1B99"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611578BF"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0FC6321F"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417D96F8"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0A157B6B"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752C6ABF"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4408080A"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03293BC8"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5FE71A75"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3FEEDA31"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4935528E"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1DACF9BD"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0FF58D92"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5A44DF92"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1F41D376"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3B5A0D2A"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08B7E00C"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111AF365"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51F824A9"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37A33F5C"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0CC28FB5"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1F0FB9B8"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39548CB4"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7BA6AC74"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4432E0E4"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6EEA6351"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30F1081F"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29D1641B"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60FA274A"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77C226A9"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6E5206FF"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5BE34A2A"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39A10BE5"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72521379"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51C20D81"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1C8CF425"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667EE098"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2C7B070E"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06CA63C7"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1D628BE8"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689E091D"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11D08277"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0729DC69"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6BF95F11"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58C0EE7C"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7C89E6AE"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5163A708"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770BC7A1"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19F650A5"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Art. 7</w:t>
            </w:r>
          </w:p>
          <w:p w14:paraId="198085D0"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729A350E"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20F258A4"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0C3F5D7A"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75F1D940"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5A285479"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583D9945"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4E2DDACF"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503022DF"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61B69F86"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3612C1B4"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089DF10F"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2E3577AF"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543D46FF"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4DD976FB"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2AB66CED"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Art. 8  </w:t>
            </w:r>
          </w:p>
          <w:p w14:paraId="337D8F99"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72FAAFB4"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p w14:paraId="16338567"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tc>
        <w:tc>
          <w:tcPr>
            <w:tcW w:w="5572" w:type="dxa"/>
            <w:tcBorders>
              <w:top w:val="single" w:sz="4" w:space="0" w:color="auto"/>
              <w:left w:val="single" w:sz="4" w:space="0" w:color="auto"/>
              <w:bottom w:val="single" w:sz="4" w:space="0" w:color="auto"/>
              <w:right w:val="single" w:sz="4" w:space="0" w:color="auto"/>
            </w:tcBorders>
          </w:tcPr>
          <w:p w14:paraId="51918161" w14:textId="77777777" w:rsidR="00776F54" w:rsidRPr="00FB76A9" w:rsidRDefault="00776F5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„Art. 5. 1. Producenci zapewniają, aby pojazd, jego silnik oraz jego układ tłumiący były zaprojektowane, skonstruowane i zmontowane w sposób zapewniający zgodność pojazdu z niniejszym rozporządzeniem podczas normalnego użytkowania pomimo wibracji, jakim takie pojazdy z założenia podlegają. </w:t>
            </w:r>
          </w:p>
          <w:p w14:paraId="561D5295" w14:textId="77777777" w:rsidR="00776F54" w:rsidRPr="00FB76A9" w:rsidRDefault="00776F5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2. Producenci zapewniają, aby układ tłumiący był zaprojektowany, skonstruowany i zmontowany w sposób zapewniający odpowiedni stopień odporności na zjawiska korozyjne, na które jest on narażony, biorąc pod uwagę warunki użytkowania pojazdu, w tym różniące się od siebie w zależności od regionu warunki klimatyczne. </w:t>
            </w:r>
          </w:p>
          <w:p w14:paraId="3DF610FF" w14:textId="77777777" w:rsidR="00776F54" w:rsidRPr="00FB76A9" w:rsidRDefault="00776F5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3. Producent odpowiada przed organem udzielającym homologacji za wszystkie aspekty procesu homologacji i za zapewnienie zgodności produkcji, niezależnie od tego, czy bezpośrednio uczestniczy we wszystkich etapach budowy pojazdu, układu, części lub oddzielnego zespołu technicznego. </w:t>
            </w:r>
          </w:p>
          <w:p w14:paraId="23F6CB93" w14:textId="77777777" w:rsidR="00776F54" w:rsidRPr="00FB76A9" w:rsidRDefault="00776F5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„Art. 6. 1. Niniejszy artykuł ma zastosowanie do pojazdów kategorii M 1 i N 1 z silnikiem spalinowym wewnętrznego spalania wyposażonym w zamontowane przez producenta sprzętu oryginalnego układy tłumiące oraz do zamiennych układów tłumiących przeznaczonych do takich kategorii pojazdów zgodnie z załącznikiem IX. </w:t>
            </w:r>
          </w:p>
          <w:p w14:paraId="4DEC7E13" w14:textId="77777777" w:rsidR="00776F54" w:rsidRPr="00FB76A9" w:rsidRDefault="00776F5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2. Pojazdy i zamienne układy tłumiące spełniają wymogi określone w załączniku VII. </w:t>
            </w:r>
          </w:p>
          <w:p w14:paraId="04AD772C" w14:textId="77777777" w:rsidR="00776F54" w:rsidRPr="00FB76A9" w:rsidRDefault="00776F5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3. Uznaje się, że pojazdy oraz zamienne układy tłumiące spełniają wymogi określone w załączniku VII, bez dalszych badań, jeżeli producent przedstawi organowi udzielającemu homologacji dokumenty techniczne wskazujące, że różnica między maksymalną a minimalną prędkością obrotową silnika pojazdów w BB', zgodnie z rysunkiem 1 w dodatku do załącznika II, w każdych warunkach badania w zakresie pomiaru przewidzianym w dodatkowych przepisach dotyczących emisji dźwięku określonym w załączniku VII pkt 2.3, w odniesieniu do warunków przedstawionych w załączniku II nie przekracza 0,15 x S. </w:t>
            </w:r>
          </w:p>
          <w:p w14:paraId="0DC1856A" w14:textId="77777777" w:rsidR="00776F54" w:rsidRPr="00FB76A9" w:rsidRDefault="00776F5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4. Poziom emisji dźwięku pojazdu lub zamiennych układów tłumiących w typowych warunkach jazdy na drodze, różniących się od tych, w których przeprowadzono badanie homologacji typu określone w załączniku II i załączniku VII, nie odbiega w istotny sposób od wyniku badania. </w:t>
            </w:r>
          </w:p>
          <w:p w14:paraId="5427F059" w14:textId="77777777" w:rsidR="00776F54" w:rsidRPr="00FB76A9" w:rsidRDefault="00776F5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5. Producent nie zmienia, nie reguluje ani nie wprowadza żadnych urządzeń ani procesów mechanicznych, elektrycznych, cieplnych lub innych w sposób zamierzony wyłącznie do celów spełnienia wymogów w zakresie emisji hałasu na mocy niniejszego rozporządzenia, jeżeli takich urządzeń ani procesów nie używa się w przypadku normalnych warunków ruchu drogowego. </w:t>
            </w:r>
          </w:p>
          <w:p w14:paraId="1B3C730E" w14:textId="77777777" w:rsidR="00776F54" w:rsidRPr="00FB76A9" w:rsidRDefault="00776F5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6. We wniosku o udzielenie homologacji typu producent składa oświadczenie, sporządzone zgodnie z wzorem określonym w dodatku do załącznika VII, że typ pojazdu lub zamienny układ tłumiący, który ma być homologowany, spełnia wymogi określone w niniejszym artykule. </w:t>
            </w:r>
          </w:p>
          <w:p w14:paraId="7916A910" w14:textId="77777777" w:rsidR="00776F54" w:rsidRPr="00FB76A9" w:rsidRDefault="00776F5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7. Ust. 1–6 nie mają zastosowania do pojazdów kategorii N 1 , jeżeli spełniony jest jeden z następujących warunków: </w:t>
            </w:r>
          </w:p>
          <w:p w14:paraId="7560C7DD" w14:textId="77777777" w:rsidR="00776F54" w:rsidRPr="00FB76A9" w:rsidRDefault="00776F5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a) pojemność silnika nie przekracza 660 cm 3 , a wskaźnik ilorazu mocy do masy obliczony z użyciem maksymalnej technicznie dopuszczalnej masy pojazdu nie przekracza 35; </w:t>
            </w:r>
          </w:p>
          <w:p w14:paraId="1CE06FA2" w14:textId="77777777" w:rsidR="00776F54" w:rsidRPr="00FB76A9" w:rsidRDefault="00776F5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b) ładowność wynosi co najmniej 850 kg, a wskaźnik ilorazu mocy do masy obliczony z użyciem maksymalnej technicznie dopuszczalnej masy pojazdu nie przekracza 40. </w:t>
            </w:r>
          </w:p>
          <w:p w14:paraId="6927678D" w14:textId="77777777" w:rsidR="00776F54" w:rsidRPr="00FB76A9" w:rsidRDefault="00776F54" w:rsidP="00FD5CD5">
            <w:pPr>
              <w:autoSpaceDE w:val="0"/>
              <w:autoSpaceDN w:val="0"/>
              <w:adjustRightInd w:val="0"/>
              <w:spacing w:after="0" w:line="240" w:lineRule="auto"/>
              <w:rPr>
                <w:rFonts w:ascii="Times New Roman" w:hAnsi="Times New Roman" w:cs="Times New Roman"/>
                <w:sz w:val="24"/>
                <w:szCs w:val="24"/>
              </w:rPr>
            </w:pPr>
            <w:r w:rsidRPr="00FB76A9">
              <w:rPr>
                <w:rFonts w:ascii="Times New Roman" w:hAnsi="Times New Roman" w:cs="Times New Roman"/>
                <w:sz w:val="24"/>
                <w:szCs w:val="24"/>
              </w:rPr>
              <w:t xml:space="preserve">Art. 7. Producenci i dystrybutorzy pojazdów starają się zapewnić, aby poziom dźwięku wyrażony w decybelach (dB(A)), mierzony zgodnie z niniejszym rozporządzeniem, był podawany w widocznym miejscu w punkcie sprzedaży i w technicznych materiałach promocyjnych. W świetle doświadczeń zdobytych przy wykonywaniu niniejszego rozporządzenia Komisja, w terminie do dnia 1 lipca 2018 r., przeprowadza kompleksową ocenę skutków warunków dotyczących etykietowania mających zastosowanie w odniesieniu do poziomu zanieczyszczenia powietrza i zanieczyszczenia hałasem oraz w odniesieniu do informacji dla konsumentów. Komisja przedstawia Parlamentowi Europejskiemu i Radzie sprawozdanie na temat swoich ustaleń z tej oceny, a w stosownym przypadku przedkłada wniosek ustawodawczy. </w:t>
            </w:r>
          </w:p>
          <w:p w14:paraId="27BC73ED" w14:textId="77777777" w:rsidR="00776F54" w:rsidRPr="00FB76A9" w:rsidRDefault="00776F54" w:rsidP="00FD5CD5">
            <w:pPr>
              <w:spacing w:after="0" w:line="240" w:lineRule="auto"/>
              <w:rPr>
                <w:rFonts w:ascii="Times New Roman" w:hAnsi="Times New Roman" w:cs="Times New Roman"/>
                <w:sz w:val="24"/>
                <w:szCs w:val="24"/>
              </w:rPr>
            </w:pPr>
            <w:r w:rsidRPr="00FB76A9">
              <w:rPr>
                <w:rFonts w:ascii="Times New Roman" w:hAnsi="Times New Roman" w:cs="Times New Roman"/>
                <w:iCs/>
                <w:sz w:val="24"/>
                <w:szCs w:val="24"/>
              </w:rPr>
              <w:t>Art. 8.</w:t>
            </w:r>
            <w:r w:rsidRPr="00FB76A9">
              <w:rPr>
                <w:rFonts w:ascii="Times New Roman" w:hAnsi="Times New Roman" w:cs="Times New Roman"/>
                <w:i/>
                <w:iCs/>
                <w:sz w:val="24"/>
                <w:szCs w:val="24"/>
              </w:rPr>
              <w:t xml:space="preserve"> </w:t>
            </w:r>
            <w:r w:rsidRPr="00FB76A9">
              <w:rPr>
                <w:rFonts w:ascii="Times New Roman" w:hAnsi="Times New Roman" w:cs="Times New Roman"/>
                <w:sz w:val="24"/>
                <w:szCs w:val="24"/>
              </w:rPr>
              <w:t>Do dnia 1 lipca 2019 r. producenci podejmują instalowanie AVAS spełniających wymogi przewidziane w załączniku VIII w nowych typach pojazdów hybrydowych elektrycznych i wyłącznie elektrycznych. Do dnia 1 lipca 2021 r. producenci podejmują instalowanie AVAS we wszystkich nowych pojazdach hybrydowych elektrycznych i wyłącznie elektrycznych. Jeżeli producenci przed tymi terminami podejmują decyzję o instalowaniu w pojazdach systemu AVAS, muszą oni zapewnić, że systemy te spełniają wymogi określone w załączniku VIII.</w:t>
            </w:r>
          </w:p>
          <w:p w14:paraId="03B80D90" w14:textId="77777777" w:rsidR="00776F54" w:rsidRPr="00FB76A9" w:rsidRDefault="00776F54" w:rsidP="00FD5CD5">
            <w:pPr>
              <w:spacing w:after="0" w:line="240" w:lineRule="auto"/>
              <w:rPr>
                <w:rFonts w:ascii="Times New Roman" w:hAnsi="Times New Roman" w:cs="Times New Roman"/>
                <w:sz w:val="24"/>
                <w:szCs w:val="24"/>
              </w:rPr>
            </w:pPr>
            <w:r w:rsidRPr="00FB76A9">
              <w:rPr>
                <w:rFonts w:ascii="Times New Roman" w:hAnsi="Times New Roman" w:cs="Times New Roman"/>
                <w:sz w:val="24"/>
                <w:szCs w:val="24"/>
              </w:rPr>
              <w:t>Do dnia 1 lipca 2017 r. Komisja jest uprawniona do przyjmowania aktów delegowanych zgodnie z art. 10 w celu dokonania przeglądu załącznika VIII, tak aby umieścić w nim bardziej szczegółowe wymogi odnośnie do parametrów AVAS lub aktywnych systemów bezpieczeństwa, z uwzględnieniem prac EKG ONZ w tej dziedzinie.”</w:t>
            </w:r>
          </w:p>
          <w:p w14:paraId="46ED0535"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tc>
        <w:tc>
          <w:tcPr>
            <w:tcW w:w="884" w:type="dxa"/>
            <w:tcBorders>
              <w:top w:val="single" w:sz="4" w:space="0" w:color="auto"/>
              <w:left w:val="single" w:sz="4" w:space="0" w:color="auto"/>
              <w:bottom w:val="single" w:sz="4" w:space="0" w:color="auto"/>
              <w:right w:val="single" w:sz="4" w:space="0" w:color="auto"/>
            </w:tcBorders>
          </w:tcPr>
          <w:p w14:paraId="0DEDAF6E"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w:t>
            </w:r>
          </w:p>
        </w:tc>
        <w:tc>
          <w:tcPr>
            <w:tcW w:w="805" w:type="dxa"/>
            <w:tcBorders>
              <w:top w:val="single" w:sz="4" w:space="0" w:color="auto"/>
              <w:left w:val="single" w:sz="4" w:space="0" w:color="auto"/>
              <w:bottom w:val="single" w:sz="4" w:space="0" w:color="auto"/>
              <w:right w:val="single" w:sz="4" w:space="0" w:color="auto"/>
            </w:tcBorders>
          </w:tcPr>
          <w:p w14:paraId="726FB506" w14:textId="77777777" w:rsidR="00776F54" w:rsidRPr="00FB76A9" w:rsidRDefault="00776F54" w:rsidP="00FD5CD5">
            <w:pPr>
              <w:spacing w:after="0" w:line="240" w:lineRule="auto"/>
              <w:rPr>
                <w:rFonts w:ascii="Times New Roman" w:eastAsia="Times New Roman" w:hAnsi="Times New Roman" w:cs="Times New Roman"/>
                <w:bCs/>
                <w:sz w:val="24"/>
                <w:szCs w:val="24"/>
                <w:lang w:eastAsia="pl-PL"/>
              </w:rPr>
            </w:pPr>
            <w:r w:rsidRPr="00FB76A9">
              <w:rPr>
                <w:rFonts w:ascii="Times New Roman" w:eastAsia="Times New Roman" w:hAnsi="Times New Roman" w:cs="Times New Roman"/>
                <w:bCs/>
                <w:sz w:val="24"/>
                <w:szCs w:val="24"/>
                <w:lang w:eastAsia="pl-PL"/>
              </w:rPr>
              <w:t xml:space="preserve">Art. 2 pkt 24 </w:t>
            </w:r>
          </w:p>
        </w:tc>
        <w:tc>
          <w:tcPr>
            <w:tcW w:w="5433" w:type="dxa"/>
            <w:tcBorders>
              <w:top w:val="single" w:sz="4" w:space="0" w:color="auto"/>
              <w:left w:val="single" w:sz="4" w:space="0" w:color="auto"/>
              <w:bottom w:val="single" w:sz="4" w:space="0" w:color="auto"/>
              <w:right w:val="single" w:sz="4" w:space="0" w:color="auto"/>
            </w:tcBorders>
          </w:tcPr>
          <w:p w14:paraId="42808B82" w14:textId="77777777" w:rsidR="00776F54" w:rsidRPr="00FB76A9" w:rsidRDefault="00776F54"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„Rozdział 6a</w:t>
            </w:r>
          </w:p>
          <w:p w14:paraId="5874DC75" w14:textId="77777777" w:rsidR="00776F54" w:rsidRPr="00FB76A9" w:rsidRDefault="00776F54" w:rsidP="00FD5CD5">
            <w:pPr>
              <w:pStyle w:val="ZROZDZODDZPRZEDMzmprzedmrozdzoddzartykuempunktem"/>
              <w:spacing w:before="0" w:after="0" w:line="240" w:lineRule="auto"/>
              <w:ind w:left="0"/>
              <w:jc w:val="left"/>
              <w:rPr>
                <w:rFonts w:ascii="Times New Roman" w:hAnsi="Times New Roman"/>
              </w:rPr>
            </w:pPr>
            <w:r w:rsidRPr="00FB76A9">
              <w:rPr>
                <w:rFonts w:ascii="Times New Roman" w:hAnsi="Times New Roman"/>
              </w:rPr>
              <w:t>Administracyjne kary pieniężne</w:t>
            </w:r>
          </w:p>
          <w:p w14:paraId="163A535E" w14:textId="77777777" w:rsidR="00776F54" w:rsidRPr="00FB76A9" w:rsidRDefault="00776F54" w:rsidP="00FD5CD5">
            <w:pPr>
              <w:pStyle w:val="ZARTzmartartykuempunktem"/>
              <w:spacing w:line="240" w:lineRule="auto"/>
              <w:jc w:val="left"/>
              <w:rPr>
                <w:rFonts w:ascii="Times New Roman" w:hAnsi="Times New Roman" w:cs="Times New Roman"/>
                <w:szCs w:val="24"/>
              </w:rPr>
            </w:pPr>
          </w:p>
          <w:p w14:paraId="569CEEFA" w14:textId="77777777" w:rsidR="00776F54" w:rsidRPr="00FB76A9" w:rsidRDefault="00776F54"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Art. 71c. Podmiot gospodarczy, który wprowadził do obrotu pojazd, przedmiot wyposażenia lub część niezgodnie z wymaganiami określonymi w:</w:t>
            </w:r>
          </w:p>
          <w:p w14:paraId="5D88BEA4" w14:textId="77777777" w:rsidR="00776F54" w:rsidRPr="00FB76A9" w:rsidRDefault="00776F54"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11) </w:t>
            </w:r>
            <w:r w:rsidRPr="00FB76A9">
              <w:rPr>
                <w:rFonts w:ascii="Times New Roman" w:hAnsi="Times New Roman" w:cs="Times New Roman"/>
                <w:szCs w:val="24"/>
              </w:rPr>
              <w:tab/>
              <w:t>art. 5–8 rozporządzenia Parlamentu Europejskiego i Rady (UE) nr 540/2014 z dnia 16 kwietnia 2014 r. w sprawie poziomu dźwięku pojazdów silnikowych i zamiennych układów tłumiących oraz zmieniającego dyrektywę 2007/46/WE i uchylającego dyrektywę 70/157/EWG (Dz. Urz. UE L 158 z 27.05.2014, str. 131, z późn. zm. )), zwanego dalej „rozporządzeniem 540/2014”;</w:t>
            </w:r>
          </w:p>
          <w:p w14:paraId="620680E7" w14:textId="77777777" w:rsidR="00776F54" w:rsidRPr="00FB76A9" w:rsidRDefault="00776F54"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podlega administracyjnej karze pieniężnej do wysokości dwunastokrotności przeciętnego wynagrodzenia, o którym mowa w art. 68g ust. 4, ogłaszanego za czwarty kwartał roku poprzedzającego nałożenie kary, za każdy pojazd, przedmiot wyposażenia lub część, które wprowadził do obrotu.</w:t>
            </w:r>
          </w:p>
          <w:p w14:paraId="2E8C0A44" w14:textId="77777777" w:rsidR="00776F54" w:rsidRPr="00FB76A9" w:rsidRDefault="00776F54" w:rsidP="00FD5CD5">
            <w:pPr>
              <w:pStyle w:val="ZARTzmartartykuempunktem"/>
              <w:spacing w:line="240" w:lineRule="auto"/>
              <w:ind w:left="0" w:firstLine="0"/>
              <w:jc w:val="left"/>
              <w:rPr>
                <w:rFonts w:ascii="Times New Roman" w:hAnsi="Times New Roman" w:cs="Times New Roman"/>
                <w:szCs w:val="24"/>
              </w:rPr>
            </w:pPr>
          </w:p>
          <w:p w14:paraId="4D729F34" w14:textId="77777777" w:rsidR="00776F54" w:rsidRPr="00FB76A9" w:rsidRDefault="00776F54"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Art. 71h. Podmiot gospodarczy, który wbrew obowiązkowi lub na żądanie Dyrektora TDT nie udostępnia informacji i dokumentacji niezbędnych do wykonywania zadań realizowanych przez Dyrektora TDT w przypadkach, o których mowa w:</w:t>
            </w:r>
          </w:p>
          <w:p w14:paraId="41527930" w14:textId="77777777" w:rsidR="00776F54" w:rsidRPr="00FB76A9" w:rsidRDefault="00776F54"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7) </w:t>
            </w:r>
            <w:r w:rsidRPr="00FB76A9">
              <w:rPr>
                <w:rFonts w:ascii="Times New Roman" w:hAnsi="Times New Roman" w:cs="Times New Roman"/>
                <w:szCs w:val="24"/>
              </w:rPr>
              <w:tab/>
              <w:t>art. 5–8 rozporządzenia 540/2014;</w:t>
            </w:r>
          </w:p>
          <w:p w14:paraId="1400047A" w14:textId="77777777" w:rsidR="00776F54" w:rsidRDefault="00776F54" w:rsidP="00C31722">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podlega administracyjnej karze pieniężnej do wysokości dwukrotności przeciętnego wynagrodzenia, o którym mowa w art. 68g ust. 4, ogłaszanego za czwarty kwartał roku poprzedzającego nałożenie kary, za każdy przypadek nieudostępnienia informacji lub dokumentów.</w:t>
            </w:r>
          </w:p>
          <w:p w14:paraId="5FB86E39" w14:textId="77777777" w:rsidR="00C31722" w:rsidRDefault="00C31722" w:rsidP="00C31722">
            <w:pPr>
              <w:pStyle w:val="ZARTzmartartykuempunktem"/>
              <w:spacing w:line="240" w:lineRule="auto"/>
              <w:ind w:left="0" w:firstLine="0"/>
              <w:jc w:val="left"/>
              <w:rPr>
                <w:rFonts w:ascii="Times New Roman" w:hAnsi="Times New Roman" w:cs="Times New Roman"/>
                <w:szCs w:val="24"/>
              </w:rPr>
            </w:pPr>
          </w:p>
          <w:p w14:paraId="4169597F" w14:textId="77777777" w:rsidR="00C31722" w:rsidRPr="001F1A7B" w:rsidRDefault="00C31722" w:rsidP="00C31722">
            <w:pPr>
              <w:pStyle w:val="ZARTzmartartykuempunktem"/>
              <w:spacing w:line="240" w:lineRule="auto"/>
              <w:ind w:left="96" w:firstLine="0"/>
              <w:jc w:val="left"/>
            </w:pPr>
            <w:r w:rsidRPr="001F1A7B">
              <w:t>Art. 71p. 1. Administracyjne kary pieniężne, o których mowa w art. 71a</w:t>
            </w:r>
            <w:r w:rsidRPr="001F1A7B">
              <w:rPr>
                <w:rFonts w:ascii="Times New Roman" w:hAnsi="Times New Roman" w:cs="Times New Roman"/>
                <w:szCs w:val="24"/>
              </w:rPr>
              <w:t>–</w:t>
            </w:r>
            <w:r w:rsidRPr="001F1A7B">
              <w:t xml:space="preserve">71o, nakłada Dyrektor TDT w drodze decyzji administracyjnej. </w:t>
            </w:r>
          </w:p>
          <w:p w14:paraId="019B4059" w14:textId="77777777" w:rsidR="00C31722" w:rsidRPr="001F1A7B" w:rsidRDefault="00C31722" w:rsidP="00C31722">
            <w:pPr>
              <w:pStyle w:val="ZUSTzmustartykuempunktem"/>
              <w:spacing w:line="240" w:lineRule="auto"/>
              <w:ind w:left="96" w:firstLine="0"/>
              <w:jc w:val="left"/>
            </w:pPr>
            <w:r w:rsidRPr="001F1A7B">
              <w:t xml:space="preserve">2. Organem wyższego stopnia w rozumieniu przepisów ustawy z dnia 14 czerwca 1960 r. – Kodeks postępowania administracyjnego w sprawach, o których mowa w ust. 1, jest minister właściwy do spraw transportu. </w:t>
            </w:r>
          </w:p>
          <w:p w14:paraId="3C003654" w14:textId="77777777" w:rsidR="00C31722" w:rsidRPr="001F1A7B" w:rsidRDefault="00C31722" w:rsidP="00C31722">
            <w:pPr>
              <w:pStyle w:val="ZUSTzmustartykuempunktem"/>
              <w:keepNext/>
              <w:spacing w:line="240" w:lineRule="auto"/>
              <w:ind w:left="96" w:firstLine="0"/>
              <w:jc w:val="left"/>
            </w:pPr>
            <w:r w:rsidRPr="001F1A7B">
              <w:t xml:space="preserve">3. Przy ustalaniu wysokości administracyjnych kar pieniężnych, o których mowa </w:t>
            </w:r>
            <w:r w:rsidRPr="001F1A7B">
              <w:br/>
              <w:t>w art. 71a</w:t>
            </w:r>
            <w:r w:rsidRPr="001F1A7B">
              <w:rPr>
                <w:rFonts w:ascii="Times New Roman" w:hAnsi="Times New Roman" w:cs="Times New Roman"/>
                <w:szCs w:val="24"/>
              </w:rPr>
              <w:t>–</w:t>
            </w:r>
            <w:r w:rsidRPr="001F1A7B">
              <w:t>71o, uwzględnia się:</w:t>
            </w:r>
          </w:p>
          <w:p w14:paraId="6F30FD7F" w14:textId="77777777" w:rsidR="00C31722" w:rsidRPr="001F1A7B" w:rsidRDefault="00C31722" w:rsidP="00C31722">
            <w:pPr>
              <w:pStyle w:val="ZPKTzmpktartykuempunktem"/>
              <w:tabs>
                <w:tab w:val="left" w:pos="170"/>
                <w:tab w:val="left" w:pos="340"/>
                <w:tab w:val="left" w:pos="510"/>
                <w:tab w:val="left" w:pos="680"/>
                <w:tab w:val="left" w:pos="850"/>
                <w:tab w:val="left" w:pos="1020"/>
                <w:tab w:val="left" w:pos="1190"/>
                <w:tab w:val="left" w:pos="1360"/>
                <w:tab w:val="left" w:pos="1530"/>
                <w:tab w:val="left" w:pos="1700"/>
                <w:tab w:val="left" w:pos="1870"/>
                <w:tab w:val="left" w:pos="2040"/>
                <w:tab w:val="left" w:pos="2210"/>
                <w:tab w:val="left" w:pos="2380"/>
                <w:tab w:val="left" w:pos="2550"/>
                <w:tab w:val="left" w:pos="2720"/>
                <w:tab w:val="left" w:pos="2890"/>
                <w:tab w:val="left" w:pos="3060"/>
                <w:tab w:val="left" w:pos="3230"/>
                <w:tab w:val="left" w:pos="3400"/>
                <w:tab w:val="left" w:pos="3570"/>
                <w:tab w:val="left" w:pos="3740"/>
                <w:tab w:val="left" w:pos="3910"/>
                <w:tab w:val="left" w:pos="4080"/>
                <w:tab w:val="left" w:pos="4250"/>
                <w:tab w:val="left" w:pos="4420"/>
                <w:tab w:val="left" w:pos="4590"/>
                <w:tab w:val="left" w:pos="4760"/>
                <w:tab w:val="left" w:pos="4930"/>
                <w:tab w:val="left" w:pos="5100"/>
                <w:tab w:val="left" w:pos="5270"/>
                <w:tab w:val="left" w:pos="5440"/>
                <w:tab w:val="left" w:pos="5610"/>
                <w:tab w:val="left" w:pos="5780"/>
                <w:tab w:val="left" w:pos="5950"/>
                <w:tab w:val="left" w:pos="6120"/>
                <w:tab w:val="left" w:pos="6768"/>
              </w:tabs>
              <w:spacing w:line="240" w:lineRule="auto"/>
              <w:ind w:left="96" w:firstLine="0"/>
              <w:jc w:val="left"/>
            </w:pPr>
            <w:r w:rsidRPr="001F1A7B">
              <w:t>1)</w:t>
            </w:r>
            <w:r w:rsidRPr="001F1A7B">
              <w:tab/>
            </w:r>
            <w:r w:rsidRPr="001F1A7B">
              <w:tab/>
              <w:t>stopień, okoliczności i okres naruszenia obowiązków;</w:t>
            </w:r>
            <w:r w:rsidRPr="001F1A7B">
              <w:tab/>
            </w:r>
            <w:r w:rsidRPr="001F1A7B">
              <w:tab/>
            </w:r>
          </w:p>
          <w:p w14:paraId="4579D34B" w14:textId="77777777" w:rsidR="00C31722" w:rsidRPr="00A21A0C" w:rsidRDefault="00C31722" w:rsidP="00C31722">
            <w:pPr>
              <w:pStyle w:val="ZPKTzmpktartykuempunktem"/>
              <w:tabs>
                <w:tab w:val="left" w:pos="170"/>
                <w:tab w:val="left" w:pos="340"/>
                <w:tab w:val="left" w:pos="510"/>
                <w:tab w:val="left" w:pos="680"/>
                <w:tab w:val="left" w:pos="850"/>
                <w:tab w:val="left" w:pos="1020"/>
                <w:tab w:val="left" w:pos="1190"/>
                <w:tab w:val="left" w:pos="1360"/>
                <w:tab w:val="left" w:pos="1530"/>
                <w:tab w:val="left" w:pos="1700"/>
                <w:tab w:val="left" w:pos="1870"/>
                <w:tab w:val="left" w:pos="2040"/>
                <w:tab w:val="left" w:pos="2210"/>
                <w:tab w:val="left" w:pos="2380"/>
                <w:tab w:val="left" w:pos="2550"/>
                <w:tab w:val="left" w:pos="2720"/>
                <w:tab w:val="left" w:pos="2890"/>
                <w:tab w:val="left" w:pos="3060"/>
                <w:tab w:val="left" w:pos="3230"/>
                <w:tab w:val="left" w:pos="3400"/>
                <w:tab w:val="left" w:pos="3570"/>
                <w:tab w:val="left" w:pos="3740"/>
                <w:tab w:val="left" w:pos="3910"/>
                <w:tab w:val="left" w:pos="4080"/>
                <w:tab w:val="left" w:pos="4250"/>
                <w:tab w:val="left" w:pos="4420"/>
                <w:tab w:val="left" w:pos="4590"/>
                <w:tab w:val="left" w:pos="4760"/>
                <w:tab w:val="left" w:pos="4930"/>
                <w:tab w:val="left" w:pos="5100"/>
                <w:tab w:val="left" w:pos="5270"/>
                <w:tab w:val="left" w:pos="5440"/>
                <w:tab w:val="left" w:pos="5610"/>
                <w:tab w:val="left" w:pos="5780"/>
                <w:tab w:val="left" w:pos="5950"/>
                <w:tab w:val="left" w:pos="6120"/>
                <w:tab w:val="left" w:pos="6768"/>
              </w:tabs>
              <w:spacing w:line="240" w:lineRule="auto"/>
              <w:ind w:left="96" w:firstLine="0"/>
              <w:jc w:val="left"/>
            </w:pPr>
            <w:r w:rsidRPr="001F1A7B">
              <w:t xml:space="preserve">2) </w:t>
            </w:r>
            <w:r w:rsidRPr="001F1A7B">
              <w:tab/>
            </w:r>
            <w:r w:rsidRPr="001F1A7B">
              <w:tab/>
              <w:t xml:space="preserve">rodzaj i charakter </w:t>
            </w:r>
            <w:r w:rsidRPr="00A21A0C">
              <w:t xml:space="preserve">stwierdzonych niezgodności z wymaganiami technicznymi, </w:t>
            </w:r>
            <w:r w:rsidRPr="00A21A0C">
              <w:rPr>
                <w:rFonts w:ascii="Times New Roman" w:hAnsi="Times New Roman" w:cs="Times New Roman"/>
                <w:szCs w:val="24"/>
              </w:rPr>
              <w:t>warunkami technicznymi, o których mowa w art. 66 ust. 1 ustawy z dnia 20 czerwca 1997 r. – Prawo o ruchu drogowym oraz określonymi w przepisach wydanych na podstawie art. 66 ust. 5 tej ustawy,</w:t>
            </w:r>
            <w:r w:rsidRPr="00A21A0C">
              <w:t xml:space="preserve"> lub rodzaj </w:t>
            </w:r>
            <w:r w:rsidRPr="00A21A0C">
              <w:rPr>
                <w:rFonts w:ascii="Times New Roman" w:hAnsi="Times New Roman" w:cs="Times New Roman"/>
                <w:szCs w:val="24"/>
              </w:rPr>
              <w:t>stwarzanego poważnego ryzyka</w:t>
            </w:r>
            <w:r w:rsidRPr="00A21A0C">
              <w:t xml:space="preserve"> przez pojazd, przedmiot wyposażenia lub część, rower, wózek rowerowy, hulajnogę elektryczną oraz urządzenie transportu osobistego;</w:t>
            </w:r>
          </w:p>
          <w:p w14:paraId="6DABBC49" w14:textId="77777777" w:rsidR="00C31722" w:rsidRPr="001F1A7B" w:rsidRDefault="00C31722" w:rsidP="00C31722">
            <w:pPr>
              <w:pStyle w:val="ZPKTzmpktartykuempunktem"/>
              <w:spacing w:line="240" w:lineRule="auto"/>
              <w:ind w:left="96" w:firstLine="0"/>
              <w:jc w:val="left"/>
            </w:pPr>
            <w:r w:rsidRPr="00A21A0C">
              <w:t>3)</w:t>
            </w:r>
            <w:r w:rsidRPr="00A21A0C">
              <w:tab/>
              <w:t>liczbę udostępnionych na rynku pojazdów, przedmiotów wyposażenia lub części niezgodnych z wymaganiami technicznymi albo rowerów, wózków rowerowych, hulajnóg elektrycznych oraz urządzeń transportu osobistego</w:t>
            </w:r>
            <w:r w:rsidRPr="00A21A0C">
              <w:rPr>
                <w:rFonts w:ascii="Times New Roman" w:hAnsi="Times New Roman" w:cs="Times New Roman"/>
                <w:szCs w:val="24"/>
              </w:rPr>
              <w:t xml:space="preserve"> niezgodnych z warunkami technicznymi, o których mowa w art. 66 ust. 1 ustawy z dnia 20 czerwca 1997 r. – Prawo o ruchu drogowym oraz określonymi w przepisach wydanych na podstawie art. 66 ust. 5 tej ustawy</w:t>
            </w:r>
            <w:r w:rsidRPr="00A21A0C">
              <w:t>, w których dokonano montażu dodatkowej instalacji zasilania gazem pojazdu niezgodnie z wymaganiami</w:t>
            </w:r>
            <w:r w:rsidRPr="001F1A7B">
              <w:t>, o których mowa w art. 31 ust. 2, art. 36, art. 42 i 43, wymaganiami technicznymi obowiązującymi w procedurze homologacji dodatkowej instalacji zasilania gazem pojazdu oraz wymaganiami w zakresie tabliczki informacyjnej, wynikając</w:t>
            </w:r>
            <w:r>
              <w:t>ymi</w:t>
            </w:r>
            <w:r w:rsidRPr="001F1A7B">
              <w:t xml:space="preserve"> z przepisów wydanych na podstawie art. 58;</w:t>
            </w:r>
          </w:p>
          <w:p w14:paraId="706326C4" w14:textId="77777777" w:rsidR="00C31722" w:rsidRPr="001F1A7B" w:rsidRDefault="00C31722" w:rsidP="00C31722">
            <w:pPr>
              <w:pStyle w:val="ZPKTzmpktartykuempunktem"/>
              <w:spacing w:line="240" w:lineRule="auto"/>
              <w:ind w:left="96" w:firstLine="0"/>
              <w:jc w:val="left"/>
            </w:pPr>
            <w:r w:rsidRPr="001F1A7B">
              <w:t>4)</w:t>
            </w:r>
            <w:r w:rsidRPr="001F1A7B">
              <w:tab/>
              <w:t>uprzednie naruszenie obowiązków;</w:t>
            </w:r>
          </w:p>
          <w:p w14:paraId="26D31CEC" w14:textId="77777777" w:rsidR="00C31722" w:rsidRPr="001F1A7B" w:rsidRDefault="00C31722" w:rsidP="00C31722">
            <w:pPr>
              <w:pStyle w:val="ZPKTzmpktartykuempunktem"/>
              <w:spacing w:line="240" w:lineRule="auto"/>
              <w:ind w:left="96" w:firstLine="0"/>
              <w:jc w:val="left"/>
            </w:pPr>
            <w:r w:rsidRPr="001F1A7B">
              <w:t>5)</w:t>
            </w:r>
            <w:r w:rsidRPr="001F1A7B">
              <w:tab/>
              <w:t>współpracę z Dyrektorem TDT jako organem nadzoru rynku, w tym przyczynienie się do szybkiego i sprawnego przeprowadzenia czynności wyjaśniających, kontroli, badań lub postępowań administracyjnych;</w:t>
            </w:r>
          </w:p>
          <w:p w14:paraId="0C095CFC" w14:textId="77777777" w:rsidR="00C31722" w:rsidRPr="001F1A7B" w:rsidRDefault="00C31722" w:rsidP="00C31722">
            <w:pPr>
              <w:pStyle w:val="ZPKTzmpktartykuempunktem"/>
              <w:spacing w:line="240" w:lineRule="auto"/>
              <w:ind w:left="96" w:firstLine="0"/>
              <w:jc w:val="left"/>
            </w:pPr>
            <w:r w:rsidRPr="001F1A7B">
              <w:t xml:space="preserve">6) </w:t>
            </w:r>
            <w:r w:rsidRPr="001F1A7B">
              <w:tab/>
              <w:t xml:space="preserve">zaprzestanie przez podmiot gospodarczy naruszenia obowiązków, o których mowa odpowiednio w art. 53a i </w:t>
            </w:r>
            <w:r>
              <w:t xml:space="preserve">art. </w:t>
            </w:r>
            <w:r w:rsidRPr="001F1A7B">
              <w:t>53b oraz potwierdzenie realizacji tych obowiązków;</w:t>
            </w:r>
          </w:p>
          <w:p w14:paraId="5E40DB74" w14:textId="77777777" w:rsidR="00C31722" w:rsidRPr="001F1A7B" w:rsidRDefault="00C31722" w:rsidP="00C31722">
            <w:pPr>
              <w:pStyle w:val="ZPKTzmpktartykuempunktem"/>
              <w:spacing w:line="240" w:lineRule="auto"/>
              <w:ind w:left="96" w:firstLine="0"/>
              <w:jc w:val="left"/>
            </w:pPr>
            <w:r w:rsidRPr="001F1A7B">
              <w:t>7)</w:t>
            </w:r>
            <w:r w:rsidRPr="001F1A7B">
              <w:rPr>
                <w:rFonts w:eastAsiaTheme="minorHAnsi"/>
                <w:sz w:val="22"/>
                <w:szCs w:val="22"/>
                <w:lang w:eastAsia="en-US"/>
              </w:rPr>
              <w:tab/>
            </w:r>
            <w:r w:rsidRPr="001F1A7B">
              <w:t>zlecenie przez podmiot, który zamontował w pojeździe dodatkową instalację zasilania gazem pojazdu bez świadectwa homologacji montażu dodatkowej instalacji zasilania gazem pojazdu, uprawnionemu podmiotowi wymianę tej instalacji w pojeździe, na swój koszt, na instalację zgodną z takim świadectwem.</w:t>
            </w:r>
          </w:p>
          <w:p w14:paraId="792FDBE9" w14:textId="77777777" w:rsidR="00C31722" w:rsidRPr="001F1A7B" w:rsidRDefault="00C31722" w:rsidP="00C31722">
            <w:pPr>
              <w:pStyle w:val="ZUSTzmustartykuempunktem"/>
              <w:spacing w:line="240" w:lineRule="auto"/>
              <w:ind w:left="96" w:firstLine="0"/>
              <w:jc w:val="left"/>
            </w:pPr>
            <w:r w:rsidRPr="001F1A7B">
              <w:t xml:space="preserve">4. Przy wydawaniu decyzji o nałożeniu administracyjnej kary pieniężnej, o której mowa w art. 71a–71o, przepisu art. 189f ustawy z dnia 14 czerwca 1960 r. – Kodeks postępowania administracyjnego nie stosuje się. </w:t>
            </w:r>
          </w:p>
          <w:p w14:paraId="3C1473A1" w14:textId="77777777" w:rsidR="00C31722" w:rsidRPr="001F1A7B" w:rsidRDefault="00C31722" w:rsidP="00C31722">
            <w:pPr>
              <w:pStyle w:val="ZARTzmartartykuempunktem"/>
              <w:spacing w:line="240" w:lineRule="auto"/>
              <w:ind w:left="96" w:firstLine="0"/>
              <w:jc w:val="left"/>
            </w:pPr>
            <w:r w:rsidRPr="001F1A7B">
              <w:t xml:space="preserve">Art. 71r. 1. Administracyjne kary pieniężne, o których mowa w art. 71a–71o, uiszcza się na rachunek Transportowego Dozoru Technicznego w terminie 14 dni od dnia, w którym decyzja o nałożeniu administracyjnej kary pieniężnej stała się ostateczna. </w:t>
            </w:r>
          </w:p>
          <w:p w14:paraId="77A4B63C" w14:textId="77777777" w:rsidR="00C31722" w:rsidRPr="001F1A7B" w:rsidRDefault="00C31722" w:rsidP="00C31722">
            <w:pPr>
              <w:pStyle w:val="ZUSTzmustartykuempunktem"/>
              <w:spacing w:line="240" w:lineRule="auto"/>
              <w:ind w:left="96" w:firstLine="0"/>
              <w:jc w:val="left"/>
            </w:pPr>
            <w:r w:rsidRPr="001F1A7B">
              <w:t>2. Wpływy z administracyjnych kar pieniężnych wraz z odsetkami stanowią przychód Dyrektora TDT.</w:t>
            </w:r>
          </w:p>
          <w:p w14:paraId="04F01855" w14:textId="77777777" w:rsidR="00C31722" w:rsidRPr="00F51BEF" w:rsidRDefault="00C31722" w:rsidP="00C31722">
            <w:pPr>
              <w:pStyle w:val="ZUSTzmustartykuempunktem"/>
              <w:spacing w:line="240" w:lineRule="auto"/>
              <w:ind w:left="96" w:firstLine="0"/>
              <w:jc w:val="left"/>
            </w:pPr>
            <w:r w:rsidRPr="00F51BEF">
              <w:t>Art. 71s. 1. Kary pieniężne, o których mowa w art. 71a</w:t>
            </w:r>
            <w:r w:rsidRPr="00F51BEF">
              <w:rPr>
                <w:rFonts w:ascii="Times New Roman" w:hAnsi="Times New Roman" w:cs="Times New Roman"/>
                <w:szCs w:val="24"/>
              </w:rPr>
              <w:t>–</w:t>
            </w:r>
            <w:r w:rsidRPr="00F51BEF">
              <w:t>71o, wraz z odsetkami ustawowymi za opóźnienie, podlegają przymusowemu ściągnięciu w trybie określonym w ustawie z dnia 17 czerwca 1966 r. o postępowaniu egzekucyjnym w administracji.</w:t>
            </w:r>
          </w:p>
          <w:p w14:paraId="09E2242A" w14:textId="77777777" w:rsidR="00C31722" w:rsidRPr="00F51BEF" w:rsidRDefault="00C31722" w:rsidP="005E0F9D">
            <w:pPr>
              <w:pStyle w:val="ZARTzmartartykuempunktem"/>
              <w:numPr>
                <w:ilvl w:val="0"/>
                <w:numId w:val="11"/>
              </w:numPr>
              <w:tabs>
                <w:tab w:val="left" w:pos="851"/>
              </w:tabs>
              <w:spacing w:line="240" w:lineRule="auto"/>
              <w:ind w:left="96" w:firstLine="0"/>
              <w:jc w:val="left"/>
            </w:pPr>
            <w:r w:rsidRPr="00F51BEF">
              <w:t xml:space="preserve"> Obowiązek uiszczenia kar pieniężnych, o których mowa w ust. 1, przedawnia się z upływem 5 lat, licząc od ostatniego dnia roku kalendarzowego, w którym kary powinny zostać uiszczone.”.</w:t>
            </w:r>
          </w:p>
          <w:p w14:paraId="439203F9" w14:textId="77777777" w:rsidR="00C31722" w:rsidRPr="00FB76A9" w:rsidRDefault="00C31722" w:rsidP="00C31722">
            <w:pPr>
              <w:pStyle w:val="ZARTzmartartykuempunktem"/>
              <w:spacing w:line="240" w:lineRule="auto"/>
              <w:ind w:left="0" w:firstLine="0"/>
              <w:jc w:val="left"/>
              <w:rPr>
                <w:rFonts w:ascii="Times New Roman" w:hAnsi="Times New Roman" w:cs="Times New Roman"/>
                <w:szCs w:val="24"/>
              </w:rPr>
            </w:pPr>
          </w:p>
        </w:tc>
        <w:tc>
          <w:tcPr>
            <w:tcW w:w="1504" w:type="dxa"/>
            <w:tcBorders>
              <w:top w:val="single" w:sz="4" w:space="0" w:color="auto"/>
              <w:left w:val="single" w:sz="4" w:space="0" w:color="auto"/>
              <w:bottom w:val="single" w:sz="4" w:space="0" w:color="auto"/>
              <w:right w:val="single" w:sz="4" w:space="0" w:color="auto"/>
            </w:tcBorders>
          </w:tcPr>
          <w:p w14:paraId="53AF4172" w14:textId="77777777" w:rsidR="00776F54" w:rsidRPr="00FB76A9" w:rsidRDefault="00776F54" w:rsidP="00FD5CD5">
            <w:pPr>
              <w:spacing w:after="0" w:line="240" w:lineRule="auto"/>
              <w:rPr>
                <w:rFonts w:ascii="Times New Roman" w:eastAsia="Times New Roman" w:hAnsi="Times New Roman" w:cs="Times New Roman"/>
                <w:b/>
                <w:bCs/>
                <w:sz w:val="24"/>
                <w:szCs w:val="24"/>
                <w:lang w:eastAsia="pl-PL"/>
              </w:rPr>
            </w:pPr>
          </w:p>
        </w:tc>
      </w:tr>
    </w:tbl>
    <w:p w14:paraId="7DE4C153" w14:textId="77777777" w:rsidR="002307C6" w:rsidRPr="00FB76A9" w:rsidRDefault="002307C6" w:rsidP="00FD5CD5">
      <w:pPr>
        <w:rPr>
          <w:rFonts w:ascii="Times New Roman" w:hAnsi="Times New Roman" w:cs="Times New Roman"/>
          <w:sz w:val="24"/>
          <w:szCs w:val="24"/>
        </w:rPr>
      </w:pPr>
      <w:r w:rsidRPr="00FB76A9">
        <w:rPr>
          <w:rFonts w:ascii="Times New Roman" w:hAnsi="Times New Roman" w:cs="Times New Roman"/>
          <w:sz w:val="24"/>
          <w:szCs w:val="24"/>
        </w:rPr>
        <w:br w:type="page"/>
      </w:r>
    </w:p>
    <w:tbl>
      <w:tblPr>
        <w:tblpPr w:leftFromText="141" w:rightFromText="141" w:vertAnchor="text" w:tblpY="1"/>
        <w:tblOverlap w:val="neve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13"/>
        <w:gridCol w:w="9482"/>
      </w:tblGrid>
      <w:tr w:rsidR="00E259B8" w:rsidRPr="00FB76A9" w14:paraId="49097DEB" w14:textId="77777777" w:rsidTr="003013C2">
        <w:trPr>
          <w:cantSplit/>
          <w:trHeight w:val="576"/>
        </w:trPr>
        <w:tc>
          <w:tcPr>
            <w:tcW w:w="5513" w:type="dxa"/>
            <w:tcBorders>
              <w:bottom w:val="single" w:sz="4" w:space="0" w:color="auto"/>
            </w:tcBorders>
            <w:shd w:val="clear" w:color="auto" w:fill="E0E0E0"/>
          </w:tcPr>
          <w:p w14:paraId="4BD9827D" w14:textId="77777777" w:rsidR="00E259B8" w:rsidRPr="00FB76A9" w:rsidRDefault="00E259B8" w:rsidP="00FD5CD5">
            <w:pPr>
              <w:keepNext/>
              <w:spacing w:after="0" w:line="240" w:lineRule="auto"/>
              <w:outlineLvl w:val="0"/>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TYTUŁ PROJEKTU:</w:t>
            </w:r>
          </w:p>
        </w:tc>
        <w:tc>
          <w:tcPr>
            <w:tcW w:w="9482" w:type="dxa"/>
            <w:tcBorders>
              <w:bottom w:val="single" w:sz="4" w:space="0" w:color="auto"/>
            </w:tcBorders>
          </w:tcPr>
          <w:p w14:paraId="726FE0A1" w14:textId="77777777" w:rsidR="00E259B8" w:rsidRPr="00FB76A9" w:rsidRDefault="00E259B8" w:rsidP="00FD5CD5">
            <w:pPr>
              <w:spacing w:after="0" w:line="240" w:lineRule="auto"/>
              <w:contextualSpacing/>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Projekt ustawy o zmianie ustawy o systemach homologacji pojazdów oraz ich wyposażenia oraz niektórych innych ustaw (UC95)</w:t>
            </w:r>
          </w:p>
        </w:tc>
      </w:tr>
      <w:tr w:rsidR="00E259B8" w:rsidRPr="00FB76A9" w14:paraId="704F4355" w14:textId="77777777" w:rsidTr="003013C2">
        <w:trPr>
          <w:cantSplit/>
          <w:trHeight w:val="576"/>
        </w:trPr>
        <w:tc>
          <w:tcPr>
            <w:tcW w:w="5513" w:type="dxa"/>
            <w:shd w:val="clear" w:color="auto" w:fill="E0E0E0"/>
          </w:tcPr>
          <w:p w14:paraId="0C307CE9"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TYTUŁ WDRAŻANEGO AKTU PRAWNEGO</w:t>
            </w:r>
          </w:p>
        </w:tc>
        <w:tc>
          <w:tcPr>
            <w:tcW w:w="9482" w:type="dxa"/>
          </w:tcPr>
          <w:p w14:paraId="3B34B6A2" w14:textId="77777777" w:rsidR="00E259B8" w:rsidRPr="00FB76A9" w:rsidRDefault="00E259B8" w:rsidP="00FD5CD5">
            <w:pPr>
              <w:pStyle w:val="ODNONIKtreodnonika"/>
              <w:ind w:left="0" w:firstLine="0"/>
              <w:jc w:val="left"/>
              <w:rPr>
                <w:rFonts w:eastAsia="Times New Roman" w:cs="Times New Roman"/>
                <w:sz w:val="24"/>
                <w:szCs w:val="24"/>
              </w:rPr>
            </w:pPr>
            <w:r w:rsidRPr="00FB76A9">
              <w:rPr>
                <w:rFonts w:eastAsia="Times New Roman" w:cs="Times New Roman"/>
                <w:sz w:val="24"/>
                <w:szCs w:val="24"/>
              </w:rPr>
              <w:t xml:space="preserve">Rozporządzenie </w:t>
            </w:r>
            <w:r w:rsidR="00E6032B" w:rsidRPr="00FB76A9">
              <w:rPr>
                <w:rFonts w:eastAsia="Times New Roman" w:cs="Times New Roman"/>
                <w:sz w:val="24"/>
                <w:szCs w:val="24"/>
              </w:rPr>
              <w:t xml:space="preserve"> wykonawcze Komisji (UE) </w:t>
            </w:r>
            <w:r w:rsidR="00E6032B" w:rsidRPr="00FB76A9">
              <w:rPr>
                <w:rFonts w:eastAsia="Times New Roman" w:cs="Times New Roman"/>
                <w:b/>
                <w:sz w:val="24"/>
                <w:szCs w:val="24"/>
              </w:rPr>
              <w:t>2022/163</w:t>
            </w:r>
            <w:r w:rsidR="00E6032B" w:rsidRPr="00FB76A9">
              <w:rPr>
                <w:rFonts w:eastAsia="Times New Roman" w:cs="Times New Roman"/>
                <w:sz w:val="24"/>
                <w:szCs w:val="24"/>
              </w:rPr>
              <w:t xml:space="preserve"> z dnia 7 lutego 2022 r. ustanawiającego przepisy dotyczące stosowania rozporządzenia Parlamentu Europejskiego i Rady (UE) 2018/858 w odniesieniu do wymogów funkcjonalnych dotyczących nadzoru rynku w zakresie pojazdów, układów, komponentów i oddzielnych zespołów technicznych (Dz. Urz. UE L 27 z 08.02.2022, str. 1).</w:t>
            </w:r>
          </w:p>
        </w:tc>
      </w:tr>
      <w:tr w:rsidR="002307C6" w:rsidRPr="00FB76A9" w14:paraId="351229A1" w14:textId="77777777" w:rsidTr="003013C2">
        <w:trPr>
          <w:cantSplit/>
          <w:trHeight w:val="576"/>
        </w:trPr>
        <w:tc>
          <w:tcPr>
            <w:tcW w:w="5513" w:type="dxa"/>
            <w:shd w:val="clear" w:color="auto" w:fill="E0E0E0"/>
          </w:tcPr>
          <w:p w14:paraId="2BD715F5" w14:textId="77777777" w:rsidR="002307C6" w:rsidRPr="00FB76A9" w:rsidRDefault="002307C6"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hAnsi="Times New Roman" w:cs="Times New Roman"/>
                <w:b/>
                <w:bCs/>
                <w:sz w:val="24"/>
                <w:szCs w:val="24"/>
              </w:rPr>
              <w:t>WYJAŚNIENIE TERMINU WEJŚCIA W ŻYCIE PROJEKTU / PROJEKTÓW</w:t>
            </w:r>
          </w:p>
        </w:tc>
        <w:tc>
          <w:tcPr>
            <w:tcW w:w="9482" w:type="dxa"/>
          </w:tcPr>
          <w:p w14:paraId="75721811" w14:textId="77777777" w:rsidR="002307C6" w:rsidRPr="00FB76A9" w:rsidRDefault="002307C6" w:rsidP="00FD5CD5">
            <w:pPr>
              <w:pStyle w:val="ODNONIKtreodnonika"/>
              <w:ind w:left="0" w:firstLine="0"/>
              <w:jc w:val="left"/>
              <w:rPr>
                <w:rFonts w:eastAsia="Times New Roman" w:cs="Times New Roman"/>
                <w:sz w:val="24"/>
                <w:szCs w:val="24"/>
              </w:rPr>
            </w:pPr>
            <w:r w:rsidRPr="00FB76A9">
              <w:rPr>
                <w:rFonts w:eastAsia="Times New Roman" w:cs="Times New Roman"/>
                <w:sz w:val="24"/>
                <w:szCs w:val="24"/>
              </w:rPr>
              <w:t>Co do zasady przewiduje się, iż zgodnie z art. 1</w:t>
            </w:r>
            <w:r w:rsidR="00C31722">
              <w:rPr>
                <w:rFonts w:eastAsia="Times New Roman" w:cs="Times New Roman"/>
                <w:sz w:val="24"/>
                <w:szCs w:val="24"/>
              </w:rPr>
              <w:t>9</w:t>
            </w:r>
            <w:r w:rsidRPr="00FB76A9">
              <w:rPr>
                <w:rFonts w:eastAsia="Times New Roman" w:cs="Times New Roman"/>
                <w:sz w:val="24"/>
                <w:szCs w:val="24"/>
              </w:rPr>
              <w:t xml:space="preserve"> projektu, </w:t>
            </w:r>
            <w:r w:rsidRPr="00FB76A9">
              <w:rPr>
                <w:rFonts w:cs="Times New Roman"/>
                <w:sz w:val="24"/>
                <w:szCs w:val="24"/>
              </w:rPr>
              <w:t>u</w:t>
            </w:r>
            <w:r w:rsidRPr="00FB76A9">
              <w:rPr>
                <w:rFonts w:eastAsia="Times New Roman" w:cs="Times New Roman"/>
                <w:sz w:val="24"/>
                <w:szCs w:val="24"/>
              </w:rPr>
              <w:t xml:space="preserve">stawa wejdzie w życie po upływie 14 dni od dnia ogłoszenia, z wyjątkami wskazanymi w </w:t>
            </w:r>
            <w:r w:rsidR="00C31722">
              <w:rPr>
                <w:rFonts w:eastAsia="Times New Roman" w:cs="Times New Roman"/>
                <w:sz w:val="24"/>
                <w:szCs w:val="24"/>
              </w:rPr>
              <w:t xml:space="preserve">art. 18 </w:t>
            </w:r>
            <w:r w:rsidRPr="00FB76A9">
              <w:rPr>
                <w:rFonts w:eastAsia="Times New Roman" w:cs="Times New Roman"/>
                <w:sz w:val="24"/>
                <w:szCs w:val="24"/>
              </w:rPr>
              <w:t>pkt 1-6.</w:t>
            </w:r>
          </w:p>
        </w:tc>
      </w:tr>
    </w:tbl>
    <w:tbl>
      <w:tblP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7"/>
        <w:gridCol w:w="5572"/>
        <w:gridCol w:w="884"/>
        <w:gridCol w:w="805"/>
        <w:gridCol w:w="5433"/>
        <w:gridCol w:w="1504"/>
      </w:tblGrid>
      <w:tr w:rsidR="00E259B8" w:rsidRPr="00FB76A9" w14:paraId="74044D45" w14:textId="77777777" w:rsidTr="003013C2">
        <w:trPr>
          <w:trHeight w:val="151"/>
        </w:trPr>
        <w:tc>
          <w:tcPr>
            <w:tcW w:w="797" w:type="dxa"/>
            <w:shd w:val="clear" w:color="auto" w:fill="D9D9D9"/>
          </w:tcPr>
          <w:p w14:paraId="14D3DD3B"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Jedn. red. </w:t>
            </w:r>
          </w:p>
        </w:tc>
        <w:tc>
          <w:tcPr>
            <w:tcW w:w="5572" w:type="dxa"/>
            <w:shd w:val="clear" w:color="auto" w:fill="D9D9D9"/>
          </w:tcPr>
          <w:p w14:paraId="1EDAEED0"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Treść przepisu UE </w:t>
            </w:r>
          </w:p>
        </w:tc>
        <w:tc>
          <w:tcPr>
            <w:tcW w:w="884" w:type="dxa"/>
            <w:shd w:val="clear" w:color="auto" w:fill="D9D9D9"/>
          </w:tcPr>
          <w:p w14:paraId="500854E3"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Konieczność</w:t>
            </w:r>
          </w:p>
          <w:p w14:paraId="6AAD7290"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wdrożenia</w:t>
            </w:r>
          </w:p>
          <w:p w14:paraId="1B10DFF2" w14:textId="77777777" w:rsidR="00E259B8" w:rsidRPr="00FB76A9" w:rsidRDefault="00E259B8" w:rsidP="00FD5CD5">
            <w:pPr>
              <w:spacing w:after="0" w:line="240" w:lineRule="auto"/>
              <w:rPr>
                <w:rFonts w:ascii="Times New Roman" w:eastAsia="Times New Roman" w:hAnsi="Times New Roman" w:cs="Times New Roman"/>
                <w:sz w:val="24"/>
                <w:szCs w:val="24"/>
                <w:lang w:eastAsia="pl-PL"/>
              </w:rPr>
            </w:pPr>
          </w:p>
          <w:p w14:paraId="716C1463"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sz w:val="24"/>
                <w:szCs w:val="24"/>
                <w:lang w:eastAsia="pl-PL"/>
              </w:rPr>
              <w:t xml:space="preserve"> T / N</w:t>
            </w:r>
          </w:p>
        </w:tc>
        <w:tc>
          <w:tcPr>
            <w:tcW w:w="805" w:type="dxa"/>
            <w:shd w:val="clear" w:color="auto" w:fill="D9D9D9"/>
          </w:tcPr>
          <w:p w14:paraId="5A57131F"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Jedn. red. (*) </w:t>
            </w:r>
          </w:p>
        </w:tc>
        <w:tc>
          <w:tcPr>
            <w:tcW w:w="5433" w:type="dxa"/>
            <w:shd w:val="clear" w:color="auto" w:fill="D9D9D9"/>
          </w:tcPr>
          <w:p w14:paraId="59858186"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Treść przepisu/ów projektu (*)</w:t>
            </w:r>
          </w:p>
        </w:tc>
        <w:tc>
          <w:tcPr>
            <w:tcW w:w="1504" w:type="dxa"/>
            <w:shd w:val="clear" w:color="auto" w:fill="D9D9D9"/>
          </w:tcPr>
          <w:p w14:paraId="71C6D5C8"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Uzasadnienie uwzględnienia w projekcie przepisów wykraczających poza minimalne wymogi  prawa UE (**)</w:t>
            </w:r>
          </w:p>
        </w:tc>
      </w:tr>
      <w:tr w:rsidR="00E259B8" w:rsidRPr="00FB76A9" w14:paraId="6ACBE6C8" w14:textId="77777777" w:rsidTr="003013C2">
        <w:trPr>
          <w:trHeight w:val="151"/>
        </w:trPr>
        <w:tc>
          <w:tcPr>
            <w:tcW w:w="797" w:type="dxa"/>
            <w:tcBorders>
              <w:top w:val="single" w:sz="4" w:space="0" w:color="auto"/>
              <w:left w:val="single" w:sz="4" w:space="0" w:color="auto"/>
              <w:bottom w:val="single" w:sz="4" w:space="0" w:color="auto"/>
              <w:right w:val="single" w:sz="4" w:space="0" w:color="auto"/>
            </w:tcBorders>
          </w:tcPr>
          <w:p w14:paraId="64153465"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Art. </w:t>
            </w:r>
            <w:r w:rsidR="00E6032B" w:rsidRPr="00FB76A9">
              <w:rPr>
                <w:rFonts w:ascii="Times New Roman" w:eastAsia="Times New Roman" w:hAnsi="Times New Roman" w:cs="Times New Roman"/>
                <w:b/>
                <w:bCs/>
                <w:sz w:val="24"/>
                <w:szCs w:val="24"/>
                <w:lang w:eastAsia="pl-PL"/>
              </w:rPr>
              <w:t>1</w:t>
            </w:r>
          </w:p>
          <w:p w14:paraId="1C87E8ED"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p>
          <w:p w14:paraId="24FF8498"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p>
          <w:p w14:paraId="798E9368"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p>
          <w:p w14:paraId="6DB9F4F7"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p>
          <w:p w14:paraId="11F78F0F"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p>
          <w:p w14:paraId="6137F881"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p>
          <w:p w14:paraId="3B4566B3"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p>
          <w:p w14:paraId="7081A1D6"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p>
          <w:p w14:paraId="382A9384"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p>
          <w:p w14:paraId="546A03B2"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p>
          <w:p w14:paraId="021CAE37"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p>
          <w:p w14:paraId="215432B3"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p>
          <w:p w14:paraId="3629B1C8"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p>
          <w:p w14:paraId="78960B56"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p>
          <w:p w14:paraId="2F3DDF99"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p>
        </w:tc>
        <w:tc>
          <w:tcPr>
            <w:tcW w:w="5572" w:type="dxa"/>
            <w:tcBorders>
              <w:top w:val="single" w:sz="4" w:space="0" w:color="auto"/>
              <w:left w:val="single" w:sz="4" w:space="0" w:color="auto"/>
              <w:bottom w:val="single" w:sz="4" w:space="0" w:color="auto"/>
              <w:right w:val="single" w:sz="4" w:space="0" w:color="auto"/>
            </w:tcBorders>
          </w:tcPr>
          <w:p w14:paraId="73B7C613" w14:textId="77777777" w:rsidR="00E6032B" w:rsidRPr="00FB76A9" w:rsidRDefault="00E259B8" w:rsidP="00FD5CD5">
            <w:pPr>
              <w:pStyle w:val="Default"/>
              <w:rPr>
                <w:rFonts w:eastAsiaTheme="minorHAnsi"/>
                <w:lang w:eastAsia="en-US"/>
              </w:rPr>
            </w:pPr>
            <w:r w:rsidRPr="00FB76A9">
              <w:t xml:space="preserve"> </w:t>
            </w:r>
            <w:r w:rsidR="00E6032B" w:rsidRPr="00FB76A9">
              <w:t>„Odpowiednią skalę sprawdzeń weryfikujących zgodność pojazdów, układów, komponentów i oddzielnych zespołów technicznych przeprowadzanych przez organy nadzoru rynku ustala się w oparciu o następujące kryteria:</w:t>
            </w:r>
          </w:p>
          <w:p w14:paraId="6C36AA68" w14:textId="77777777" w:rsidR="00E6032B" w:rsidRPr="00FB76A9" w:rsidRDefault="00E6032B" w:rsidP="00FD5CD5">
            <w:pPr>
              <w:autoSpaceDE w:val="0"/>
              <w:autoSpaceDN w:val="0"/>
              <w:adjustRightInd w:val="0"/>
              <w:spacing w:after="0" w:line="240" w:lineRule="auto"/>
              <w:rPr>
                <w:rFonts w:ascii="Times New Roman" w:hAnsi="Times New Roman" w:cs="Times New Roman"/>
                <w:color w:val="000000"/>
                <w:sz w:val="24"/>
                <w:szCs w:val="24"/>
              </w:rPr>
            </w:pPr>
            <w:r w:rsidRPr="00FB76A9">
              <w:rPr>
                <w:rFonts w:ascii="Times New Roman" w:hAnsi="Times New Roman" w:cs="Times New Roman"/>
                <w:color w:val="000000"/>
                <w:sz w:val="24"/>
                <w:szCs w:val="24"/>
              </w:rPr>
              <w:t>a)częstotliwość sprawdzeń dokumentacji pojazdów, układów, komponentów i oddzielnych zespołów technicznych przeprowadzanych w pojazdach zarejestrowanych w danym państwie członkowskim w poprzednim roku;</w:t>
            </w:r>
          </w:p>
          <w:p w14:paraId="08343A04" w14:textId="77777777" w:rsidR="00E6032B" w:rsidRPr="00FB76A9" w:rsidRDefault="00E6032B" w:rsidP="00FD5CD5">
            <w:pPr>
              <w:autoSpaceDE w:val="0"/>
              <w:autoSpaceDN w:val="0"/>
              <w:adjustRightInd w:val="0"/>
              <w:spacing w:after="0" w:line="240" w:lineRule="auto"/>
              <w:rPr>
                <w:rFonts w:ascii="Times New Roman" w:hAnsi="Times New Roman" w:cs="Times New Roman"/>
                <w:color w:val="000000"/>
                <w:sz w:val="24"/>
                <w:szCs w:val="24"/>
              </w:rPr>
            </w:pPr>
            <w:r w:rsidRPr="00FB76A9">
              <w:rPr>
                <w:rFonts w:ascii="Times New Roman" w:hAnsi="Times New Roman" w:cs="Times New Roman"/>
                <w:color w:val="000000"/>
                <w:sz w:val="24"/>
                <w:szCs w:val="24"/>
              </w:rPr>
              <w:t>b)liczbę badań rocznie, z uwzględnieniem wymogów określonych w art. 8 ust. 2 i 3 rozporządzenia (UE) 2018/858;</w:t>
            </w:r>
          </w:p>
          <w:p w14:paraId="56A26406" w14:textId="77777777" w:rsidR="00E6032B" w:rsidRPr="00FB76A9" w:rsidRDefault="00E6032B" w:rsidP="00FD5CD5">
            <w:pPr>
              <w:autoSpaceDE w:val="0"/>
              <w:autoSpaceDN w:val="0"/>
              <w:adjustRightInd w:val="0"/>
              <w:spacing w:after="0" w:line="240" w:lineRule="auto"/>
              <w:rPr>
                <w:rFonts w:ascii="Times New Roman" w:hAnsi="Times New Roman" w:cs="Times New Roman"/>
                <w:color w:val="000000"/>
                <w:sz w:val="24"/>
                <w:szCs w:val="24"/>
              </w:rPr>
            </w:pPr>
            <w:r w:rsidRPr="00FB76A9">
              <w:rPr>
                <w:rFonts w:ascii="Times New Roman" w:hAnsi="Times New Roman" w:cs="Times New Roman"/>
                <w:color w:val="000000"/>
                <w:sz w:val="24"/>
                <w:szCs w:val="24"/>
              </w:rPr>
              <w:t>c) ranking zagrożeń określonych w aktach prawnych wymienionych w załączniku II do rozporządzenia (UE) 2018/858 w oparciu o ryzyko i prawdopodobieństwo wystąpienia zagrożenia;</w:t>
            </w:r>
          </w:p>
          <w:p w14:paraId="2EE41957" w14:textId="77777777" w:rsidR="00E6032B" w:rsidRPr="00FB76A9" w:rsidRDefault="00E6032B" w:rsidP="00FD5CD5">
            <w:pPr>
              <w:autoSpaceDE w:val="0"/>
              <w:autoSpaceDN w:val="0"/>
              <w:adjustRightInd w:val="0"/>
              <w:spacing w:after="0" w:line="240" w:lineRule="auto"/>
              <w:rPr>
                <w:rFonts w:ascii="Times New Roman" w:hAnsi="Times New Roman" w:cs="Times New Roman"/>
                <w:color w:val="000000"/>
                <w:sz w:val="24"/>
                <w:szCs w:val="24"/>
              </w:rPr>
            </w:pPr>
            <w:r w:rsidRPr="00FB76A9">
              <w:rPr>
                <w:rFonts w:ascii="Times New Roman" w:hAnsi="Times New Roman" w:cs="Times New Roman"/>
                <w:color w:val="000000"/>
                <w:sz w:val="24"/>
                <w:szCs w:val="24"/>
              </w:rPr>
              <w:t>d) liczbę nowych pojazdów zarejestrowanych w danym państwie członkowskim w poprzednim roku, w podziale według marek i nazw handlowych;</w:t>
            </w:r>
          </w:p>
          <w:p w14:paraId="7FACEC4D" w14:textId="77777777" w:rsidR="00E6032B" w:rsidRPr="00FB76A9" w:rsidRDefault="00E6032B" w:rsidP="00FD5CD5">
            <w:pPr>
              <w:autoSpaceDE w:val="0"/>
              <w:autoSpaceDN w:val="0"/>
              <w:adjustRightInd w:val="0"/>
              <w:spacing w:after="0" w:line="240" w:lineRule="auto"/>
              <w:rPr>
                <w:rFonts w:ascii="Times New Roman" w:hAnsi="Times New Roman" w:cs="Times New Roman"/>
                <w:color w:val="000000"/>
                <w:sz w:val="24"/>
                <w:szCs w:val="24"/>
              </w:rPr>
            </w:pPr>
            <w:r w:rsidRPr="00FB76A9">
              <w:rPr>
                <w:rFonts w:ascii="Times New Roman" w:hAnsi="Times New Roman" w:cs="Times New Roman"/>
                <w:color w:val="000000"/>
                <w:sz w:val="24"/>
                <w:szCs w:val="24"/>
              </w:rPr>
              <w:t>e) uzasadnione skargi w podziale według marek i nazw handlowych pojazdów w ciągu ostatnich trzech lat;</w:t>
            </w:r>
          </w:p>
          <w:p w14:paraId="27F2540A" w14:textId="77777777" w:rsidR="00E6032B" w:rsidRPr="00FB76A9" w:rsidRDefault="00E6032B" w:rsidP="00FD5CD5">
            <w:pPr>
              <w:autoSpaceDE w:val="0"/>
              <w:autoSpaceDN w:val="0"/>
              <w:adjustRightInd w:val="0"/>
              <w:spacing w:after="0" w:line="240" w:lineRule="auto"/>
              <w:rPr>
                <w:rFonts w:ascii="Times New Roman" w:hAnsi="Times New Roman" w:cs="Times New Roman"/>
                <w:color w:val="000000"/>
                <w:sz w:val="24"/>
                <w:szCs w:val="24"/>
              </w:rPr>
            </w:pPr>
            <w:r w:rsidRPr="00FB76A9">
              <w:rPr>
                <w:rFonts w:ascii="Times New Roman" w:hAnsi="Times New Roman" w:cs="Times New Roman"/>
                <w:color w:val="000000"/>
                <w:sz w:val="24"/>
                <w:szCs w:val="24"/>
              </w:rPr>
              <w:t>f) informacje wymieniane na forum w ciągu ostatnich trzech lat;</w:t>
            </w:r>
          </w:p>
          <w:p w14:paraId="168EC619" w14:textId="77777777" w:rsidR="00E6032B" w:rsidRPr="00FB76A9" w:rsidRDefault="00E6032B" w:rsidP="00FD5CD5">
            <w:pPr>
              <w:autoSpaceDE w:val="0"/>
              <w:autoSpaceDN w:val="0"/>
              <w:adjustRightInd w:val="0"/>
              <w:spacing w:after="0" w:line="240" w:lineRule="auto"/>
              <w:rPr>
                <w:rFonts w:ascii="Times New Roman" w:hAnsi="Times New Roman" w:cs="Times New Roman"/>
                <w:color w:val="000000"/>
                <w:sz w:val="24"/>
                <w:szCs w:val="24"/>
              </w:rPr>
            </w:pPr>
            <w:r w:rsidRPr="00FB76A9">
              <w:rPr>
                <w:rFonts w:ascii="Times New Roman" w:hAnsi="Times New Roman" w:cs="Times New Roman"/>
                <w:color w:val="000000"/>
                <w:sz w:val="24"/>
                <w:szCs w:val="24"/>
              </w:rPr>
              <w:t>g)wyniki badań opublikowane w ciągu ostatnich trzech lat przez strony trzecie, które spełniają wymogi określone w art. 6;</w:t>
            </w:r>
          </w:p>
          <w:p w14:paraId="7E5264FA" w14:textId="77777777" w:rsidR="00E259B8" w:rsidRPr="00FB76A9" w:rsidRDefault="00E6032B" w:rsidP="00FD5CD5">
            <w:pPr>
              <w:autoSpaceDE w:val="0"/>
              <w:autoSpaceDN w:val="0"/>
              <w:adjustRightInd w:val="0"/>
              <w:spacing w:after="0" w:line="240" w:lineRule="auto"/>
              <w:rPr>
                <w:rFonts w:ascii="Times New Roman" w:eastAsia="Times New Roman" w:hAnsi="Times New Roman" w:cs="Times New Roman"/>
                <w:b/>
                <w:bCs/>
                <w:sz w:val="24"/>
                <w:szCs w:val="24"/>
                <w:lang w:eastAsia="pl-PL"/>
              </w:rPr>
            </w:pPr>
            <w:r w:rsidRPr="00FB76A9">
              <w:rPr>
                <w:rFonts w:ascii="Times New Roman" w:hAnsi="Times New Roman" w:cs="Times New Roman"/>
                <w:color w:val="000000"/>
                <w:sz w:val="24"/>
                <w:szCs w:val="24"/>
              </w:rPr>
              <w:t>h)odsetek badań przypisany do liczby zarejestrowanych pojazdów oraz odsetek badań przypisany do próby losowej.”</w:t>
            </w:r>
          </w:p>
        </w:tc>
        <w:tc>
          <w:tcPr>
            <w:tcW w:w="884" w:type="dxa"/>
            <w:tcBorders>
              <w:top w:val="single" w:sz="4" w:space="0" w:color="auto"/>
              <w:left w:val="single" w:sz="4" w:space="0" w:color="auto"/>
              <w:bottom w:val="single" w:sz="4" w:space="0" w:color="auto"/>
              <w:right w:val="single" w:sz="4" w:space="0" w:color="auto"/>
            </w:tcBorders>
          </w:tcPr>
          <w:p w14:paraId="39F8B7FE"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w:t>
            </w:r>
          </w:p>
        </w:tc>
        <w:tc>
          <w:tcPr>
            <w:tcW w:w="805" w:type="dxa"/>
            <w:tcBorders>
              <w:top w:val="single" w:sz="4" w:space="0" w:color="auto"/>
              <w:left w:val="single" w:sz="4" w:space="0" w:color="auto"/>
              <w:bottom w:val="single" w:sz="4" w:space="0" w:color="auto"/>
              <w:right w:val="single" w:sz="4" w:space="0" w:color="auto"/>
            </w:tcBorders>
          </w:tcPr>
          <w:p w14:paraId="15B757C7" w14:textId="77777777" w:rsidR="00E259B8" w:rsidRPr="00FB76A9" w:rsidRDefault="00E259B8" w:rsidP="00FD5CD5">
            <w:pPr>
              <w:spacing w:after="0" w:line="240" w:lineRule="auto"/>
              <w:rPr>
                <w:rFonts w:ascii="Times New Roman" w:eastAsia="Times New Roman" w:hAnsi="Times New Roman" w:cs="Times New Roman"/>
                <w:bCs/>
                <w:sz w:val="24"/>
                <w:szCs w:val="24"/>
                <w:lang w:eastAsia="pl-PL"/>
              </w:rPr>
            </w:pPr>
            <w:r w:rsidRPr="00FB76A9">
              <w:rPr>
                <w:rFonts w:ascii="Times New Roman" w:eastAsia="Times New Roman" w:hAnsi="Times New Roman" w:cs="Times New Roman"/>
                <w:bCs/>
                <w:sz w:val="24"/>
                <w:szCs w:val="24"/>
                <w:lang w:eastAsia="pl-PL"/>
              </w:rPr>
              <w:t xml:space="preserve">Art. </w:t>
            </w:r>
            <w:r w:rsidR="00E6032B" w:rsidRPr="00FB76A9">
              <w:rPr>
                <w:rFonts w:ascii="Times New Roman" w:eastAsia="Times New Roman" w:hAnsi="Times New Roman" w:cs="Times New Roman"/>
                <w:bCs/>
                <w:sz w:val="24"/>
                <w:szCs w:val="24"/>
                <w:lang w:eastAsia="pl-PL"/>
              </w:rPr>
              <w:t xml:space="preserve">1 </w:t>
            </w:r>
            <w:r w:rsidRPr="00FB76A9">
              <w:rPr>
                <w:rFonts w:ascii="Times New Roman" w:eastAsia="Times New Roman" w:hAnsi="Times New Roman" w:cs="Times New Roman"/>
                <w:bCs/>
                <w:sz w:val="24"/>
                <w:szCs w:val="24"/>
                <w:lang w:eastAsia="pl-PL"/>
              </w:rPr>
              <w:t xml:space="preserve">pkt </w:t>
            </w:r>
            <w:r w:rsidR="00F301C8" w:rsidRPr="00FB76A9">
              <w:rPr>
                <w:rFonts w:ascii="Times New Roman" w:eastAsia="Times New Roman" w:hAnsi="Times New Roman" w:cs="Times New Roman"/>
                <w:bCs/>
                <w:sz w:val="24"/>
                <w:szCs w:val="24"/>
                <w:lang w:eastAsia="pl-PL"/>
              </w:rPr>
              <w:t>21</w:t>
            </w:r>
          </w:p>
        </w:tc>
        <w:tc>
          <w:tcPr>
            <w:tcW w:w="5433" w:type="dxa"/>
            <w:tcBorders>
              <w:top w:val="single" w:sz="4" w:space="0" w:color="auto"/>
              <w:left w:val="single" w:sz="4" w:space="0" w:color="auto"/>
              <w:bottom w:val="single" w:sz="4" w:space="0" w:color="auto"/>
              <w:right w:val="single" w:sz="4" w:space="0" w:color="auto"/>
            </w:tcBorders>
          </w:tcPr>
          <w:p w14:paraId="35AF323A" w14:textId="77777777" w:rsidR="009E79E7" w:rsidRPr="00FB76A9" w:rsidRDefault="00E6032B"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bCs/>
                <w:szCs w:val="24"/>
              </w:rPr>
              <w:t>„</w:t>
            </w:r>
            <w:r w:rsidR="009E79E7" w:rsidRPr="00FB76A9">
              <w:rPr>
                <w:rFonts w:ascii="Times New Roman" w:hAnsi="Times New Roman" w:cs="Times New Roman"/>
                <w:szCs w:val="24"/>
              </w:rPr>
              <w:t>Art. 68zh. 1. Dyrektor TDT jako organ nadzoru rynku planuje działania w zakresie nadzoru rynku zgodnie z kryteriami określonymi w art. 1 rozporządzenia wykonawczego Komisji (UE) 2022/163 z dnia 7 lutego 2022 r. ustanawiającego przepisy dotyczące stosowania rozporządzenia Parlamentu Europejskiego i Rady (UE) 2018/858 w odniesieniu do wymogów funkcjonalnych dotyczących nadzoru rynku w zakresie pojazdów, układów, komponentów i oddzielnych zespołów technicznych (Dz. Urz. UE L 27 z 08.02.2022, str. 1) oraz przeprowadza regularne badania laboratoryjne pojazdów, przedmiotów wyposażenia lub części, o których mowa w art. 7 ust. 2 rozporządzenia 167/2013, art. 8 ust. 2 rozporządzenia 168/2013 oraz art. 8 rozporządzenia 2018/858.</w:t>
            </w:r>
          </w:p>
          <w:p w14:paraId="1D26B91C" w14:textId="77777777" w:rsidR="009E79E7" w:rsidRPr="00FB76A9" w:rsidRDefault="009E79E7"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2. Pojazdy, przedmioty wyposażenia lub części są pobierane nieodpłatnie przez Dyrektora TDT jako organ nadzoru rynku do badań, o których mowa w ust. 1, od podmiotu gospodarczego lub posiadacza pojazdu, przedmiotu wyposażenia lub części, niebędącego użytkownikiem końcowym.</w:t>
            </w:r>
          </w:p>
          <w:p w14:paraId="71981912" w14:textId="77777777" w:rsidR="009E79E7" w:rsidRPr="00FB76A9" w:rsidRDefault="009E79E7"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3. Do pobrania pojazdu, przedmiotu wyposażenia lub części do badań laboratoryjnych, o którym mowa w ust. 1, stosuje się odpowiednio przepisy art. 68zb.</w:t>
            </w:r>
          </w:p>
          <w:p w14:paraId="7306C6B1" w14:textId="77777777" w:rsidR="009E79E7" w:rsidRPr="00FB76A9" w:rsidRDefault="009E79E7"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4. Dyrektor TDT jako organ nadzoru rynku przeprowadza kontrolę fizyczną pojazdu, przedmiotu wyposażenia lub części, a następnie poddaje pobrany pojazd, przedmiot wyposażenia lub część, badaniom laboratoryjnym, zlecając ich przeprowadzenie laboratorium badawczemu, o którym mowa w art. 68zi.</w:t>
            </w:r>
          </w:p>
          <w:p w14:paraId="66015794" w14:textId="77777777" w:rsidR="009E79E7" w:rsidRPr="00FB76A9" w:rsidRDefault="009E79E7"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5. Z badań laboratoryjnych, o których mowa w ust. 4, sporządza się sprawozdanie z badań.</w:t>
            </w:r>
          </w:p>
          <w:p w14:paraId="5C89BC87" w14:textId="77777777" w:rsidR="00E6032B" w:rsidRPr="00FB76A9" w:rsidRDefault="009E79E7"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6. Po przeprowadzeniu badań laboratoryjnych, o których mowa w ust. 4, Dyrektor TDT jako organ nadzoru rynku zwraca podmiotowi gospodarczemu lub posiadaczowi pojazdu, przedmiotu wyposażenia lub części, niebędącego użytkownikiem końcowym, pojazd, przedmiot wyposażenia lub część wraz z protokołem z kontroli oraz ze sprawozdaniem z badań.</w:t>
            </w:r>
          </w:p>
          <w:p w14:paraId="2B12793C" w14:textId="77777777" w:rsidR="00E259B8" w:rsidRPr="00FB76A9" w:rsidRDefault="00E259B8" w:rsidP="00FD5CD5">
            <w:pPr>
              <w:pStyle w:val="ZCZWSPPKTzmczciwsppktartykuempunktem"/>
              <w:spacing w:line="240" w:lineRule="auto"/>
              <w:ind w:left="0"/>
              <w:jc w:val="left"/>
              <w:rPr>
                <w:rFonts w:ascii="Times New Roman" w:hAnsi="Times New Roman" w:cs="Times New Roman"/>
                <w:szCs w:val="24"/>
              </w:rPr>
            </w:pPr>
          </w:p>
        </w:tc>
        <w:tc>
          <w:tcPr>
            <w:tcW w:w="1504" w:type="dxa"/>
            <w:tcBorders>
              <w:top w:val="single" w:sz="4" w:space="0" w:color="auto"/>
              <w:left w:val="single" w:sz="4" w:space="0" w:color="auto"/>
              <w:bottom w:val="single" w:sz="4" w:space="0" w:color="auto"/>
              <w:right w:val="single" w:sz="4" w:space="0" w:color="auto"/>
            </w:tcBorders>
          </w:tcPr>
          <w:p w14:paraId="7EC1C5BD" w14:textId="77777777" w:rsidR="00E259B8" w:rsidRPr="00FB76A9" w:rsidRDefault="00E259B8" w:rsidP="00FD5CD5">
            <w:pPr>
              <w:spacing w:after="0" w:line="240" w:lineRule="auto"/>
              <w:rPr>
                <w:rFonts w:ascii="Times New Roman" w:eastAsia="Times New Roman" w:hAnsi="Times New Roman" w:cs="Times New Roman"/>
                <w:b/>
                <w:bCs/>
                <w:sz w:val="24"/>
                <w:szCs w:val="24"/>
                <w:lang w:eastAsia="pl-PL"/>
              </w:rPr>
            </w:pPr>
          </w:p>
        </w:tc>
      </w:tr>
    </w:tbl>
    <w:p w14:paraId="2B618211" w14:textId="77777777" w:rsidR="00E355FA" w:rsidRPr="00FB76A9" w:rsidRDefault="00E355FA" w:rsidP="00FD5CD5">
      <w:pPr>
        <w:spacing w:after="0" w:line="240" w:lineRule="auto"/>
        <w:rPr>
          <w:rFonts w:ascii="Times New Roman" w:eastAsia="Times New Roman" w:hAnsi="Times New Roman" w:cs="Times New Roman"/>
          <w:sz w:val="24"/>
          <w:szCs w:val="24"/>
          <w:lang w:eastAsia="pl-PL"/>
        </w:rPr>
      </w:pPr>
    </w:p>
    <w:p w14:paraId="56C77FF2" w14:textId="77777777" w:rsidR="00E355FA" w:rsidRPr="00FB76A9" w:rsidRDefault="00E355FA" w:rsidP="00FD5CD5">
      <w:pPr>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br w:type="page"/>
      </w:r>
    </w:p>
    <w:tbl>
      <w:tblPr>
        <w:tblpPr w:leftFromText="141" w:rightFromText="141" w:vertAnchor="text" w:tblpY="1"/>
        <w:tblOverlap w:val="neve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13"/>
        <w:gridCol w:w="9482"/>
      </w:tblGrid>
      <w:tr w:rsidR="00E355FA" w:rsidRPr="00FB76A9" w14:paraId="0CCC64E6" w14:textId="77777777" w:rsidTr="00B923FC">
        <w:trPr>
          <w:cantSplit/>
          <w:trHeight w:val="576"/>
        </w:trPr>
        <w:tc>
          <w:tcPr>
            <w:tcW w:w="5513" w:type="dxa"/>
            <w:tcBorders>
              <w:bottom w:val="single" w:sz="4" w:space="0" w:color="auto"/>
            </w:tcBorders>
            <w:shd w:val="clear" w:color="auto" w:fill="E0E0E0"/>
          </w:tcPr>
          <w:p w14:paraId="3E84427A" w14:textId="77777777" w:rsidR="00E355FA" w:rsidRPr="00FB76A9" w:rsidRDefault="00E355FA" w:rsidP="00FD5CD5">
            <w:pPr>
              <w:keepNext/>
              <w:spacing w:after="0" w:line="240" w:lineRule="auto"/>
              <w:outlineLvl w:val="0"/>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TYTUŁ PROJEKTU:</w:t>
            </w:r>
          </w:p>
        </w:tc>
        <w:tc>
          <w:tcPr>
            <w:tcW w:w="9482" w:type="dxa"/>
            <w:tcBorders>
              <w:bottom w:val="single" w:sz="4" w:space="0" w:color="auto"/>
            </w:tcBorders>
          </w:tcPr>
          <w:p w14:paraId="72F71ACF" w14:textId="77777777" w:rsidR="00E355FA" w:rsidRPr="00FB76A9" w:rsidRDefault="00E355FA" w:rsidP="00FD5CD5">
            <w:pPr>
              <w:spacing w:after="0" w:line="240" w:lineRule="auto"/>
              <w:contextualSpacing/>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Projekt ustawy o zmianie ustawy o systemach homologacji pojazdów oraz ich wyposażenia oraz niektórych innych ustaw (UC95)</w:t>
            </w:r>
          </w:p>
        </w:tc>
      </w:tr>
      <w:tr w:rsidR="00E355FA" w:rsidRPr="00FB76A9" w14:paraId="62B7A687" w14:textId="77777777" w:rsidTr="00B923FC">
        <w:trPr>
          <w:cantSplit/>
          <w:trHeight w:val="576"/>
        </w:trPr>
        <w:tc>
          <w:tcPr>
            <w:tcW w:w="5513" w:type="dxa"/>
            <w:shd w:val="clear" w:color="auto" w:fill="E0E0E0"/>
          </w:tcPr>
          <w:p w14:paraId="18477C09"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TYTUŁ WDRAŻANEGO AKTU PRAWNEGO</w:t>
            </w:r>
          </w:p>
        </w:tc>
        <w:tc>
          <w:tcPr>
            <w:tcW w:w="9482" w:type="dxa"/>
          </w:tcPr>
          <w:p w14:paraId="096E2CC1" w14:textId="77777777" w:rsidR="00E355FA" w:rsidRPr="00FB76A9" w:rsidRDefault="00E355FA" w:rsidP="00FD5CD5">
            <w:pPr>
              <w:pStyle w:val="ZPKTzmpktartykuempunktem"/>
              <w:keepNext/>
              <w:spacing w:line="240" w:lineRule="auto"/>
              <w:ind w:left="85" w:firstLine="0"/>
              <w:jc w:val="left"/>
              <w:rPr>
                <w:rFonts w:ascii="Times New Roman" w:hAnsi="Times New Roman" w:cs="Times New Roman"/>
                <w:szCs w:val="24"/>
              </w:rPr>
            </w:pPr>
            <w:r w:rsidRPr="00FB76A9">
              <w:rPr>
                <w:rFonts w:ascii="Times New Roman" w:hAnsi="Times New Roman" w:cs="Times New Roman"/>
                <w:szCs w:val="24"/>
              </w:rPr>
              <w:t xml:space="preserve">Rozporządzenie Parlamentu Europejskiego i Rady (UE) </w:t>
            </w:r>
            <w:r w:rsidRPr="00FB76A9">
              <w:rPr>
                <w:rFonts w:ascii="Times New Roman" w:hAnsi="Times New Roman" w:cs="Times New Roman"/>
                <w:b/>
                <w:bCs w:val="0"/>
                <w:szCs w:val="24"/>
              </w:rPr>
              <w:t>2024/1257</w:t>
            </w:r>
            <w:r w:rsidRPr="00FB76A9">
              <w:rPr>
                <w:rFonts w:ascii="Times New Roman" w:hAnsi="Times New Roman" w:cs="Times New Roman"/>
                <w:szCs w:val="24"/>
              </w:rPr>
              <w:t xml:space="preserve"> z dnia 24 kwietnia 2024 r. w sprawie homologacji typu pojazdów silnikowych i silników oraz układów, komponentów i oddzielnych zespołów technicznych przeznaczonych do takich pojazdów, w odniesieniu do emisji i trwałości akumulatora (Euro 7), zmieniające rozporządzenie Parlamentu Europejskiego i Rady (UE) 2018/858 oraz uchylające rozporządzenie (WE) nr 715/2007 Parlamentu Europejskiego i Rady i rozporządzenie Parlamentu Europejskiego i Rady (WE) nr 595/2009, rozporządzenie Komisji (UE) nr 582/2011, rozporządzenie Komisji (UE) 2017/1151, rozporządzenie Komisji (UE) 2017/2400 oraz rozporządzenie Komisji (UE) 2022/1362 (Dz. Urz. UE L 1257 z dnia 08.05.2024)</w:t>
            </w:r>
          </w:p>
        </w:tc>
      </w:tr>
      <w:tr w:rsidR="00E355FA" w:rsidRPr="00FB76A9" w14:paraId="684BFB27" w14:textId="77777777" w:rsidTr="00B923FC">
        <w:trPr>
          <w:cantSplit/>
          <w:trHeight w:val="576"/>
        </w:trPr>
        <w:tc>
          <w:tcPr>
            <w:tcW w:w="5513" w:type="dxa"/>
            <w:shd w:val="clear" w:color="auto" w:fill="E0E0E0"/>
          </w:tcPr>
          <w:p w14:paraId="3A7C6EA5"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hAnsi="Times New Roman" w:cs="Times New Roman"/>
                <w:b/>
                <w:bCs/>
                <w:sz w:val="24"/>
                <w:szCs w:val="24"/>
              </w:rPr>
              <w:t>WYJAŚNIENIE TERMINU WEJŚCIA W ŻYCIE PROJEKTU / PROJEKTÓW</w:t>
            </w:r>
          </w:p>
        </w:tc>
        <w:tc>
          <w:tcPr>
            <w:tcW w:w="9482" w:type="dxa"/>
          </w:tcPr>
          <w:p w14:paraId="52AD9578" w14:textId="77777777" w:rsidR="00E355FA" w:rsidRPr="00FB76A9" w:rsidRDefault="00E355FA" w:rsidP="00FD5CD5">
            <w:pPr>
              <w:pStyle w:val="ZPKTzmpktartykuempunktem"/>
              <w:keepNext/>
              <w:spacing w:line="240" w:lineRule="auto"/>
              <w:ind w:left="82" w:firstLine="0"/>
              <w:jc w:val="left"/>
              <w:rPr>
                <w:rFonts w:ascii="Times New Roman" w:hAnsi="Times New Roman" w:cs="Times New Roman"/>
                <w:szCs w:val="24"/>
              </w:rPr>
            </w:pPr>
            <w:r w:rsidRPr="00FB76A9">
              <w:rPr>
                <w:rFonts w:ascii="Times New Roman" w:hAnsi="Times New Roman" w:cs="Times New Roman"/>
                <w:szCs w:val="24"/>
              </w:rPr>
              <w:t>Co do zasady przewiduje się, iż zgodnie z art. 1</w:t>
            </w:r>
            <w:r w:rsidR="00C31722">
              <w:rPr>
                <w:rFonts w:ascii="Times New Roman" w:hAnsi="Times New Roman" w:cs="Times New Roman"/>
                <w:szCs w:val="24"/>
              </w:rPr>
              <w:t>9</w:t>
            </w:r>
            <w:r w:rsidRPr="00FB76A9">
              <w:rPr>
                <w:rFonts w:ascii="Times New Roman" w:hAnsi="Times New Roman" w:cs="Times New Roman"/>
                <w:szCs w:val="24"/>
              </w:rPr>
              <w:t xml:space="preserve"> projektu, ustawa wejdzie w życie po upływie 14 dni od dnia ogłoszenia, z wyjątkami wskazanymi w </w:t>
            </w:r>
            <w:r w:rsidR="00C31722">
              <w:rPr>
                <w:rFonts w:ascii="Times New Roman" w:hAnsi="Times New Roman" w:cs="Times New Roman"/>
                <w:szCs w:val="24"/>
              </w:rPr>
              <w:t xml:space="preserve">art. 18 </w:t>
            </w:r>
            <w:r w:rsidRPr="00FB76A9">
              <w:rPr>
                <w:rFonts w:ascii="Times New Roman" w:hAnsi="Times New Roman" w:cs="Times New Roman"/>
                <w:szCs w:val="24"/>
              </w:rPr>
              <w:t>pkt 1-6.</w:t>
            </w:r>
          </w:p>
        </w:tc>
      </w:tr>
    </w:tbl>
    <w:tbl>
      <w:tblP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7"/>
        <w:gridCol w:w="5572"/>
        <w:gridCol w:w="884"/>
        <w:gridCol w:w="805"/>
        <w:gridCol w:w="5433"/>
        <w:gridCol w:w="1504"/>
      </w:tblGrid>
      <w:tr w:rsidR="00E355FA" w:rsidRPr="00FB76A9" w14:paraId="0A5662E9" w14:textId="77777777" w:rsidTr="00B923FC">
        <w:trPr>
          <w:trHeight w:val="151"/>
        </w:trPr>
        <w:tc>
          <w:tcPr>
            <w:tcW w:w="797" w:type="dxa"/>
            <w:shd w:val="clear" w:color="auto" w:fill="D9D9D9"/>
          </w:tcPr>
          <w:p w14:paraId="45EEE9D9"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Jedn. red. </w:t>
            </w:r>
          </w:p>
        </w:tc>
        <w:tc>
          <w:tcPr>
            <w:tcW w:w="5572" w:type="dxa"/>
            <w:shd w:val="clear" w:color="auto" w:fill="D9D9D9"/>
          </w:tcPr>
          <w:p w14:paraId="798E0C22"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Treść przepisu UE </w:t>
            </w:r>
          </w:p>
        </w:tc>
        <w:tc>
          <w:tcPr>
            <w:tcW w:w="884" w:type="dxa"/>
            <w:shd w:val="clear" w:color="auto" w:fill="D9D9D9"/>
          </w:tcPr>
          <w:p w14:paraId="5974808B"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Konieczność</w:t>
            </w:r>
          </w:p>
          <w:p w14:paraId="657428A3"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wdrożenia</w:t>
            </w:r>
          </w:p>
          <w:p w14:paraId="3447F4BE" w14:textId="77777777" w:rsidR="00E355FA" w:rsidRPr="00FB76A9" w:rsidRDefault="00E355FA" w:rsidP="00FD5CD5">
            <w:pPr>
              <w:spacing w:after="0" w:line="240" w:lineRule="auto"/>
              <w:rPr>
                <w:rFonts w:ascii="Times New Roman" w:eastAsia="Times New Roman" w:hAnsi="Times New Roman" w:cs="Times New Roman"/>
                <w:sz w:val="24"/>
                <w:szCs w:val="24"/>
                <w:lang w:eastAsia="pl-PL"/>
              </w:rPr>
            </w:pPr>
          </w:p>
          <w:p w14:paraId="4784FCB5"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sz w:val="24"/>
                <w:szCs w:val="24"/>
                <w:lang w:eastAsia="pl-PL"/>
              </w:rPr>
              <w:t xml:space="preserve"> T / N</w:t>
            </w:r>
          </w:p>
        </w:tc>
        <w:tc>
          <w:tcPr>
            <w:tcW w:w="805" w:type="dxa"/>
            <w:shd w:val="clear" w:color="auto" w:fill="D9D9D9"/>
          </w:tcPr>
          <w:p w14:paraId="53DF83DE"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Jedn. red. (*) </w:t>
            </w:r>
          </w:p>
        </w:tc>
        <w:tc>
          <w:tcPr>
            <w:tcW w:w="5433" w:type="dxa"/>
            <w:shd w:val="clear" w:color="auto" w:fill="D9D9D9"/>
          </w:tcPr>
          <w:p w14:paraId="40D2CCDE"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Treść przepisu/ów projektu (*)</w:t>
            </w:r>
          </w:p>
        </w:tc>
        <w:tc>
          <w:tcPr>
            <w:tcW w:w="1504" w:type="dxa"/>
            <w:shd w:val="clear" w:color="auto" w:fill="D9D9D9"/>
          </w:tcPr>
          <w:p w14:paraId="720A25BB"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Uzasadnienie uwzględnienia w projekcie przepisów wykraczających poza minimalne wymogi  prawa UE (**)</w:t>
            </w:r>
          </w:p>
        </w:tc>
      </w:tr>
      <w:tr w:rsidR="00E355FA" w:rsidRPr="00FB76A9" w14:paraId="1D4AD77F" w14:textId="77777777" w:rsidTr="00B923FC">
        <w:trPr>
          <w:trHeight w:val="151"/>
        </w:trPr>
        <w:tc>
          <w:tcPr>
            <w:tcW w:w="797" w:type="dxa"/>
            <w:tcBorders>
              <w:top w:val="single" w:sz="4" w:space="0" w:color="auto"/>
              <w:left w:val="single" w:sz="4" w:space="0" w:color="auto"/>
              <w:bottom w:val="single" w:sz="4" w:space="0" w:color="auto"/>
              <w:right w:val="single" w:sz="4" w:space="0" w:color="auto"/>
            </w:tcBorders>
          </w:tcPr>
          <w:p w14:paraId="2F1D2E62"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r w:rsidRPr="00E15AA3">
              <w:rPr>
                <w:rFonts w:ascii="Times New Roman" w:eastAsia="Times New Roman" w:hAnsi="Times New Roman" w:cs="Times New Roman"/>
                <w:b/>
                <w:bCs/>
                <w:sz w:val="24"/>
                <w:szCs w:val="24"/>
                <w:lang w:val="en-GB" w:eastAsia="pl-PL"/>
              </w:rPr>
              <w:t>Art. 4</w:t>
            </w:r>
          </w:p>
          <w:p w14:paraId="0D891FC0"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6093BA6D"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1E63D1D9"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76763B09"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30C3B3DE"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5ED81F31"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243188F3"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1B5F8635"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3AAC4E03"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7F3989C0"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5D668196"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408634A1"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779DD5DB"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7D223CCC"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25836342"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3C83AC46"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2274D658"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774FAA6F"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464A5491"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C9B1C6A"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59DCAE6"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17DC2D5"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0A820B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CFC2DA6"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1702E6A"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7B1951C"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2B25612"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3E9CD6F7"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1EFA743"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1F06D8A"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FA70372"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53C3516"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31CD6389"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F7050BE"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2D657ED"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3F7DCD6"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6DFF15D"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83B2B51"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0F9948B"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31C49BB2"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E95D799"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357D03EA"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80C011A"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F92F4CD"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3C6125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0BAAAD0"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437B62B"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85469D5"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96D04E4"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6618A0D"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6F9EBCB"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CD780C5"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273DDFB"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217CCE9"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61CE19C"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3D07E4C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2E08E97"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BCB3111"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D26168B"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93BA345"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FF3608F"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6CC4DA0"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6CAE0BF"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01CCF42"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C4808F2"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28BEA0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C9DFEA3"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43E82DC"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D2F3559"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371E61E3"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39E110A"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20082BB"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8A3E81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30BC85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611D0D4"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4852E6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4521A01"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CBC8A7A"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8195CAA"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004A06E"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C8B580D"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38BDDE7D"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70D2D4F"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F902FF9"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98D6276"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0071E36"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C1ED32F"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5989C8C"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ABA84F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08BFD54"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582542F"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3E472A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E0F59DD"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DF77463"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938D29A"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3F45994"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01D5184"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FCD0B1F"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83079C2"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6BBC49F"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3C72C3A1"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9C7D65A"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276EC86"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75CA280"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7D2EFD3"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2475E01"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6EDF281"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17D03CC"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4079E23"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34A8B25"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DC8C98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AE83E00"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A9F4671"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B5E189F"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3E34EC0"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250DE10"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3363DC23"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900F9C4"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57A9FE1"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C54661C"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CDE252D"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145037E"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FA3D1F0"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3AB9C3DF"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39C1A22"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6A32ED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D48D98E"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3ECEE232"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1C86831"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051D2FB"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E179CFB"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AEE330E"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r w:rsidRPr="00E15AA3">
              <w:rPr>
                <w:rFonts w:ascii="Times New Roman" w:eastAsia="Times New Roman" w:hAnsi="Times New Roman" w:cs="Times New Roman"/>
                <w:b/>
                <w:bCs/>
                <w:sz w:val="24"/>
                <w:szCs w:val="24"/>
                <w:lang w:val="en-GB" w:eastAsia="pl-PL"/>
              </w:rPr>
              <w:t>Art. 5</w:t>
            </w:r>
          </w:p>
          <w:p w14:paraId="4F299340"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0902DF23"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4E36EFDF"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2C9D13A8"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2107DF1D"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46070F29"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17DD7781"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263E6103"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421C7F11"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5A4373E2"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68C19498"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656E6FD8"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58C5AF7F"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32EA88E8"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6A930A17"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25F6FE15"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0F7E2A6C"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762E2CF3"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647F5D90"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05353DC0"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668E9975"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07A20BE1"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6EAE5934"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31A10F03"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0AC9A7F5"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753D0884"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417C97BB"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63D5AA70"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16F86BCC"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34C342B"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r w:rsidRPr="00E15AA3">
              <w:rPr>
                <w:rFonts w:ascii="Times New Roman" w:eastAsia="Times New Roman" w:hAnsi="Times New Roman" w:cs="Times New Roman"/>
                <w:b/>
                <w:bCs/>
                <w:sz w:val="24"/>
                <w:szCs w:val="24"/>
                <w:lang w:val="en-GB" w:eastAsia="pl-PL"/>
              </w:rPr>
              <w:t>Art. 6</w:t>
            </w:r>
          </w:p>
          <w:p w14:paraId="2D7A4544"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46C00DE8"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50E24CB4"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14A583EA"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2CC2586A"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36C69B06"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7C35F7B6"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3D6D0CB6"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1B8D64E1"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1A63DF83"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04825AEB"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17E690F0"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0352F712"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20DD23A4"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5EAD0399"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2E6FFE31"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9777013"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6134D51"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D89C9AE"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A0B0D53"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50AFF66"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1F4A22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0FD918D"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AC5B0D4"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D1D905B"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237B6A6"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E66ABA2"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3D361EF"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F60DFDF"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27943E1"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12DEEB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3A2BFCD5"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48F581D"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A34171E"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B67B7C9"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5026459"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7D08B5E"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67F513F"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D5C84EC"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16443ED"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3E8EAE0B"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2B7B8C3"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D37BF5E"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3EB571A3"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1D547B1"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E2C241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E71A1E7"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85D1E6A"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764C051"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F32CE46"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B202E04"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C924072"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1BF2BF5"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3E0627FA"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D3870B9"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94926F3"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668058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FA8F04C"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F176ECB"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102641F"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3C7D534"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44ADA7E"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6AD1339"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8C770DC"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6418B34"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B861737"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2358434"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A1D95F6"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C0EB463"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B2B38BE"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42CB7C1"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2921BB6"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A3E0297"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7F61CCB"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7BB6B9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C1B6383"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1C56266"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C5C934F"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68C16A3"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74D5C5C"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DDCF389"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077BEDE"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CE1F3F0"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357F4E3"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05A7E5E"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AAED2D5"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FDB2ACA"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605796D"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B100FC1"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r w:rsidRPr="00E15AA3">
              <w:rPr>
                <w:rFonts w:ascii="Times New Roman" w:eastAsia="Times New Roman" w:hAnsi="Times New Roman" w:cs="Times New Roman"/>
                <w:b/>
                <w:bCs/>
                <w:sz w:val="24"/>
                <w:szCs w:val="24"/>
                <w:lang w:val="en-GB" w:eastAsia="pl-PL"/>
              </w:rPr>
              <w:t>Art. 7</w:t>
            </w:r>
          </w:p>
          <w:p w14:paraId="6239520D"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4C0DAF23"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404B991"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44FC014"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2886EED"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7141B4A"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967D1A1"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EE205F9"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00BFE4B"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7275F1B"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3C78832C"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64D0C44"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4DC9261"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CE84884"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632A90D"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308C1AEF"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9F21A0B"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7DDDBF5"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54C162E"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2FBA3D3"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AC8A993"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F1E30AA"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43DAF70"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D80590B"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FE4D06A"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81C4F0B"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1113F5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3DB817F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A7C4874"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CF46F4B"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85E7253"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A54D183"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2F67612"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41C3E1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A870959"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97E51A7"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E0F67F4"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3013F83F"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927656D"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76AC696"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65146FA"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71CC08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51307D6"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6205BD5"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26FD1F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6D6FDE4"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r w:rsidRPr="00E15AA3">
              <w:rPr>
                <w:rFonts w:ascii="Times New Roman" w:eastAsia="Times New Roman" w:hAnsi="Times New Roman" w:cs="Times New Roman"/>
                <w:b/>
                <w:bCs/>
                <w:sz w:val="24"/>
                <w:szCs w:val="24"/>
                <w:lang w:val="en-GB" w:eastAsia="pl-PL"/>
              </w:rPr>
              <w:t>Art. 8</w:t>
            </w:r>
          </w:p>
          <w:p w14:paraId="30D71C20"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475EBAB0"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182CBB38" w14:textId="77777777" w:rsidR="00E355FA" w:rsidRPr="00E15AA3" w:rsidRDefault="00E355FA" w:rsidP="00FD5CD5">
            <w:pPr>
              <w:spacing w:after="0" w:line="240" w:lineRule="auto"/>
              <w:rPr>
                <w:rFonts w:ascii="Times New Roman" w:eastAsia="Times New Roman" w:hAnsi="Times New Roman" w:cs="Times New Roman"/>
                <w:b/>
                <w:bCs/>
                <w:sz w:val="24"/>
                <w:szCs w:val="24"/>
                <w:lang w:val="en-GB" w:eastAsia="pl-PL"/>
              </w:rPr>
            </w:pPr>
          </w:p>
          <w:p w14:paraId="07171F8D"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D220D49"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3E6471AD"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E69D09E"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C74FDEA"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F3DBC8C"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E7705BA"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7237341"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060977C8"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3444EE1A"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536F28FF"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A849866"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BD7721E"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1341ECC6"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632535C7"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58D08EF"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2E9C730B"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42F64C01" w14:textId="77777777" w:rsidR="00B73E93" w:rsidRPr="00E15AA3" w:rsidRDefault="00B73E93" w:rsidP="00FD5CD5">
            <w:pPr>
              <w:spacing w:after="0" w:line="240" w:lineRule="auto"/>
              <w:rPr>
                <w:rFonts w:ascii="Times New Roman" w:eastAsia="Times New Roman" w:hAnsi="Times New Roman" w:cs="Times New Roman"/>
                <w:b/>
                <w:bCs/>
                <w:sz w:val="24"/>
                <w:szCs w:val="24"/>
                <w:lang w:val="en-GB" w:eastAsia="pl-PL"/>
              </w:rPr>
            </w:pPr>
          </w:p>
          <w:p w14:paraId="7DCEA87D"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Art. 9</w:t>
            </w:r>
          </w:p>
          <w:p w14:paraId="7C22B35A"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p>
          <w:p w14:paraId="5A476BEB"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p>
          <w:p w14:paraId="010409B1"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12F46D52"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4612A819"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54C7AD19"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0B486A5B"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7424E977"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471D7437"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500030BB"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325A4C1A"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4D2656F0"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52E218B1"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46DA2088"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391EE044"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708E68E4"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225AEB04"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14F6B96B"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583403DA"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5E84B50F"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2422EBC0"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6ABADC6B"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1DA6F381"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28D84E4B"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0D405017"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774D48B6"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6AEB5D75"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626D4EB5"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167163AD"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1709A93C"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68AE1DEA"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7ABE7FE8"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793DE8AE"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57144FB9"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4143576E"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4F7DEE07"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2D215EEE"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Art. 12</w:t>
            </w:r>
          </w:p>
          <w:p w14:paraId="7443A8E0"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p>
          <w:p w14:paraId="62B2801A"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p>
          <w:p w14:paraId="74E9407B"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335BA320"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5D8DC097"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22224304"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1771A1FC"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7D5FF67E"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65803795"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02E13A0E"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157CE648"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739B1EAA"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20F44DAE" w14:textId="77777777" w:rsidR="00B73E93" w:rsidRPr="00FB76A9" w:rsidRDefault="00B73E93" w:rsidP="00FD5CD5">
            <w:pPr>
              <w:spacing w:after="0" w:line="240" w:lineRule="auto"/>
              <w:rPr>
                <w:rFonts w:ascii="Times New Roman" w:eastAsia="Times New Roman" w:hAnsi="Times New Roman" w:cs="Times New Roman"/>
                <w:b/>
                <w:bCs/>
                <w:sz w:val="24"/>
                <w:szCs w:val="24"/>
                <w:lang w:eastAsia="pl-PL"/>
              </w:rPr>
            </w:pPr>
          </w:p>
          <w:p w14:paraId="5754D1AB"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Art. 14  </w:t>
            </w:r>
          </w:p>
          <w:p w14:paraId="6BFC7592"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  </w:t>
            </w:r>
          </w:p>
          <w:p w14:paraId="4F3743D2"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  </w:t>
            </w:r>
          </w:p>
          <w:p w14:paraId="1631AAC8"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 xml:space="preserve">  </w:t>
            </w:r>
          </w:p>
          <w:p w14:paraId="0A7165D2"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p>
          <w:p w14:paraId="3B5BCE61"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p>
          <w:p w14:paraId="4C0935B5"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p>
        </w:tc>
        <w:tc>
          <w:tcPr>
            <w:tcW w:w="5572" w:type="dxa"/>
            <w:tcBorders>
              <w:top w:val="single" w:sz="4" w:space="0" w:color="auto"/>
              <w:left w:val="single" w:sz="4" w:space="0" w:color="auto"/>
              <w:bottom w:val="single" w:sz="4" w:space="0" w:color="auto"/>
              <w:right w:val="single" w:sz="4" w:space="0" w:color="auto"/>
            </w:tcBorders>
          </w:tcPr>
          <w:p w14:paraId="185E2BC3"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Artykuł 4</w:t>
            </w:r>
          </w:p>
          <w:p w14:paraId="6FC1847F"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Obowiązki producentów dotyczące budowy pojazdów, układów, komponentów i oddzielnych zespołów technicznych</w:t>
            </w:r>
          </w:p>
          <w:p w14:paraId="6E04DFDD"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1.Producenci zapewniają, aby produkowane przez nich nowe pojazdy, które są sprzedawane, rejestrowane lub dopuszczane do ruchu w Unii, miały homologację typu zgodną z niniejszym rozporządzeniem. Począwszy od konkretnych dat rozpoczęcia stosowania określonych w niniejszym rozporządzeniu producenci zapewniają, aby produkowane przez nich nowe układy, komponenty lub oddzielne zespoły techniczne, w tym silniki, akumulatory trakcyjne, układy hamulcowe, opony i zamienne układy kontroli emisji zanieczyszczeń, wymagające homologacji typu, które są sprzedawane lub dopuszczane do ruchu w Unii, miały homologację typu zgodną z niniejszym rozporządzeniem.</w:t>
            </w:r>
          </w:p>
          <w:p w14:paraId="4C0D187F" w14:textId="77777777" w:rsidR="00E355FA"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2.Producenci projektują, budują i montują pojazdy w sposób zapewniający zgodność z niniejszym rozporządzeniem, w tym z dopuszczalnymi wartościami emisji określonymi w załączniku I w warunkach określonych w załączniku III oraz z wartościami zadeklarowanymi w świadectwie zgodności i w dokumentacji dotyczącej homologacji typu na okres eksploatacji pojazdu, zgodnie z załącznikiem IV tabela 1. Pojazdy te oznacza się jako „Euro 7”.</w:t>
            </w:r>
          </w:p>
          <w:p w14:paraId="2D7199AD"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3.W stosownych przypadkach, gdy producenci, krajowe organy udzielające homologacji typu, Komisja lub uznane strony trzecie weryfikują zgodność z dopuszczalnymi wartościami emisji spalin, w przypadku gdy badanie przeprowadza się w rozszerzonych warunkach jazdy, emisje dzieli się przez rozszerzony współczynnik jazdy określony w regulaminie ONZ nr 168 (25).</w:t>
            </w:r>
          </w:p>
          <w:p w14:paraId="7A215E02"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4.Producenci projektują i budują układy, komponenty lub oddzielne zespoły techniczne, w tym silniki, silniki elektryczne, akumulatory trakcyjne, układy hamulcowe, opony i zamienne układy kontroli emisji zanieczyszczeń w sposób zapewniający zgodność z niniejszym rozporządzeniem, w tym z dopuszczalnymi wartościami emisji określonymi w załączniku I w warunkach badawczych określonych w załączniku III.</w:t>
            </w:r>
          </w:p>
          <w:p w14:paraId="6D205C99"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5.Producenci nie mogą projektować, budować ani montować pojazdów wyposażonych w urządzenia manipulacyjne lub strategie manipulacyjne.</w:t>
            </w:r>
          </w:p>
          <w:p w14:paraId="0D8D4CC0"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6.Producenci projektują, budują i montują pojazdy kategorii M1, M2, M3, N1, N2 i N3 wyposażone w:</w:t>
            </w:r>
          </w:p>
          <w:p w14:paraId="00C61C46"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 OBD, które mogą wykrywać nieprawidłowo działające układy powodujące przekroczenie poziomów emisji spalin lub nieprawidłowe działanie komponentów związanych z wielkością emisji, w celu ułatwienia naprawy;</w:t>
            </w:r>
          </w:p>
          <w:p w14:paraId="4B375796"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b) OBM zdolne do monitorowania emisji spalin;</w:t>
            </w:r>
          </w:p>
          <w:p w14:paraId="2527EB23"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c) przyrządy OBFCM służące do monitorowania ich zużycia paliwa i energii elektrycznej w warunkach rzeczywistych oraz innych istotnych parametrów, które są potrzebne do określenia efektywności paliwowej i energetycznej w warunkach rzeczywistych;</w:t>
            </w:r>
          </w:p>
          <w:p w14:paraId="07747443"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d) urządzenia mierzące SOH akumulatora trakcyjnego;</w:t>
            </w:r>
          </w:p>
          <w:p w14:paraId="199CD9F3"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e) układy ostrzegania kierowcy o przekroczeniu poziomu emisji spalin;</w:t>
            </w:r>
          </w:p>
          <w:p w14:paraId="31620E2E"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f) układy ostrzegania kierowcy o niskim poziomie odczynnika;</w:t>
            </w:r>
          </w:p>
          <w:p w14:paraId="19C6B874"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g) urządzenia przekazujące poza pojazd wygenerowane dane pojazdu wykorzystywane do zapewnienia zgodności z niniejszym rozporządzeniem oraz dane OBFCM, w tym do celów okresowych badań zdatności do ruchu drogowego zgodnie z dyrektywą Parlamentu Europejskiego i Rady 2014/45/UE (26) oraz drogowych kontroli technicznych zgodnie z dyrektywą Parlamentu Europejskiego i Rady 2014/47/UE (27), a także do celów łączenia się z infrastrukturą ładowania i stacjonarnymi systemami zasilania zdolnymi do obsługi funkcji ładowania inteligentnego i dwukierunkowego.</w:t>
            </w:r>
          </w:p>
          <w:p w14:paraId="779F0763"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7.Producenci projektują, budują i montują pojazdy kategorii M1, M2, M3, N1, N2 i N3 w sposób minimalizujący luki występujące na wszystkich etapach ich okresu eksploatacji, które mogą prowadzić do ingerencji w:</w:t>
            </w:r>
          </w:p>
          <w:p w14:paraId="2AEB6B95"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 układ wtrysku paliwa i odczynników;</w:t>
            </w:r>
          </w:p>
          <w:p w14:paraId="248B0E78"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b) silnik i jednostki sterujące silnikiem;</w:t>
            </w:r>
          </w:p>
          <w:p w14:paraId="05B6D52F"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c) akumulatory trakcyjne i powiązane z nimi układy zarządzania;</w:t>
            </w:r>
          </w:p>
          <w:p w14:paraId="521D1968"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d) drogomierz;</w:t>
            </w:r>
          </w:p>
          <w:p w14:paraId="41648080"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e) układy kontroli emisji zanieczyszczeń;</w:t>
            </w:r>
          </w:p>
          <w:p w14:paraId="47A2808C"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f) silnik elektryczny i powiązane z nim jednostki sterujące;</w:t>
            </w:r>
          </w:p>
          <w:p w14:paraId="402A50BA"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g) przyrząd OBFCM;</w:t>
            </w:r>
          </w:p>
          <w:p w14:paraId="3267CF8E"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h) OBD;</w:t>
            </w:r>
          </w:p>
          <w:p w14:paraId="53924836"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i) OBM; oraz</w:t>
            </w:r>
          </w:p>
          <w:p w14:paraId="2DE9205A"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j) EVP.</w:t>
            </w:r>
          </w:p>
          <w:p w14:paraId="638AE347"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8.Producenci, w najszerszym możliwym zakresie oraz w oparciu o najlepszą wiedzę dostępną w momencie homologacji typu, zapobiegają możliwości wykorzystania luk, o których mowa w ust. 7. W przypadku wykryciu takiej luki producenci podejmują wszelkie możliwe środki, z uwzględnieniem stanu technologii, w celu usunięcia jej za pomocą aktualizacji oprogramowania lub innych odpowiednich sposobów.</w:t>
            </w:r>
          </w:p>
          <w:p w14:paraId="623DF8AD"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9.Producenci nie mogą powoływać się na zapobieganie ingerencji, aby odmawiać dostępu do informacji, narzędzi lub procesów wymaganych do opracowania, instalacji i aktywacji kompatybilnych nieoryginalnych części zamiennych spełniających wymogi techniczne producenta, chyba że są w stanie wykazać, że nieudzielenie dostępu do danych informacji, narzędzi i procesów jest proporcjonalnym sposobem przeciwdziałania danej ingerencji.</w:t>
            </w:r>
          </w:p>
          <w:p w14:paraId="7E79F589"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10.Dane środowiskowe dotyczące typu pojazdu i efektywności środowiskowej poszczególnych pojazdów udostępnia się użytkownikom oraz, w stosownych przypadkach, wyświetla wewnątrz pojazdu. Dane te obejmują dane z EVP, OBM i przyrządu OBFCM, w tym wartości z okresu eksploatacji, oraz dane o stanie zdrowia akumulatora trakcyjnego.</w:t>
            </w:r>
          </w:p>
          <w:p w14:paraId="27CD902B"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11.Producenci zapewniają bezpieczne przesyłanie danych dotyczących emisji i trwałości akumulatora poprzez stosowanie środków cyberbezpieczeństwa zgodnie z regulaminem ONZ nr 155.</w:t>
            </w:r>
          </w:p>
          <w:p w14:paraId="14207DCB"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p>
          <w:p w14:paraId="3D8682C1"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Artykuł 5</w:t>
            </w:r>
          </w:p>
          <w:p w14:paraId="6C52EDD1"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Opcje dla producentów w zakresie budowy i oznaczeń pojazdów</w:t>
            </w:r>
          </w:p>
          <w:p w14:paraId="447A649C"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1.Producenci mogą oznaczyć pojazdy jako pojazdy „Euro 7G”, w przypadku gdy są one wyposażone w silniki spalinowe wewnętrznego spalania z technologiami geofencingu. Producent instaluje w tych pojazdach układ ostrzegania kierowcy, który będzie informował użytkownika o zbliżającym się rozładowaniu akumulatorów trakcyjnych i jeżeli pojazd nie zostanie naładowany w ciągu 5 kilometrów od pierwszego ostrzeżenia, zatrzyma go podczas jazdy w trybie bezemisyjnym wewnątrz obszaru wyznaczonego z zastosowaniem geofencingu. Stosowanie takich technologii geofencingu wykazuje się organowi udzielającemu homologacji typu podczas homologacji typu i weryfikuje podczas okresu eksploatacji pojazdu.</w:t>
            </w:r>
          </w:p>
          <w:p w14:paraId="26728DEA"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2.Na wniosek producenta, w przypadku pojazdów kategorii N2 o masie maksymalnej od 3,5 do 5 ton wywodzących się z pojazdu typu kategorii N1, organ udzielający homologacji może udzielić homologacji typu w zakresie emisji jeżeli pojazd spełnia wymogi dla pojazdu typu kategorii N1. Takie pojazdy oznacza się jako pojazdy „Euro 7ext”.</w:t>
            </w:r>
          </w:p>
          <w:p w14:paraId="13BB0A4D"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3.Producenci mogą budować pojazdy łączące cechy, o których mowa w ust. 1 i 2, oraz oznaczać je jako pojazdy „Euro 7Gext”.</w:t>
            </w:r>
          </w:p>
          <w:p w14:paraId="0986D99C"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p>
          <w:p w14:paraId="1556DA8A"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Artykuł 6</w:t>
            </w:r>
          </w:p>
          <w:p w14:paraId="400AA1B2"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Wymogi dotyczące trwałości pojazdów, układów, komponentów i oddzielnych zespołów technicznych</w:t>
            </w:r>
          </w:p>
          <w:p w14:paraId="72EA0107"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1.Producenci zapewniają, aby produkowane przez nich pojazdy, które są sprzedawane, rejestrowane lub dopuszczane do ruchu w Unii, były zgodne z dopuszczalnymi wartościami emisji określonymi w załączniku I podczas jazdy w warunkach badania określonych w załączniku III na okres eksploatacji pojazdu, zgodnie z załącznikiem IV tabela 1, a także aby spełniały minimalne wymogi w zakresie trwałości akumulatora określone w załączniku II.</w:t>
            </w:r>
          </w:p>
          <w:p w14:paraId="163661CE"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2.Producenci zapewniają zgodność pojazdów, o których mowa w ust. 1, z wartościami dotyczącymi emisji CO2, zużycia paliwa i energii elektrycznej oraz efektywności energetycznej, które zadeklarowano na podstawie niniejszego rozporządzenia na okres eksploatacji pojazdu, zgodnie z załącznikiem IV.</w:t>
            </w:r>
          </w:p>
          <w:p w14:paraId="3F52E3D8"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3.Producenci zapewniają, aby przyrząd OBFCM, OBD i OBM oraz środki zapobiegające ingerencji instalowane w pojazdach, o których mowa w ust. 1, były projektowane i działały zgodnie z niniejszym rozporządzeniem i aby te przyrządy, urządzenia i środki nie mogły zostać zdezaktywowane przez cały okres użytkowania pojazdu.</w:t>
            </w:r>
          </w:p>
          <w:p w14:paraId="69FB9E4C"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4.Wymogi, o których mowa w ust. 1, 2 i 3, mają zastosowanie niezależnie od rodzaju paliwa lub źródła energii, którymi zasilane są pojazdy. Wymogi te mają również zastosowanie do wszystkich oddzielnych zespołów technicznych i komponentów przeznaczonych do takich pojazdów.</w:t>
            </w:r>
          </w:p>
          <w:p w14:paraId="74F4B8BA"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5.W celu weryfikacji zgodności z wymogami, o których mowa w ust. 1, podczas dodatkowego okresu eksploatacji pojazdu dopuszczalne wartości emisji zanieczyszczeń gazowych określone w załączniku I koryguje się przy użyciu mnożników trwałości określonych w załączniku IV tabela 2.</w:t>
            </w:r>
          </w:p>
          <w:p w14:paraId="6B5F9FB8"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6.OBM zainstalowane przez producenta w pojazdach muszą być w stanie:</w:t>
            </w:r>
          </w:p>
          <w:p w14:paraId="4E7F4244"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 monitorować i rejestrować wszystkie emisje NOx, NH3 i PM w spalinach pojazdów kategorii M2, M3, N2 i N3 oraz wszystkie emisje NOx i PM w spalinach pojazdów kategorii M1 i N1, a także wykrywać co najmniej 2,5-krotne przekroczenie odpowiednich dopuszczalnych poziomów emisji spalin określonych w załączniku I;</w:t>
            </w:r>
          </w:p>
          <w:p w14:paraId="031DFE41"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b) przekazywać dane dotyczące poziomu emisji spalin i trwałości akumulatora pojazdu za pośrednictwem portu OBD, w tym do celów badań zdatności do ruchu drogowego zgodnie z dyrektywą 2014/45/UE oraz drogowych kontroli technicznych zgodnie z dyrektywą 2014/47/UE, a także anonimowo w sposób bezprzewodowy do celów monitorowania zgodności z przepisami typów pojazdów;</w:t>
            </w:r>
          </w:p>
          <w:p w14:paraId="30AFA508"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c) uruchamiać układ ostrzegania kierowcy, gdy poziomy emisji spalin zostaną znacząco przekroczone, wykorzystując zharmonizowane metody wymuszania szybkich napraw, lecz nie uniemożliwiając pojazdom ukończenia trwającego przejazdu, aby nie zakłócać bezpieczeństwa ruchu drogowego.</w:t>
            </w:r>
          </w:p>
          <w:p w14:paraId="5D5AFE32"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7.Przyrządy OBFCM zainstalowane przez producentów w pojazdach, o których mowa w ust. 1, muszą być zdolne do przekazywania wszystkich wymaganych przepisami odpowiednich danych o pojeździe, które zarejestrowały, za pośrednictwem portu OBD i bezprzewodowo.</w:t>
            </w:r>
          </w:p>
          <w:p w14:paraId="06D6B04A"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8.W przypadku gdy pojazd, układ, komponent lub oddzielny zespół techniczny stwarza poważne zagrożenie lub jest niezgodny z wymogami niniejszego rozporządzenia, producenci – od momentu, w którym się o tym dowiedzieli – natychmiast podejmują niezbędne działania naprawcze, w tym w stosownych przypadkach dokonują naprawy lub modyfikacji tego pojazdu, układu, komponentu lub oddzielnego zespołu technicznego, aby wyeliminować to poważne zagrożenie lub zapewnić zgodność z niniejszym rozporządzeniem. Producenci i inne podmioty gospodarcze stosują odpowiednio rozporządzenie (UE) 2018/858.</w:t>
            </w:r>
          </w:p>
          <w:p w14:paraId="7535BE7A"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Producenci natychmiast informują odpowiedni organ, który udzielił homologacji typu, o niezgodności oraz przekazują odpowiednie szczegółowe informacje.</w:t>
            </w:r>
          </w:p>
          <w:p w14:paraId="29D945FC"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p>
          <w:p w14:paraId="0F5E8B2C"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Artykuł 7</w:t>
            </w:r>
          </w:p>
          <w:p w14:paraId="390DDA6C"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Obowiązki producentów dotyczące homologacji typu w zakresie emisji</w:t>
            </w:r>
          </w:p>
          <w:p w14:paraId="638126FE"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1.Aby podczas homologacji typu w zakresie emisji wykazać zgodność z dotyczącymi jej przepisami, producenci przeprowadzają badania określone w załączniku V tabele 1, 3, 5, 7, 9 i 11. Do celów weryfikacji zgodności produkcji z wymogami niniejszego rozporządzenia organ udzielający homologacji lub producent wybiera pojazdy, komponenty i oddzielne zespoły techniczne u producenta. Zgodność eksploatacyjną sprawdza się w odniesieniu do okresu eksploatacji pojazdu, zgodnie z załącznikiem IV tabela 1.</w:t>
            </w:r>
          </w:p>
          <w:p w14:paraId="6CC1BC3B"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2.Producent przekazuje organowi udzielającemu homologacji podpisaną deklarację zgodności w odniesieniu do określonych w załączniku V wymogów dotyczących RDE, korekty temperatury otoczenia do pomiaru CO2, OBD i OBM, emisji i trwałości akumulatora, ciągłej lub okresowej regeneracji, zabezpieczenia przed ingerencją oraz emisji ze skrzyni korbowej. Producent przekazuje organowi udzielającemu homologacji podpisaną deklarację zgodności w odniesieniu do stosowania opcji geofencingu, w przypadku gdy wybrał tę opcję.</w:t>
            </w:r>
          </w:p>
          <w:p w14:paraId="5F5F1B18"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3.Organy krajowe mogą badać typ pojazdu w celu weryfikacji jego zgodności z przepisami podczas kontroli zgodności produkcji, zgodności eksploatacyjnej lub w ramach nadzoru rynku, zgodnie z załącznikiem V.</w:t>
            </w:r>
          </w:p>
          <w:p w14:paraId="5E9F44B4"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4.Producenci wydają EVP dla każdego pojazdu oraz dostarczają go nabywcy wraz z pojazdem, pozyskując odpowiednie dane ze źródeł, takich jak świadectwo zgodności i dokumentacja dotycząca homologacji typu. Producenci zapewniają możliwość wyświetlenia danych z EVP w układach elektronicznych pojazdu lub poprzez kod QR lub jakąkolwiek inną podobną metodą oraz ich przesyłania z urządzeń pokładowych na zewnątrz pojazdu.</w:t>
            </w:r>
          </w:p>
          <w:p w14:paraId="1F1B9731"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5.W przypadku wielostopniowej homologacji typu do homologacji typu w zakresie emisji, zgodności produkcji i zgodności eksploatacyjnej zastosowanie ma art. 13 ust. 2 rozporządzenia (UE) 2018/858.</w:t>
            </w:r>
          </w:p>
          <w:p w14:paraId="0083F890"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p>
          <w:p w14:paraId="61E363E8"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Artykuł 8</w:t>
            </w:r>
          </w:p>
          <w:p w14:paraId="6B7CB2F1"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Przepisy szczególne dotyczące drobnych producentów</w:t>
            </w:r>
          </w:p>
          <w:p w14:paraId="29E9AFED"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1.W odniesieniu do emisji zanieczyszczeń drobni producenci mogą zastąpić badania określone w załączniku V tabele 1, 3, 5, 7, 9 i 11 deklaracjami zgodności. Zgodność z przepisami pojazdów zbudowanych i wprowadzonych do obrotu przez drobnych producentów można badać pod kątem zgodności eksploatacyjnej oraz w ramach nadzoru rynku zgodnie z załącznikiem V tabele 2, 4, 6, 8, 10 i 12. Nie wymaga się badań zgodności produkcji określonych w załączniku V.</w:t>
            </w:r>
          </w:p>
          <w:p w14:paraId="050EF1FD"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Do drobnych producentów pojazdów kategorii M1 lub N1 nie ma zastosowania art. 4 ust. 6 lit. b), c) i e).</w:t>
            </w:r>
          </w:p>
          <w:p w14:paraId="2966370D"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2.Do celów zgodności eksploatacyjnej oraz nadzoru rynku bardzo drobni producenci wykazują zgodność z dopuszczalnymi wartościami emisji określonymi w załączniku I w badaniach drogowych albo w badaniach laboratoryjnych opartych na rzeczywistych cyklach jazdy.</w:t>
            </w:r>
          </w:p>
          <w:p w14:paraId="515AB3C8"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p>
          <w:p w14:paraId="1FAFD321"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Artykuł 9</w:t>
            </w:r>
          </w:p>
          <w:p w14:paraId="374359CD"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Przepisy szczególne dotyczące pojazdów z silnikiem posiadającym homologację typu</w:t>
            </w:r>
          </w:p>
          <w:p w14:paraId="2DD8EBE2"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1.W przypadku homologacji typu pojazdów kategorii M2, M3, N2 lub N3 z silnikiem mającym homologację typu producent pojazdu odpowiedzialny jest za homologację typu w zakresie emisji. Obowiązek ten obejmuje również instalację silnika w pojeździe. W przypadku gdy instalacja silnika jest zgodna ze specyfikacjami instalacji silnika dostarczonymi przez producenta silnika, a producent pojazdu zawarł wcześniej odpowiednią umowę z producentem silnika, producent silnika może ponosić odpowiedzialność za wykazanie zgodności z wymogami dotyczącymi zgodności eksploatacyjnej.</w:t>
            </w:r>
          </w:p>
          <w:p w14:paraId="75DE11D8"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2.W przypadku pojazdu z silnikiem mającym homologację typu producent silnika przeprowadza badania dotyczące homologacji typu i zgodności produkcji w odniesieniu do tego pojazdu określone w załączniku V tabela 3, z których zwolniony jest producent pojazdu. Producent silnika przeprowadza również badania dotyczące zgodności eksploatacyjnej, w przypadku ponosi odpowiedzialność za wykazanie zgodności z wymogami zgodności eksploatacyjnej pojazdu, z wyjątkiem określenia emisji CO2, za co pozostaje odpowiedzialny producent pojazdu.</w:t>
            </w:r>
          </w:p>
          <w:p w14:paraId="635F7604"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3.Wymogi administracyjne dotyczące homologacji typu i badań dotyczących zgodności eksploatacyjnej pojazdów, w których zainstalowany jest silnik mający homologację typu, obejmują w szczególności cechy homologacji typu silnika, które należy wziąć pod uwagę, informacje, które producent silnika ma przekazać producentowi pojazdu, oraz podział odpowiedzialności za zgodność eksploatacyjną.</w:t>
            </w:r>
          </w:p>
          <w:p w14:paraId="603F5CAE"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p>
          <w:p w14:paraId="79D36842"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Artykuł 12</w:t>
            </w:r>
          </w:p>
          <w:p w14:paraId="3E539F24"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Eksploatacja układów wykorzystujących odczynnik ulegający zużyciu oraz układów kontroli emisji zanieczyszczeń</w:t>
            </w:r>
          </w:p>
          <w:p w14:paraId="290D08F6"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1.Podmioty gospodarcze i niezależne podmioty nie mogą ingerować w pojazdy ani ich układy.</w:t>
            </w:r>
          </w:p>
          <w:p w14:paraId="741D99E2"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2.Podczas sprawdzeń zgodności eksploatacyjnej lub sprawdzeń w ramach nadzoru rynku organy krajowe weryfikują, czy producenci pojazdów prawidłowo zainstalowali układy ostrzegania kierowcy o przekroczeniu poziomu emisji spalin i układy ostrzegania kierowcy o niskim poziomie odczynnika oraz czy istnieje możliwość ingerowania w pojazdy.</w:t>
            </w:r>
          </w:p>
          <w:p w14:paraId="2EA56F1C"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Artykuł 14</w:t>
            </w:r>
          </w:p>
          <w:p w14:paraId="1BA45054"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Procedury i badania</w:t>
            </w:r>
          </w:p>
          <w:p w14:paraId="09AA611D"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1.Procedury homologacji typu w zakresie emisji obejmują badania i sprawdzenia określone w załączniku V, a także wszystkie procedury administracyjne i wymogi dotyczące dokumentacji. W celu wykazania zgodności z wymogami określonymi w załączniku V, w stosownych przypadkach, producenci przekazują organowi udzielającemu homologacji deklarację zgodności.</w:t>
            </w:r>
          </w:p>
          <w:p w14:paraId="685C4AA8"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2.Badania mające wykazać zgodność z wymogami niniejszego rozporządzenia przeprowadzane są przez producentów i organy krajowe zgodnie z załącznikiem V. Badania mające wykazać zgodność z wymogami niniejszego rozporządzenia mogą być przeprowadzane przez Komisję i uznane strony trzecie zgodnie z załącznikiem V. W przypadku gdy badanie jest określone w załączniku V tabele 1, 3, 5, 7, 9 i 11 jako nieobowiązkowe, organ udzielający homologacji może zażądać przeprowadzenia określonego badania.</w:t>
            </w:r>
          </w:p>
          <w:p w14:paraId="37A906EB"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Badania określone w załączniku V tabele 1, 3, 5, 7, 9 i 11 przeprowadzane są przez producentów. Badania określone w załączniku V tabele 2, 4, 6, 8, 10 i 12 przeprowadzane są przez organy krajowe, Komisję i uznane strony trzecie.</w:t>
            </w:r>
          </w:p>
          <w:p w14:paraId="6A7B30D2"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3.Komisja przyjmuje akty wykonawcze, w których określa procedury i metodyki badań, przepisy administracyjne, procedury i metodyki dotyczące zmian i rozszerzeń homologacji typu w zakresie emisji i dostępu do danych, wymogi dotyczące dokumentacji i wzory dokumentów dla homologacji typu w zakresie emisji, zgodności produkcji, zgodności eksploatacyjnej i nadzoru rynku w odniesieniu do wszystkich poniższych pozycji:</w:t>
            </w:r>
          </w:p>
          <w:p w14:paraId="130CE51F"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 typów pojazdów kategorii M1 i N1;</w:t>
            </w:r>
          </w:p>
          <w:p w14:paraId="70BEA143"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b) typów pojazdów kategorii M2, M3, N2 i N3;</w:t>
            </w:r>
          </w:p>
          <w:p w14:paraId="5C3D80B9"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c) silników stosowanych w typach pojazdów kategorii M2, M3, N2 i N3;</w:t>
            </w:r>
          </w:p>
          <w:p w14:paraId="3E801CF0"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d) OBM i OBD;</w:t>
            </w:r>
          </w:p>
          <w:p w14:paraId="53E2F3F6"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e) układu ostrzegania kierowcy o przekroczeniu poziomu emisji;</w:t>
            </w:r>
          </w:p>
          <w:p w14:paraId="44B5F6DD"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f) układu ostrzegania kierowcy o niskim poziomie odczynnika;</w:t>
            </w:r>
          </w:p>
          <w:p w14:paraId="13CC559A"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g) układów zabezpieczenia przed ingerencją, układów zapewniających bezpieczeństwo i cyberbezpieczeństwo;</w:t>
            </w:r>
          </w:p>
          <w:p w14:paraId="20FCBC34"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h) typów zamiennych układów kontroli emisji zanieczyszczeń i ich części;</w:t>
            </w:r>
          </w:p>
          <w:p w14:paraId="1ACCE6C4"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i) typów układów hamulcowych i ich części zamiennych w odniesieniu do emisji cząstek stałych;</w:t>
            </w:r>
          </w:p>
          <w:p w14:paraId="41BDB8CE"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j) opon klasy C1, C2 i C3 w odniesieniu do ścieralności opon;</w:t>
            </w:r>
          </w:p>
          <w:p w14:paraId="26679B3E"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k) innych typów komponentów i ich części zamiennych;</w:t>
            </w:r>
          </w:p>
          <w:p w14:paraId="6FBB5C48"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l) emisji CO2, zużycia paliwa i energii elektrycznej, określania zasięgu pojazdu przy zasilaniu energią elektryczną i mocy pojazdów kategorii M1 i N1, przepisów dotyczących przyrządów OBFCM;</w:t>
            </w:r>
          </w:p>
          <w:p w14:paraId="01D0304B"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m) emisji CO2, zużycia paliwa i energii elektrycznej, zasięgu bezemisyjnego, określenia zasięgu pojazdu przy zasilaniu energią elektryczną i mocy pojazdów kategorii M2, M3, N2 i N3, efektywności energetycznej przyczep kategorii O3 i O4, przepisów dotyczących przyrządów OBFCM.</w:t>
            </w:r>
          </w:p>
          <w:p w14:paraId="2AD963B8"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4.Komisja przyjmuje akty wykonawcze dotyczące homologacji typu w zakresie emisji, zgodności eksploatacyjnej, zgodności produkcji i nadzoru rynku w celu określenia:</w:t>
            </w:r>
          </w:p>
          <w:p w14:paraId="70D365B5"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metod pomiaru emisji spalin w laboratorium i na drodze zgodnie ze zwykłym użytkowaniem w rzeczywistych warunkach jazdy i wykorzystywania przenośnych systemów pomiaru emisji do weryfikacji emisji zanieczyszczeń w rzeczywistych warunkach jazdy;</w:t>
            </w:r>
          </w:p>
          <w:p w14:paraId="78F1B5C1"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b)</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metod określania emisji CO2, zużycia paliwa i energii elektrycznej, zasięgu przy jeździe bezemisyjnej, zasięgu pojazdu przy zasilaniu energią elektryczną i mocy pojazdu silnikowego;</w:t>
            </w:r>
          </w:p>
          <w:p w14:paraId="6BD6A79E"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c)</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metod, wymogów i specyfikacji technicznych dotyczących sygnalizatora zmiany biegów;</w:t>
            </w:r>
          </w:p>
          <w:p w14:paraId="24E95801"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d)</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metod określania efektywności energetycznej przyczep kategorii O3 i O4;</w:t>
            </w:r>
          </w:p>
          <w:p w14:paraId="26E1DEBB"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e)</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metod pomiaru emisji ze skrzyni korbowej;</w:t>
            </w:r>
          </w:p>
          <w:p w14:paraId="422A6089"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f)</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metod pomiaru emisji par;</w:t>
            </w:r>
          </w:p>
          <w:p w14:paraId="6EC62EE0"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g)</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metod pomiaru emisji cząstek stałych z hamulców, w tym metod dotyczących pojazdów kategorii M2, M3, N2 i N3, emisji cząstek stałych z hamulców w rzeczywistych warunkach jazdy i układów hamulcowych z odzyskiwaniem energii;</w:t>
            </w:r>
          </w:p>
          <w:p w14:paraId="44012FAD"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h)</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metod pomiaru ścieralności opon;</w:t>
            </w:r>
          </w:p>
          <w:p w14:paraId="7C8ED3B0"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i)</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metod oceny zgodności z minimalnymi wymogami w zakresie trwałości akumulatora;</w:t>
            </w:r>
          </w:p>
          <w:p w14:paraId="0E5C10F5"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j)</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metod, wymogów i badań, w tym progów zgodności, zapewniających działanie przyrządów OBFCM, OBD i OBM oraz czujników w takich przyrządach i układach, a także przekazywanie danych zarejestrowanych przez te przyrządy i układy poza pojazd;</w:t>
            </w:r>
          </w:p>
          <w:p w14:paraId="7D0350F4"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k)</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cech i parametrów układów ostrzegania kierowcy oraz metod wymuszających reakcję i metod oceny ich działania;</w:t>
            </w:r>
          </w:p>
          <w:p w14:paraId="0345AB90"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l)</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metod oceny działania, skuteczności, regeneracji i trwałości oryginalnych i zamiennych układów kontroli emisji zanieczyszczeń;</w:t>
            </w:r>
          </w:p>
          <w:p w14:paraId="22D35DCD"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m)</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metod zapewniania i oceny zgodności z art. 4 ust. 5, w tym metod dotyczących analizy luk i ochrony przed ingerencją;</w:t>
            </w:r>
          </w:p>
          <w:p w14:paraId="21C23494"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n)</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metod oceny zgodności z określonymi w art. 8 wymogami homologacji typu w zakresie emisji mającymi zastosowanie do pojazdów zbudowanych przez drobnych i bardzo drobnych producentów oraz procedur badania takich pojazdów;</w:t>
            </w:r>
          </w:p>
          <w:p w14:paraId="3267D79A"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o)</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metod oceny funkcjonowania typów pojazdów homologowanych na podstawie oznaczeń, o których mowa w art. 5;</w:t>
            </w:r>
          </w:p>
          <w:p w14:paraId="54C6ED82"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p)</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sprawdzeń zgodności z art. 9 ust. 1 i 2 oraz procedur badania pojazdów budowanych wieloetapowo;</w:t>
            </w:r>
          </w:p>
          <w:p w14:paraId="6E9287C3"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q)</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wymogów dotyczących działania sprzętu badawczego;</w:t>
            </w:r>
          </w:p>
          <w:p w14:paraId="066F477E"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r)</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specyfikacji paliw wzorcowych stosowanych do badania;</w:t>
            </w:r>
          </w:p>
          <w:p w14:paraId="761665CA"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s)</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metod stwierdzania braku urządzeń manipulacyjnych i strategii manipulacyjnych;</w:t>
            </w:r>
          </w:p>
          <w:p w14:paraId="544BFF5A"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t)</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formatu i danych oraz metod przekazywania danych z EVP poza pojazd, a także metod wyświetlania w pojeździe danych środowiskowych dotyczących typu pojazdu i efektywności środowiskowej konkretnego pojazdu;</w:t>
            </w:r>
          </w:p>
          <w:p w14:paraId="028FFB09"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u)</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wymogów administracyjnych i wymogów w zakresie dokumentacji do celów homologacji typu w zakresie emisji, zgodności produkcji, zgodności eksploatacyjnej i nadzoru rynku;</w:t>
            </w:r>
          </w:p>
          <w:p w14:paraId="689E4BDA"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v)</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w stosownych przypadkach – obowiązków sprawozdawczych.</w:t>
            </w:r>
          </w:p>
          <w:p w14:paraId="1BD0E442"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5.Akty wykonawcze, o których mowa w ust. 3 i 4 niniejszego artykułu, przyjmuje się zgodnie z procedurą sprawdzającą, o której mowa w art. 17 ust. 2.</w:t>
            </w:r>
          </w:p>
          <w:p w14:paraId="37D17E56"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6.Każdy akt wykonawczy, o którym mowa w ust. 3 i 4, obejmuje co najmniej jedną pozycję, o której mowa w ust. 3 lit. a)–m), w połączeniu z co najmniej jedną pozycją, o której mowa w ust. 4 lit. a)–v).</w:t>
            </w:r>
          </w:p>
          <w:p w14:paraId="7AE87238"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7.W przypadku aktów wykonawczych, o których mowa w ust. 3 i 4 niniejszego artykułu, w odniesieniu do kategorii M1 i N1, metody pomiaru emisji zanieczyszczeń w spalinach i emisji par odzwierciedlają metody określone w rozporządzeniu (UE) 2017/1151 w wersji mającej zastosowanie w momencie przyjęcia odpowiedniego aktu wykonawczego.</w:t>
            </w:r>
          </w:p>
          <w:p w14:paraId="4272CB66"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8.Do dnia 29 maja 2025 r. w odniesieniu do pojazdów kategorii M1 i N1, o których mowa w ust. 3 lit. a), Komisja przyjmie następujące akty wykonawcze:</w:t>
            </w:r>
          </w:p>
          <w:p w14:paraId="48F1E80A"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dotyczące emisji zanieczyszczeń, o których mowa w ust. 4 lit. a), e), f), k), q), r), s), t), u) i v);</w:t>
            </w:r>
          </w:p>
          <w:p w14:paraId="035F9543"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b)</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dotyczące metod określania emisji CO2, zużycia paliwa i energii elektrycznej, zasięgu bezemisyjnego, zasięgu pojazdu przy zasilaniu energią elektryczną, mocy pojazdu oraz działania przyrządów OBFCM, o których mowa w ust. 4 lit. b), c) i j);</w:t>
            </w:r>
          </w:p>
          <w:p w14:paraId="04EDE5B7"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c)</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dotyczące OBM i OBD, o których mowa w ust. 4 lit. j) i k).</w:t>
            </w:r>
          </w:p>
          <w:p w14:paraId="35923DB3"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9.Do dnia 29 listopada 2026 r. w odniesieniu do pojazdów kategorii M2, M3, N2 i N3, o których mowa w, odpowiednio, w ust. 3 lit. b) i c), oraz ich silników, a także w odniesieniu do przyczep kategorii O3 i O4, o których mowa w, odpowiednio, ust. 3 lit. b) i c), Komisja przyjmie następujące akty wykonawcze:</w:t>
            </w:r>
          </w:p>
          <w:p w14:paraId="4655D9EA"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a)</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dotyczące emisji zanieczyszczeń, o których mowa w ust. 4 lit. a), e), k), q), r), s), t), u) i v);</w:t>
            </w:r>
          </w:p>
          <w:p w14:paraId="6695B056"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b)</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dotyczące metod określania emisji CO2, zużycia paliwa i energii elektrycznej, zasięgu bezemisyjnego, zasięgu pojazdu przy zasilaniu energią elektryczną, mocy pojazdu oraz działania przyrządów OBFCM, o których mowa w ust. 4 lit. b), d) i j);</w:t>
            </w:r>
          </w:p>
          <w:p w14:paraId="179AB447" w14:textId="77777777" w:rsidR="00B73E93" w:rsidRPr="00FB76A9" w:rsidRDefault="00B73E93" w:rsidP="00FD5CD5">
            <w:pPr>
              <w:spacing w:after="0" w:line="240" w:lineRule="auto"/>
              <w:rPr>
                <w:rFonts w:ascii="Times New Roman" w:eastAsia="Times New Roman" w:hAnsi="Times New Roman" w:cs="Times New Roman"/>
                <w:sz w:val="24"/>
                <w:szCs w:val="24"/>
                <w:lang w:eastAsia="pl-PL"/>
              </w:rPr>
            </w:pPr>
            <w:r w:rsidRPr="00FB76A9">
              <w:rPr>
                <w:rFonts w:ascii="Times New Roman" w:eastAsia="Times New Roman" w:hAnsi="Times New Roman" w:cs="Times New Roman"/>
                <w:sz w:val="24"/>
                <w:szCs w:val="24"/>
                <w:lang w:eastAsia="pl-PL"/>
              </w:rPr>
              <w:t>c)</w:t>
            </w:r>
            <w:r w:rsidR="00C92B3E" w:rsidRPr="00FB76A9">
              <w:rPr>
                <w:rFonts w:ascii="Times New Roman" w:eastAsia="Times New Roman" w:hAnsi="Times New Roman" w:cs="Times New Roman"/>
                <w:sz w:val="24"/>
                <w:szCs w:val="24"/>
                <w:lang w:eastAsia="pl-PL"/>
              </w:rPr>
              <w:t xml:space="preserve"> </w:t>
            </w:r>
            <w:r w:rsidRPr="00FB76A9">
              <w:rPr>
                <w:rFonts w:ascii="Times New Roman" w:eastAsia="Times New Roman" w:hAnsi="Times New Roman" w:cs="Times New Roman"/>
                <w:sz w:val="24"/>
                <w:szCs w:val="24"/>
                <w:lang w:eastAsia="pl-PL"/>
              </w:rPr>
              <w:t>dotyczące OBM i OBD, o których mowa w ust. 4 lit. j) i k).</w:t>
            </w:r>
          </w:p>
        </w:tc>
        <w:tc>
          <w:tcPr>
            <w:tcW w:w="884" w:type="dxa"/>
            <w:tcBorders>
              <w:top w:val="single" w:sz="4" w:space="0" w:color="auto"/>
              <w:left w:val="single" w:sz="4" w:space="0" w:color="auto"/>
              <w:bottom w:val="single" w:sz="4" w:space="0" w:color="auto"/>
              <w:right w:val="single" w:sz="4" w:space="0" w:color="auto"/>
            </w:tcBorders>
          </w:tcPr>
          <w:p w14:paraId="2502C3E3"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r w:rsidRPr="00FB76A9">
              <w:rPr>
                <w:rFonts w:ascii="Times New Roman" w:eastAsia="Times New Roman" w:hAnsi="Times New Roman" w:cs="Times New Roman"/>
                <w:b/>
                <w:bCs/>
                <w:sz w:val="24"/>
                <w:szCs w:val="24"/>
                <w:lang w:eastAsia="pl-PL"/>
              </w:rPr>
              <w:t>T</w:t>
            </w:r>
          </w:p>
        </w:tc>
        <w:tc>
          <w:tcPr>
            <w:tcW w:w="805" w:type="dxa"/>
            <w:tcBorders>
              <w:top w:val="single" w:sz="4" w:space="0" w:color="auto"/>
              <w:left w:val="single" w:sz="4" w:space="0" w:color="auto"/>
              <w:bottom w:val="single" w:sz="4" w:space="0" w:color="auto"/>
              <w:right w:val="single" w:sz="4" w:space="0" w:color="auto"/>
            </w:tcBorders>
          </w:tcPr>
          <w:p w14:paraId="7621A8DD" w14:textId="77777777" w:rsidR="00E355FA" w:rsidRPr="00FB76A9" w:rsidRDefault="00E355FA" w:rsidP="00FD5CD5">
            <w:pPr>
              <w:spacing w:after="0" w:line="240" w:lineRule="auto"/>
              <w:rPr>
                <w:rFonts w:ascii="Times New Roman" w:eastAsia="Times New Roman" w:hAnsi="Times New Roman" w:cs="Times New Roman"/>
                <w:bCs/>
                <w:sz w:val="24"/>
                <w:szCs w:val="24"/>
                <w:lang w:eastAsia="pl-PL"/>
              </w:rPr>
            </w:pPr>
            <w:r w:rsidRPr="00FB76A9">
              <w:rPr>
                <w:rFonts w:ascii="Times New Roman" w:eastAsia="Times New Roman" w:hAnsi="Times New Roman" w:cs="Times New Roman"/>
                <w:bCs/>
                <w:sz w:val="24"/>
                <w:szCs w:val="24"/>
                <w:lang w:eastAsia="pl-PL"/>
              </w:rPr>
              <w:t xml:space="preserve">Art. 2 pkt 24 </w:t>
            </w:r>
          </w:p>
        </w:tc>
        <w:tc>
          <w:tcPr>
            <w:tcW w:w="5433" w:type="dxa"/>
            <w:tcBorders>
              <w:top w:val="single" w:sz="4" w:space="0" w:color="auto"/>
              <w:left w:val="single" w:sz="4" w:space="0" w:color="auto"/>
              <w:bottom w:val="single" w:sz="4" w:space="0" w:color="auto"/>
              <w:right w:val="single" w:sz="4" w:space="0" w:color="auto"/>
            </w:tcBorders>
          </w:tcPr>
          <w:p w14:paraId="0458187B" w14:textId="77777777" w:rsidR="00E355FA" w:rsidRPr="00FB76A9" w:rsidRDefault="00E355FA" w:rsidP="00FD5CD5">
            <w:pPr>
              <w:pStyle w:val="ZROZDZODDZOZNzmoznrozdzoddzartykuempunktem"/>
              <w:spacing w:line="240" w:lineRule="auto"/>
              <w:ind w:left="0"/>
              <w:jc w:val="left"/>
              <w:rPr>
                <w:rFonts w:ascii="Times New Roman" w:hAnsi="Times New Roman" w:cs="Times New Roman"/>
              </w:rPr>
            </w:pPr>
            <w:r w:rsidRPr="00FB76A9">
              <w:rPr>
                <w:rFonts w:ascii="Times New Roman" w:hAnsi="Times New Roman" w:cs="Times New Roman"/>
              </w:rPr>
              <w:t>„Rozdział 6a</w:t>
            </w:r>
          </w:p>
          <w:p w14:paraId="42AFD344" w14:textId="77777777" w:rsidR="00E355FA" w:rsidRPr="00FB76A9" w:rsidRDefault="00E355FA" w:rsidP="00FD5CD5">
            <w:pPr>
              <w:pStyle w:val="ZROZDZODDZPRZEDMzmprzedmrozdzoddzartykuempunktem"/>
              <w:spacing w:before="0" w:after="0" w:line="240" w:lineRule="auto"/>
              <w:ind w:left="0"/>
              <w:jc w:val="left"/>
              <w:rPr>
                <w:rFonts w:ascii="Times New Roman" w:hAnsi="Times New Roman"/>
              </w:rPr>
            </w:pPr>
            <w:r w:rsidRPr="00FB76A9">
              <w:rPr>
                <w:rFonts w:ascii="Times New Roman" w:hAnsi="Times New Roman"/>
              </w:rPr>
              <w:t>Administracyjne kary pieniężne</w:t>
            </w:r>
          </w:p>
          <w:p w14:paraId="6E48B476" w14:textId="77777777" w:rsidR="00E355FA" w:rsidRPr="00FB76A9" w:rsidRDefault="00E355FA" w:rsidP="00FD5CD5">
            <w:pPr>
              <w:pStyle w:val="ZARTzmartartykuempunktem"/>
              <w:spacing w:line="240" w:lineRule="auto"/>
              <w:jc w:val="left"/>
              <w:rPr>
                <w:rFonts w:ascii="Times New Roman" w:hAnsi="Times New Roman" w:cs="Times New Roman"/>
                <w:szCs w:val="24"/>
              </w:rPr>
            </w:pPr>
          </w:p>
          <w:p w14:paraId="76400E1F" w14:textId="77777777" w:rsidR="00E355FA" w:rsidRPr="00FB76A9" w:rsidRDefault="00E355FA"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Art. 71c. Podmiot gospodarczy, który wprowadził do obrotu pojazd, przedmiot wyposażenia lub część niezgodnie z wymaganiami określonymi w:</w:t>
            </w:r>
          </w:p>
          <w:p w14:paraId="126AB3D3" w14:textId="77777777" w:rsidR="00E355FA" w:rsidRPr="00FB76A9" w:rsidRDefault="00E355FA"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12) </w:t>
            </w:r>
            <w:r w:rsidRPr="00FB76A9">
              <w:rPr>
                <w:rFonts w:ascii="Times New Roman" w:hAnsi="Times New Roman" w:cs="Times New Roman"/>
                <w:szCs w:val="24"/>
              </w:rPr>
              <w:tab/>
              <w:t xml:space="preserve">art. 4–9, art. 12 oraz art. 14 </w:t>
            </w:r>
            <w:r w:rsidR="00804F0D">
              <w:rPr>
                <w:rFonts w:ascii="Times New Roman" w:hAnsi="Times New Roman" w:cs="Times New Roman"/>
                <w:szCs w:val="24"/>
              </w:rPr>
              <w:t xml:space="preserve">ust. 1 </w:t>
            </w:r>
            <w:r w:rsidRPr="00FB76A9">
              <w:rPr>
                <w:rFonts w:ascii="Times New Roman" w:hAnsi="Times New Roman" w:cs="Times New Roman"/>
                <w:szCs w:val="24"/>
              </w:rPr>
              <w:t>rozporządzenia 2024/1257;</w:t>
            </w:r>
          </w:p>
          <w:p w14:paraId="2281632C" w14:textId="77777777" w:rsidR="00E355FA" w:rsidRPr="00FB76A9" w:rsidRDefault="00E355FA"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podlega administracyjnej karze pieniężnej do wysokości dwunastokrotności przeciętnego wynagrodzenia, o którym mowa w art. 68g ust. 4, ogłaszanego za czwarty kwartał roku poprzedzającego nałożenie kary, za każdy pojazd, przedmiot wyposażenia lub część, które wprowadził do obrotu.</w:t>
            </w:r>
          </w:p>
          <w:p w14:paraId="58C64754" w14:textId="77777777" w:rsidR="00E355FA" w:rsidRPr="00FB76A9" w:rsidRDefault="00E355FA" w:rsidP="00FD5CD5">
            <w:pPr>
              <w:pStyle w:val="ZARTzmartartykuempunktem"/>
              <w:spacing w:line="240" w:lineRule="auto"/>
              <w:ind w:left="0" w:firstLine="0"/>
              <w:jc w:val="left"/>
              <w:rPr>
                <w:rFonts w:ascii="Times New Roman" w:hAnsi="Times New Roman" w:cs="Times New Roman"/>
                <w:szCs w:val="24"/>
              </w:rPr>
            </w:pPr>
          </w:p>
          <w:p w14:paraId="49AB5222" w14:textId="77777777" w:rsidR="00E355FA" w:rsidRPr="00FB76A9" w:rsidRDefault="00E355FA"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Art. 71h. Podmiot gospodarczy, który wbrew obowiązkowi lub na żądanie Dyrektora TDT nie udostępnia informacji i dokumentacji niezbędnych do wykonywania zadań realizowanych przez Dyrektora TDT w przypadkach, o których mowa w:</w:t>
            </w:r>
          </w:p>
          <w:p w14:paraId="4C7ABC6A" w14:textId="77777777" w:rsidR="00E355FA" w:rsidRPr="00FB76A9" w:rsidRDefault="00E355FA"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xml:space="preserve">8) </w:t>
            </w:r>
            <w:r w:rsidRPr="00FB76A9">
              <w:rPr>
                <w:rFonts w:ascii="Times New Roman" w:hAnsi="Times New Roman" w:cs="Times New Roman"/>
                <w:szCs w:val="24"/>
              </w:rPr>
              <w:tab/>
              <w:t>art. 4–9, art. 12 i art. 14</w:t>
            </w:r>
            <w:r w:rsidR="00EE28E7">
              <w:rPr>
                <w:rFonts w:ascii="Times New Roman" w:hAnsi="Times New Roman" w:cs="Times New Roman"/>
                <w:szCs w:val="24"/>
              </w:rPr>
              <w:t xml:space="preserve"> ust. 1</w:t>
            </w:r>
            <w:r w:rsidRPr="00FB76A9">
              <w:rPr>
                <w:rFonts w:ascii="Times New Roman" w:hAnsi="Times New Roman" w:cs="Times New Roman"/>
                <w:szCs w:val="24"/>
              </w:rPr>
              <w:t xml:space="preserve"> rozporządzenia 2024/1257;</w:t>
            </w:r>
          </w:p>
          <w:p w14:paraId="1B9B1516" w14:textId="77777777" w:rsidR="00E355FA" w:rsidRDefault="00E355FA" w:rsidP="00FD5CD5">
            <w:pPr>
              <w:pStyle w:val="ZARTzmartartykuempunktem"/>
              <w:spacing w:line="240" w:lineRule="auto"/>
              <w:ind w:left="0" w:firstLine="0"/>
              <w:jc w:val="left"/>
              <w:rPr>
                <w:rFonts w:ascii="Times New Roman" w:hAnsi="Times New Roman" w:cs="Times New Roman"/>
                <w:szCs w:val="24"/>
              </w:rPr>
            </w:pPr>
            <w:r w:rsidRPr="00FB76A9">
              <w:rPr>
                <w:rFonts w:ascii="Times New Roman" w:hAnsi="Times New Roman" w:cs="Times New Roman"/>
                <w:szCs w:val="24"/>
              </w:rPr>
              <w:t>– podlega administracyjnej karze pieniężnej do wysokości dwukrotności przeciętnego wynagrodzenia, o którym mowa w art. 68g ust. 4, ogłaszanego za czwarty kwartał roku poprzedzającego nałożenie kary, za każdy przypadek nieudostępnienia informacji lub dokumentów.</w:t>
            </w:r>
          </w:p>
          <w:p w14:paraId="2784BA05" w14:textId="77777777" w:rsidR="00C31722" w:rsidRDefault="00C31722" w:rsidP="00FD5CD5">
            <w:pPr>
              <w:pStyle w:val="ZARTzmartartykuempunktem"/>
              <w:spacing w:line="240" w:lineRule="auto"/>
              <w:ind w:left="0" w:firstLine="0"/>
              <w:jc w:val="left"/>
              <w:rPr>
                <w:rFonts w:ascii="Times New Roman" w:hAnsi="Times New Roman" w:cs="Times New Roman"/>
                <w:szCs w:val="24"/>
              </w:rPr>
            </w:pPr>
          </w:p>
          <w:p w14:paraId="29E1212B" w14:textId="77777777" w:rsidR="00C31722" w:rsidRPr="001F1A7B" w:rsidRDefault="00C31722" w:rsidP="00C31722">
            <w:pPr>
              <w:pStyle w:val="ZARTzmartartykuempunktem"/>
              <w:spacing w:line="240" w:lineRule="auto"/>
              <w:ind w:left="0" w:firstLine="96"/>
            </w:pPr>
            <w:r w:rsidRPr="001F1A7B">
              <w:t>Art. 71p. 1. Administracyjne kary pieniężne, o których mowa w art. 71a</w:t>
            </w:r>
            <w:r w:rsidRPr="001F1A7B">
              <w:rPr>
                <w:rFonts w:ascii="Times New Roman" w:hAnsi="Times New Roman" w:cs="Times New Roman"/>
                <w:szCs w:val="24"/>
              </w:rPr>
              <w:t>–</w:t>
            </w:r>
            <w:r w:rsidRPr="001F1A7B">
              <w:t xml:space="preserve">71o, nakłada Dyrektor TDT w drodze decyzji administracyjnej. </w:t>
            </w:r>
          </w:p>
          <w:p w14:paraId="3CC22FCF" w14:textId="77777777" w:rsidR="00C31722" w:rsidRPr="001F1A7B" w:rsidRDefault="00C31722" w:rsidP="00C31722">
            <w:pPr>
              <w:pStyle w:val="ZUSTzmustartykuempunktem"/>
              <w:spacing w:line="240" w:lineRule="auto"/>
              <w:ind w:left="0" w:firstLine="96"/>
            </w:pPr>
            <w:r w:rsidRPr="001F1A7B">
              <w:t xml:space="preserve">2. Organem wyższego stopnia w rozumieniu przepisów ustawy z dnia 14 czerwca 1960 r. – Kodeks postępowania administracyjnego w sprawach, o których mowa w ust. 1, jest minister właściwy do spraw transportu. </w:t>
            </w:r>
          </w:p>
          <w:p w14:paraId="00B0F317" w14:textId="77777777" w:rsidR="00C31722" w:rsidRPr="001F1A7B" w:rsidRDefault="00C31722" w:rsidP="00C31722">
            <w:pPr>
              <w:pStyle w:val="ZUSTzmustartykuempunktem"/>
              <w:keepNext/>
              <w:spacing w:line="240" w:lineRule="auto"/>
              <w:ind w:left="0" w:firstLine="96"/>
            </w:pPr>
            <w:r w:rsidRPr="001F1A7B">
              <w:t xml:space="preserve">3. Przy ustalaniu wysokości administracyjnych kar pieniężnych, o których mowa </w:t>
            </w:r>
            <w:r w:rsidRPr="001F1A7B">
              <w:br/>
              <w:t>w art. 71a</w:t>
            </w:r>
            <w:r w:rsidRPr="001F1A7B">
              <w:rPr>
                <w:rFonts w:ascii="Times New Roman" w:hAnsi="Times New Roman" w:cs="Times New Roman"/>
                <w:szCs w:val="24"/>
              </w:rPr>
              <w:t>–</w:t>
            </w:r>
            <w:r w:rsidRPr="001F1A7B">
              <w:t>71o, uwzględnia się:</w:t>
            </w:r>
          </w:p>
          <w:p w14:paraId="1F6A797F" w14:textId="77777777" w:rsidR="00C31722" w:rsidRPr="001F1A7B" w:rsidRDefault="00C31722" w:rsidP="00C31722">
            <w:pPr>
              <w:pStyle w:val="ZPKTzmpktartykuempunktem"/>
              <w:tabs>
                <w:tab w:val="left" w:pos="170"/>
                <w:tab w:val="left" w:pos="340"/>
                <w:tab w:val="left" w:pos="510"/>
                <w:tab w:val="left" w:pos="680"/>
                <w:tab w:val="left" w:pos="850"/>
                <w:tab w:val="left" w:pos="1020"/>
                <w:tab w:val="left" w:pos="1190"/>
                <w:tab w:val="left" w:pos="1360"/>
                <w:tab w:val="left" w:pos="1530"/>
                <w:tab w:val="left" w:pos="1700"/>
                <w:tab w:val="left" w:pos="1870"/>
                <w:tab w:val="left" w:pos="2040"/>
                <w:tab w:val="left" w:pos="2210"/>
                <w:tab w:val="left" w:pos="2380"/>
                <w:tab w:val="left" w:pos="2550"/>
                <w:tab w:val="left" w:pos="2720"/>
                <w:tab w:val="left" w:pos="2890"/>
                <w:tab w:val="left" w:pos="3060"/>
                <w:tab w:val="left" w:pos="3230"/>
                <w:tab w:val="left" w:pos="3400"/>
                <w:tab w:val="left" w:pos="3570"/>
                <w:tab w:val="left" w:pos="3740"/>
                <w:tab w:val="left" w:pos="3910"/>
                <w:tab w:val="left" w:pos="4080"/>
                <w:tab w:val="left" w:pos="4250"/>
                <w:tab w:val="left" w:pos="4420"/>
                <w:tab w:val="left" w:pos="4590"/>
                <w:tab w:val="left" w:pos="4760"/>
                <w:tab w:val="left" w:pos="4930"/>
                <w:tab w:val="left" w:pos="5100"/>
                <w:tab w:val="left" w:pos="5270"/>
                <w:tab w:val="left" w:pos="5440"/>
                <w:tab w:val="left" w:pos="5610"/>
                <w:tab w:val="left" w:pos="5780"/>
                <w:tab w:val="left" w:pos="5950"/>
                <w:tab w:val="left" w:pos="6120"/>
                <w:tab w:val="left" w:pos="6768"/>
              </w:tabs>
              <w:spacing w:line="240" w:lineRule="auto"/>
              <w:ind w:left="0" w:firstLine="96"/>
            </w:pPr>
            <w:r w:rsidRPr="001F1A7B">
              <w:t>1)</w:t>
            </w:r>
            <w:r w:rsidRPr="001F1A7B">
              <w:tab/>
            </w:r>
            <w:r w:rsidRPr="001F1A7B">
              <w:tab/>
              <w:t>stopień, okoliczności i okres naruszenia obowiązków;</w:t>
            </w:r>
            <w:r w:rsidRPr="001F1A7B">
              <w:tab/>
            </w:r>
            <w:r w:rsidRPr="001F1A7B">
              <w:tab/>
            </w:r>
          </w:p>
          <w:p w14:paraId="52C3C332" w14:textId="77777777" w:rsidR="00C31722" w:rsidRPr="00A21A0C" w:rsidRDefault="00C31722" w:rsidP="00C31722">
            <w:pPr>
              <w:pStyle w:val="ZPKTzmpktartykuempunktem"/>
              <w:tabs>
                <w:tab w:val="left" w:pos="170"/>
                <w:tab w:val="left" w:pos="340"/>
                <w:tab w:val="left" w:pos="510"/>
                <w:tab w:val="left" w:pos="680"/>
                <w:tab w:val="left" w:pos="850"/>
                <w:tab w:val="left" w:pos="1020"/>
                <w:tab w:val="left" w:pos="1190"/>
                <w:tab w:val="left" w:pos="1360"/>
                <w:tab w:val="left" w:pos="1530"/>
                <w:tab w:val="left" w:pos="1700"/>
                <w:tab w:val="left" w:pos="1870"/>
                <w:tab w:val="left" w:pos="2040"/>
                <w:tab w:val="left" w:pos="2210"/>
                <w:tab w:val="left" w:pos="2380"/>
                <w:tab w:val="left" w:pos="2550"/>
                <w:tab w:val="left" w:pos="2720"/>
                <w:tab w:val="left" w:pos="2890"/>
                <w:tab w:val="left" w:pos="3060"/>
                <w:tab w:val="left" w:pos="3230"/>
                <w:tab w:val="left" w:pos="3400"/>
                <w:tab w:val="left" w:pos="3570"/>
                <w:tab w:val="left" w:pos="3740"/>
                <w:tab w:val="left" w:pos="3910"/>
                <w:tab w:val="left" w:pos="4080"/>
                <w:tab w:val="left" w:pos="4250"/>
                <w:tab w:val="left" w:pos="4420"/>
                <w:tab w:val="left" w:pos="4590"/>
                <w:tab w:val="left" w:pos="4760"/>
                <w:tab w:val="left" w:pos="4930"/>
                <w:tab w:val="left" w:pos="5100"/>
                <w:tab w:val="left" w:pos="5270"/>
                <w:tab w:val="left" w:pos="5440"/>
                <w:tab w:val="left" w:pos="5610"/>
                <w:tab w:val="left" w:pos="5780"/>
                <w:tab w:val="left" w:pos="5950"/>
                <w:tab w:val="left" w:pos="6120"/>
                <w:tab w:val="left" w:pos="6768"/>
              </w:tabs>
              <w:spacing w:line="240" w:lineRule="auto"/>
              <w:ind w:left="0" w:firstLine="96"/>
            </w:pPr>
            <w:r w:rsidRPr="001F1A7B">
              <w:t xml:space="preserve">2) </w:t>
            </w:r>
            <w:r w:rsidRPr="001F1A7B">
              <w:tab/>
            </w:r>
            <w:r w:rsidRPr="001F1A7B">
              <w:tab/>
              <w:t xml:space="preserve">rodzaj i charakter </w:t>
            </w:r>
            <w:r w:rsidRPr="00A21A0C">
              <w:t xml:space="preserve">stwierdzonych niezgodności z wymaganiami technicznymi, </w:t>
            </w:r>
            <w:r w:rsidRPr="00A21A0C">
              <w:rPr>
                <w:rFonts w:ascii="Times New Roman" w:hAnsi="Times New Roman" w:cs="Times New Roman"/>
                <w:szCs w:val="24"/>
              </w:rPr>
              <w:t>warunkami technicznymi, o których mowa w art. 66 ust. 1 ustawy z dnia 20 czerwca 1997 r. – Prawo o ruchu drogowym oraz określonymi w przepisach wydanych na podstawie art. 66 ust. 5 tej ustawy,</w:t>
            </w:r>
            <w:r w:rsidRPr="00A21A0C">
              <w:t xml:space="preserve"> lub rodzaj </w:t>
            </w:r>
            <w:r w:rsidRPr="00A21A0C">
              <w:rPr>
                <w:rFonts w:ascii="Times New Roman" w:hAnsi="Times New Roman" w:cs="Times New Roman"/>
                <w:szCs w:val="24"/>
              </w:rPr>
              <w:t>stwarzanego poważnego ryzyka</w:t>
            </w:r>
            <w:r w:rsidRPr="00A21A0C">
              <w:t xml:space="preserve"> przez pojazd, przedmiot wyposażenia lub część, rower, wózek rowerowy, hulajnogę elektryczną oraz urządzenie transportu osobistego;</w:t>
            </w:r>
          </w:p>
          <w:p w14:paraId="3B243423" w14:textId="77777777" w:rsidR="00C31722" w:rsidRPr="001F1A7B" w:rsidRDefault="00C31722" w:rsidP="00C31722">
            <w:pPr>
              <w:pStyle w:val="ZPKTzmpktartykuempunktem"/>
              <w:spacing w:line="240" w:lineRule="auto"/>
              <w:ind w:left="0" w:firstLine="96"/>
            </w:pPr>
            <w:r w:rsidRPr="00A21A0C">
              <w:t>3)</w:t>
            </w:r>
            <w:r w:rsidRPr="00A21A0C">
              <w:tab/>
              <w:t>liczbę udostępnionych na rynku pojazdów, przedmiotów wyposażenia lub części niezgodnych z wymaganiami technicznymi albo rowerów, wózków rowerowych, hulajnóg elektrycznych oraz urządzeń transportu osobistego</w:t>
            </w:r>
            <w:r w:rsidRPr="00A21A0C">
              <w:rPr>
                <w:rFonts w:ascii="Times New Roman" w:hAnsi="Times New Roman" w:cs="Times New Roman"/>
                <w:szCs w:val="24"/>
              </w:rPr>
              <w:t xml:space="preserve"> niezgodnych z warunkami technicznymi, o których mowa w art. 66 ust. 1 ustawy z dnia 20 czerwca 1997 r. – Prawo o ruchu drogowym oraz określonymi w przepisach wydanych na podstawie art. 66 ust. 5 tej ustawy</w:t>
            </w:r>
            <w:r w:rsidRPr="00A21A0C">
              <w:t>, w których dokonano montażu dodatkowej instalacji zasilania gazem pojazdu niezgodnie z wymaganiami</w:t>
            </w:r>
            <w:r w:rsidRPr="001F1A7B">
              <w:t>, o których mowa w art. 31 ust. 2, art. 36, art. 42 i 43, wymaganiami technicznymi obowiązującymi w procedurze homologacji dodatkowej instalacji zasilania gazem pojazdu oraz wymaganiami w zakresie tabliczki informacyjnej, wynikając</w:t>
            </w:r>
            <w:r>
              <w:t>ymi</w:t>
            </w:r>
            <w:r w:rsidRPr="001F1A7B">
              <w:t xml:space="preserve"> z przepisów wydanych na podstawie art. 58;</w:t>
            </w:r>
          </w:p>
          <w:p w14:paraId="76F0F223" w14:textId="77777777" w:rsidR="00C31722" w:rsidRPr="001F1A7B" w:rsidRDefault="00C31722" w:rsidP="00C31722">
            <w:pPr>
              <w:pStyle w:val="ZPKTzmpktartykuempunktem"/>
              <w:spacing w:line="240" w:lineRule="auto"/>
              <w:ind w:left="0" w:firstLine="96"/>
            </w:pPr>
            <w:r w:rsidRPr="001F1A7B">
              <w:t>4)</w:t>
            </w:r>
            <w:r w:rsidRPr="001F1A7B">
              <w:tab/>
              <w:t>uprzednie naruszenie obowiązków;</w:t>
            </w:r>
          </w:p>
          <w:p w14:paraId="1486173D" w14:textId="77777777" w:rsidR="00C31722" w:rsidRPr="001F1A7B" w:rsidRDefault="00C31722" w:rsidP="00C31722">
            <w:pPr>
              <w:pStyle w:val="ZPKTzmpktartykuempunktem"/>
              <w:spacing w:line="240" w:lineRule="auto"/>
              <w:ind w:left="0" w:firstLine="96"/>
            </w:pPr>
            <w:r w:rsidRPr="001F1A7B">
              <w:t>5)</w:t>
            </w:r>
            <w:r w:rsidRPr="001F1A7B">
              <w:tab/>
              <w:t>współpracę z Dyrektorem TDT jako organem nadzoru rynku, w tym przyczynienie się do szybkiego i sprawnego przeprowadzenia czynności wyjaśniających, kontroli, badań lub postępowań administracyjnych;</w:t>
            </w:r>
          </w:p>
          <w:p w14:paraId="77362FA3" w14:textId="77777777" w:rsidR="00C31722" w:rsidRPr="001F1A7B" w:rsidRDefault="00C31722" w:rsidP="00C31722">
            <w:pPr>
              <w:pStyle w:val="ZPKTzmpktartykuempunktem"/>
              <w:spacing w:line="240" w:lineRule="auto"/>
              <w:ind w:left="0" w:firstLine="96"/>
            </w:pPr>
            <w:r w:rsidRPr="001F1A7B">
              <w:t xml:space="preserve">6) </w:t>
            </w:r>
            <w:r w:rsidRPr="001F1A7B">
              <w:tab/>
              <w:t xml:space="preserve">zaprzestanie przez podmiot gospodarczy naruszenia obowiązków, o których mowa odpowiednio w art. 53a i </w:t>
            </w:r>
            <w:r>
              <w:t xml:space="preserve">art. </w:t>
            </w:r>
            <w:r w:rsidRPr="001F1A7B">
              <w:t>53b oraz potwierdzenie realizacji tych obowiązków;</w:t>
            </w:r>
          </w:p>
          <w:p w14:paraId="74CE6E0F" w14:textId="77777777" w:rsidR="00C31722" w:rsidRPr="001F1A7B" w:rsidRDefault="00C31722" w:rsidP="00C31722">
            <w:pPr>
              <w:pStyle w:val="ZPKTzmpktartykuempunktem"/>
              <w:spacing w:line="240" w:lineRule="auto"/>
              <w:ind w:left="0" w:firstLine="96"/>
            </w:pPr>
            <w:r w:rsidRPr="001F1A7B">
              <w:t>7)</w:t>
            </w:r>
            <w:r w:rsidRPr="001F1A7B">
              <w:rPr>
                <w:rFonts w:eastAsiaTheme="minorHAnsi"/>
                <w:sz w:val="22"/>
                <w:szCs w:val="22"/>
                <w:lang w:eastAsia="en-US"/>
              </w:rPr>
              <w:tab/>
            </w:r>
            <w:r w:rsidRPr="001F1A7B">
              <w:t>zlecenie przez podmiot, który zamontował w pojeździe dodatkową instalację zasilania gazem pojazdu bez świadectwa homologacji montażu dodatkowej instalacji zasilania gazem pojazdu, uprawnionemu podmiotowi wymianę tej instalacji w pojeździe, na swój koszt, na instalację zgodną z takim świadectwem.</w:t>
            </w:r>
          </w:p>
          <w:p w14:paraId="2E611A61" w14:textId="77777777" w:rsidR="00C31722" w:rsidRPr="001F1A7B" w:rsidRDefault="00C31722" w:rsidP="00C31722">
            <w:pPr>
              <w:pStyle w:val="ZUSTzmustartykuempunktem"/>
              <w:spacing w:line="240" w:lineRule="auto"/>
              <w:ind w:left="0" w:firstLine="96"/>
            </w:pPr>
            <w:r w:rsidRPr="001F1A7B">
              <w:t xml:space="preserve">4. Przy wydawaniu decyzji o nałożeniu administracyjnej kary pieniężnej, o której mowa w art. 71a–71o, przepisu art. 189f ustawy z dnia 14 czerwca 1960 r. – Kodeks postępowania administracyjnego nie stosuje się. </w:t>
            </w:r>
          </w:p>
          <w:p w14:paraId="5E3DC87D" w14:textId="77777777" w:rsidR="00C31722" w:rsidRPr="001F1A7B" w:rsidRDefault="00C31722" w:rsidP="00C31722">
            <w:pPr>
              <w:pStyle w:val="ZARTzmartartykuempunktem"/>
              <w:spacing w:line="240" w:lineRule="auto"/>
              <w:ind w:left="0" w:firstLine="96"/>
            </w:pPr>
            <w:r w:rsidRPr="001F1A7B">
              <w:t xml:space="preserve">Art. 71r. 1. Administracyjne kary pieniężne, o których mowa w art. 71a–71o, uiszcza się na rachunek Transportowego Dozoru Technicznego w terminie 14 dni od dnia, w którym decyzja o nałożeniu administracyjnej kary pieniężnej stała się ostateczna. </w:t>
            </w:r>
          </w:p>
          <w:p w14:paraId="034147AB" w14:textId="77777777" w:rsidR="00C31722" w:rsidRPr="001F1A7B" w:rsidRDefault="00C31722" w:rsidP="00C31722">
            <w:pPr>
              <w:pStyle w:val="ZUSTzmustartykuempunktem"/>
              <w:spacing w:line="240" w:lineRule="auto"/>
              <w:ind w:left="0" w:firstLine="96"/>
            </w:pPr>
            <w:r w:rsidRPr="001F1A7B">
              <w:t>2. Wpływy z administracyjnych kar pieniężnych wraz z odsetkami stanowią przychód Dyrektora TDT.</w:t>
            </w:r>
          </w:p>
          <w:p w14:paraId="7A671FF1" w14:textId="77777777" w:rsidR="00C31722" w:rsidRPr="00F51BEF" w:rsidRDefault="00C31722" w:rsidP="00C31722">
            <w:pPr>
              <w:pStyle w:val="ZUSTzmustartykuempunktem"/>
              <w:spacing w:line="240" w:lineRule="auto"/>
              <w:ind w:left="0" w:firstLine="96"/>
            </w:pPr>
            <w:r w:rsidRPr="00F51BEF">
              <w:t>Art. 71s. 1. Kary pieniężne, o których mowa w art. 71a</w:t>
            </w:r>
            <w:r w:rsidRPr="00F51BEF">
              <w:rPr>
                <w:rFonts w:ascii="Times New Roman" w:hAnsi="Times New Roman" w:cs="Times New Roman"/>
                <w:szCs w:val="24"/>
              </w:rPr>
              <w:t>–</w:t>
            </w:r>
            <w:r w:rsidRPr="00F51BEF">
              <w:t>71o, wraz z odsetkami ustawowymi za opóźnienie, podlegają przymusowemu ściągnięciu w trybie określonym w ustawie z dnia 17 czerwca 1966 r. o postępowaniu egzekucyjnym w administracji.</w:t>
            </w:r>
          </w:p>
          <w:p w14:paraId="614162ED" w14:textId="77777777" w:rsidR="00C31722" w:rsidRPr="00F51BEF" w:rsidRDefault="00C31722" w:rsidP="005E0F9D">
            <w:pPr>
              <w:pStyle w:val="ZARTzmartartykuempunktem"/>
              <w:numPr>
                <w:ilvl w:val="0"/>
                <w:numId w:val="11"/>
              </w:numPr>
              <w:tabs>
                <w:tab w:val="left" w:pos="851"/>
              </w:tabs>
              <w:spacing w:line="240" w:lineRule="auto"/>
              <w:ind w:left="0" w:firstLine="96"/>
            </w:pPr>
            <w:r w:rsidRPr="00F51BEF">
              <w:t xml:space="preserve"> Obowiązek uiszczenia kar pieniężnych, o których mowa w ust. 1, przedawnia się z upływem 5 lat, licząc od ostatniego dnia roku kalendarzowego, w którym kary powinny zostać uiszczone.”.</w:t>
            </w:r>
          </w:p>
          <w:p w14:paraId="247D111D" w14:textId="77777777" w:rsidR="00C31722" w:rsidRPr="00FB76A9" w:rsidRDefault="00C31722" w:rsidP="00FD5CD5">
            <w:pPr>
              <w:pStyle w:val="ZARTzmartartykuempunktem"/>
              <w:spacing w:line="240" w:lineRule="auto"/>
              <w:ind w:left="0" w:firstLine="0"/>
              <w:jc w:val="left"/>
              <w:rPr>
                <w:rFonts w:ascii="Times New Roman" w:hAnsi="Times New Roman" w:cs="Times New Roman"/>
                <w:szCs w:val="24"/>
              </w:rPr>
            </w:pPr>
          </w:p>
          <w:p w14:paraId="6D065867" w14:textId="77777777" w:rsidR="00E355FA" w:rsidRPr="00FB76A9" w:rsidRDefault="00E355FA" w:rsidP="00FD5CD5">
            <w:pPr>
              <w:pStyle w:val="ZARTzmartartykuempunktem"/>
              <w:spacing w:line="240" w:lineRule="auto"/>
              <w:jc w:val="left"/>
              <w:rPr>
                <w:rFonts w:ascii="Times New Roman" w:hAnsi="Times New Roman" w:cs="Times New Roman"/>
                <w:szCs w:val="24"/>
              </w:rPr>
            </w:pPr>
          </w:p>
        </w:tc>
        <w:tc>
          <w:tcPr>
            <w:tcW w:w="1504" w:type="dxa"/>
            <w:tcBorders>
              <w:top w:val="single" w:sz="4" w:space="0" w:color="auto"/>
              <w:left w:val="single" w:sz="4" w:space="0" w:color="auto"/>
              <w:bottom w:val="single" w:sz="4" w:space="0" w:color="auto"/>
              <w:right w:val="single" w:sz="4" w:space="0" w:color="auto"/>
            </w:tcBorders>
          </w:tcPr>
          <w:p w14:paraId="277A6393" w14:textId="77777777" w:rsidR="00E355FA" w:rsidRPr="00FB76A9" w:rsidRDefault="00E355FA" w:rsidP="00FD5CD5">
            <w:pPr>
              <w:spacing w:after="0" w:line="240" w:lineRule="auto"/>
              <w:rPr>
                <w:rFonts w:ascii="Times New Roman" w:eastAsia="Times New Roman" w:hAnsi="Times New Roman" w:cs="Times New Roman"/>
                <w:b/>
                <w:bCs/>
                <w:sz w:val="24"/>
                <w:szCs w:val="24"/>
                <w:lang w:eastAsia="pl-PL"/>
              </w:rPr>
            </w:pPr>
          </w:p>
        </w:tc>
      </w:tr>
    </w:tbl>
    <w:p w14:paraId="5B39D57D" w14:textId="77777777" w:rsidR="00E6032B" w:rsidRPr="00FB76A9" w:rsidRDefault="00E6032B" w:rsidP="00FD5CD5">
      <w:pPr>
        <w:spacing w:after="0" w:line="240" w:lineRule="auto"/>
        <w:rPr>
          <w:rFonts w:ascii="Times New Roman" w:eastAsia="Times New Roman" w:hAnsi="Times New Roman" w:cs="Times New Roman"/>
          <w:sz w:val="24"/>
          <w:szCs w:val="24"/>
          <w:lang w:eastAsia="pl-PL"/>
        </w:rPr>
      </w:pPr>
    </w:p>
    <w:sectPr w:rsidR="00E6032B" w:rsidRPr="00FB76A9" w:rsidSect="00BB3FF5">
      <w:footerReference w:type="default" r:id="rId14"/>
      <w:type w:val="continuous"/>
      <w:pgSz w:w="21633" w:h="11906" w:orient="landscape"/>
      <w:pgMar w:top="1417" w:right="6212"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606E0" w14:textId="77777777" w:rsidR="009837B2" w:rsidRDefault="009837B2" w:rsidP="009E27A8">
      <w:pPr>
        <w:spacing w:after="0" w:line="240" w:lineRule="auto"/>
      </w:pPr>
      <w:r>
        <w:separator/>
      </w:r>
    </w:p>
  </w:endnote>
  <w:endnote w:type="continuationSeparator" w:id="0">
    <w:p w14:paraId="152B5B07" w14:textId="77777777" w:rsidR="009837B2" w:rsidRDefault="009837B2" w:rsidP="009E27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8111" w14:textId="7CAB1A1D" w:rsidR="00821799" w:rsidRPr="00A521E9" w:rsidRDefault="00000000">
    <w:pPr>
      <w:pStyle w:val="Stopka"/>
      <w:jc w:val="right"/>
      <w:rPr>
        <w:rFonts w:ascii="Times New Roman" w:hAnsi="Times New Roman" w:cs="Times New Roman"/>
        <w:sz w:val="16"/>
        <w:szCs w:val="16"/>
      </w:rPr>
    </w:pPr>
    <w:sdt>
      <w:sdtPr>
        <w:rPr>
          <w:rFonts w:ascii="Times New Roman" w:hAnsi="Times New Roman" w:cs="Times New Roman"/>
          <w:sz w:val="16"/>
          <w:szCs w:val="16"/>
        </w:rPr>
        <w:id w:val="2116629661"/>
        <w:docPartObj>
          <w:docPartGallery w:val="Page Numbers (Bottom of Page)"/>
          <w:docPartUnique/>
        </w:docPartObj>
      </w:sdtPr>
      <w:sdtContent>
        <w:r w:rsidR="00821799" w:rsidRPr="00A521E9">
          <w:rPr>
            <w:rFonts w:ascii="Times New Roman" w:hAnsi="Times New Roman" w:cs="Times New Roman"/>
            <w:sz w:val="16"/>
            <w:szCs w:val="16"/>
          </w:rPr>
          <w:fldChar w:fldCharType="begin"/>
        </w:r>
        <w:r w:rsidR="00821799" w:rsidRPr="003C2855">
          <w:rPr>
            <w:rFonts w:ascii="Times New Roman" w:hAnsi="Times New Roman" w:cs="Times New Roman"/>
            <w:sz w:val="16"/>
            <w:szCs w:val="16"/>
          </w:rPr>
          <w:instrText>PAGE   \* MERGEFORMAT</w:instrText>
        </w:r>
        <w:r w:rsidR="00821799" w:rsidRPr="00A521E9">
          <w:rPr>
            <w:rFonts w:ascii="Times New Roman" w:hAnsi="Times New Roman" w:cs="Times New Roman"/>
            <w:sz w:val="16"/>
            <w:szCs w:val="16"/>
          </w:rPr>
          <w:fldChar w:fldCharType="separate"/>
        </w:r>
        <w:r w:rsidR="00821799" w:rsidRPr="003C2855">
          <w:rPr>
            <w:rFonts w:ascii="Times New Roman" w:hAnsi="Times New Roman" w:cs="Times New Roman"/>
            <w:sz w:val="16"/>
            <w:szCs w:val="16"/>
          </w:rPr>
          <w:t>2</w:t>
        </w:r>
        <w:r w:rsidR="00821799" w:rsidRPr="00A521E9">
          <w:rPr>
            <w:rFonts w:ascii="Times New Roman" w:hAnsi="Times New Roman" w:cs="Times New Roman"/>
            <w:sz w:val="16"/>
            <w:szCs w:val="16"/>
          </w:rPr>
          <w:fldChar w:fldCharType="end"/>
        </w:r>
      </w:sdtContent>
    </w:sdt>
    <w:r w:rsidR="00821799" w:rsidRPr="00A521E9">
      <w:rPr>
        <w:rFonts w:ascii="Times New Roman" w:hAnsi="Times New Roman" w:cs="Times New Roman"/>
        <w:sz w:val="16"/>
        <w:szCs w:val="16"/>
      </w:rPr>
      <w:t>/</w:t>
    </w:r>
    <w:r w:rsidR="00821799">
      <w:rPr>
        <w:rFonts w:ascii="Times New Roman" w:hAnsi="Times New Roman" w:cs="Times New Roman"/>
        <w:sz w:val="16"/>
        <w:szCs w:val="16"/>
      </w:rPr>
      <w:t>54</w:t>
    </w:r>
    <w:r w:rsidR="00843A35">
      <w:rPr>
        <w:rFonts w:ascii="Times New Roman" w:hAnsi="Times New Roman" w:cs="Times New Roman"/>
        <w:sz w:val="16"/>
        <w:szCs w:val="16"/>
      </w:rPr>
      <w:t>3</w:t>
    </w:r>
  </w:p>
  <w:p w14:paraId="1D085F57" w14:textId="77777777" w:rsidR="00821799" w:rsidRDefault="0082179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79184" w14:textId="77777777" w:rsidR="009837B2" w:rsidRDefault="009837B2" w:rsidP="009E27A8">
      <w:pPr>
        <w:spacing w:after="0" w:line="240" w:lineRule="auto"/>
      </w:pPr>
      <w:r>
        <w:separator/>
      </w:r>
    </w:p>
  </w:footnote>
  <w:footnote w:type="continuationSeparator" w:id="0">
    <w:p w14:paraId="77FAB7AF" w14:textId="77777777" w:rsidR="009837B2" w:rsidRDefault="009837B2" w:rsidP="009E27A8">
      <w:pPr>
        <w:spacing w:after="0" w:line="240" w:lineRule="auto"/>
      </w:pPr>
      <w:r>
        <w:continuationSeparator/>
      </w:r>
    </w:p>
  </w:footnote>
  <w:footnote w:id="1">
    <w:p w14:paraId="3E85FDD2" w14:textId="77777777" w:rsidR="00821799" w:rsidRDefault="00821799" w:rsidP="00565B65">
      <w:pPr>
        <w:pStyle w:val="ODNONIKtreodnonika"/>
      </w:pPr>
      <w:r>
        <w:rPr>
          <w:rStyle w:val="Odwoanieprzypisudolnego"/>
        </w:rPr>
        <w:footnoteRef/>
      </w:r>
      <w:r w:rsidRPr="002A0098">
        <w:rPr>
          <w:vertAlign w:val="superscript"/>
        </w:rPr>
        <w:t>)</w:t>
      </w:r>
      <w:r>
        <w:t xml:space="preserve"> </w:t>
      </w:r>
      <w:r>
        <w:tab/>
      </w:r>
      <w:r w:rsidRPr="002A0098">
        <w:t xml:space="preserve">Zmiany tekstu jednolitego wymienionej ustawy zostały ogłoszone w Dz. U. z 2024 r. poz. </w:t>
      </w:r>
      <w:r>
        <w:t xml:space="preserve">334 i </w:t>
      </w:r>
      <w:r w:rsidRPr="002A0098">
        <w:t>1907, z 2025 r. poz. 526, 820, 117</w:t>
      </w:r>
      <w:r>
        <w:t>2</w:t>
      </w:r>
      <w:r w:rsidRPr="002A0098">
        <w:t>, 1178 i 1609 oraz z 2026 r. poz. 26</w:t>
      </w:r>
      <w:r>
        <w:t xml:space="preserve"> i 370</w:t>
      </w:r>
      <w:r w:rsidRPr="002A0098">
        <w:t>.</w:t>
      </w:r>
    </w:p>
    <w:p w14:paraId="35674671" w14:textId="77777777" w:rsidR="00821799" w:rsidRDefault="00821799" w:rsidP="00C076E7">
      <w:pPr>
        <w:pStyle w:val="ODNONIKtreodnonika"/>
      </w:pPr>
    </w:p>
  </w:footnote>
  <w:footnote w:id="2">
    <w:p w14:paraId="56063F22" w14:textId="77777777" w:rsidR="00821799" w:rsidRDefault="00821799" w:rsidP="00565B65">
      <w:pPr>
        <w:pStyle w:val="ODNONIKtreodnonika"/>
      </w:pPr>
      <w:r>
        <w:rPr>
          <w:rStyle w:val="Odwoanieprzypisudolnego"/>
        </w:rPr>
        <w:footnoteRef/>
      </w:r>
      <w:r w:rsidRPr="002A0098">
        <w:rPr>
          <w:vertAlign w:val="superscript"/>
        </w:rPr>
        <w:t>)</w:t>
      </w:r>
      <w:r>
        <w:t xml:space="preserve"> </w:t>
      </w:r>
      <w:r>
        <w:tab/>
      </w:r>
      <w:r w:rsidRPr="002A0098">
        <w:t xml:space="preserve">Zmiany tekstu jednolitego wymienionej ustawy zostały ogłoszone w Dz. U. z 2024 r. poz. </w:t>
      </w:r>
      <w:r>
        <w:t xml:space="preserve">334 i </w:t>
      </w:r>
      <w:r w:rsidRPr="002A0098">
        <w:t>1907, z 2025 r. poz. 526, 820, 117</w:t>
      </w:r>
      <w:r>
        <w:t>2</w:t>
      </w:r>
      <w:r w:rsidRPr="002A0098">
        <w:t>, 1178 i 1609 oraz z 2026 r. poz. 26</w:t>
      </w:r>
      <w:r>
        <w:t xml:space="preserve"> i 370</w:t>
      </w:r>
      <w:r w:rsidRPr="002A0098">
        <w:t>.</w:t>
      </w:r>
    </w:p>
    <w:p w14:paraId="48B0CC46" w14:textId="77777777" w:rsidR="00821799" w:rsidRDefault="00821799" w:rsidP="00C076E7">
      <w:pPr>
        <w:pStyle w:val="ODNONIKtreodnonika"/>
      </w:pPr>
    </w:p>
  </w:footnote>
  <w:footnote w:id="3">
    <w:p w14:paraId="419979DD" w14:textId="77777777" w:rsidR="00821799" w:rsidRDefault="00821799" w:rsidP="00C076E7">
      <w:pPr>
        <w:pStyle w:val="ODNONIKtreodnonika"/>
      </w:pPr>
      <w:r>
        <w:rPr>
          <w:rStyle w:val="Odwoanieprzypisudolnego"/>
        </w:rPr>
        <w:footnoteRef/>
      </w:r>
      <w:r w:rsidRPr="002A0098">
        <w:rPr>
          <w:vertAlign w:val="superscript"/>
        </w:rPr>
        <w:t>)</w:t>
      </w:r>
      <w:r>
        <w:t xml:space="preserve"> </w:t>
      </w:r>
      <w:r>
        <w:tab/>
      </w:r>
      <w:r w:rsidRPr="002A0098">
        <w:t xml:space="preserve">Zmiany tekstu jednolitego wymienionej ustawy zostały ogłoszone w Dz. U. z 2024 r. poz. </w:t>
      </w:r>
      <w:r>
        <w:t xml:space="preserve">334 i </w:t>
      </w:r>
      <w:r w:rsidRPr="002A0098">
        <w:t>1907, z 2025 r. poz. 526, 820, 117</w:t>
      </w:r>
      <w:r>
        <w:t>2</w:t>
      </w:r>
      <w:r w:rsidRPr="002A0098">
        <w:t>, 1178 i 1609 oraz z 2026 r. poz. 26</w:t>
      </w:r>
      <w:r>
        <w:t xml:space="preserve"> i 370</w:t>
      </w:r>
      <w:r w:rsidRPr="002A0098">
        <w:t>.</w:t>
      </w:r>
    </w:p>
  </w:footnote>
  <w:footnote w:id="4">
    <w:p w14:paraId="37E4E45C" w14:textId="77777777" w:rsidR="00821799" w:rsidRDefault="00821799" w:rsidP="00565B65">
      <w:pPr>
        <w:pStyle w:val="ODNONIKtreodnonika"/>
      </w:pPr>
      <w:r>
        <w:rPr>
          <w:rStyle w:val="Odwoanieprzypisudolnego"/>
        </w:rPr>
        <w:footnoteRef/>
      </w:r>
      <w:r w:rsidRPr="002A0098">
        <w:rPr>
          <w:vertAlign w:val="superscript"/>
        </w:rPr>
        <w:t>)</w:t>
      </w:r>
      <w:r>
        <w:t xml:space="preserve"> </w:t>
      </w:r>
      <w:r>
        <w:tab/>
      </w:r>
      <w:r w:rsidRPr="002A0098">
        <w:t xml:space="preserve">Zmiany tekstu jednolitego wymienionej ustawy zostały ogłoszone w Dz. U. z 2024 r. poz. </w:t>
      </w:r>
      <w:r>
        <w:t xml:space="preserve">334 i </w:t>
      </w:r>
      <w:r w:rsidRPr="002A0098">
        <w:t>1907, z 2025 r. poz. 526, 820, 117</w:t>
      </w:r>
      <w:r>
        <w:t>2</w:t>
      </w:r>
      <w:r w:rsidRPr="002A0098">
        <w:t>, 1178 i 1609 oraz z 2026 r. poz. 26</w:t>
      </w:r>
      <w:r>
        <w:t xml:space="preserve"> i 370</w:t>
      </w:r>
      <w:r w:rsidRPr="002A0098">
        <w:t>.</w:t>
      </w:r>
    </w:p>
    <w:p w14:paraId="6319656D" w14:textId="77777777" w:rsidR="00821799" w:rsidRDefault="00821799" w:rsidP="007702C5">
      <w:pPr>
        <w:pStyle w:val="ODNONIKtreodnonika"/>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236"/>
    <w:multiLevelType w:val="multilevel"/>
    <w:tmpl w:val="5F70E5A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8043B49"/>
    <w:multiLevelType w:val="multilevel"/>
    <w:tmpl w:val="5F70E5A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EF56CCF"/>
    <w:multiLevelType w:val="multilevel"/>
    <w:tmpl w:val="5F70E5A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0F433B34"/>
    <w:multiLevelType w:val="hybridMultilevel"/>
    <w:tmpl w:val="5E041472"/>
    <w:lvl w:ilvl="0" w:tplc="B8B0DF46">
      <w:start w:val="1"/>
      <w:numFmt w:val="decimal"/>
      <w:lvlText w:val="%1)"/>
      <w:lvlJc w:val="left"/>
      <w:pPr>
        <w:ind w:left="653" w:hanging="360"/>
      </w:pPr>
      <w:rPr>
        <w:rFonts w:hint="default"/>
        <w:strike w:val="0"/>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4" w15:restartNumberingAfterBreak="0">
    <w:nsid w:val="130B4940"/>
    <w:multiLevelType w:val="multilevel"/>
    <w:tmpl w:val="A09E78A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AC40166"/>
    <w:multiLevelType w:val="hybridMultilevel"/>
    <w:tmpl w:val="11B24B52"/>
    <w:lvl w:ilvl="0" w:tplc="FFFFFFFF">
      <w:start w:val="1"/>
      <w:numFmt w:val="decimal"/>
      <w:lvlText w:val="%1)"/>
      <w:lvlJc w:val="left"/>
      <w:pPr>
        <w:ind w:left="1380" w:hanging="360"/>
      </w:pPr>
    </w:lvl>
    <w:lvl w:ilvl="1" w:tplc="FFFFFFFF">
      <w:start w:val="1"/>
      <w:numFmt w:val="lowerLetter"/>
      <w:lvlText w:val="%2."/>
      <w:lvlJc w:val="left"/>
      <w:pPr>
        <w:ind w:left="2100" w:hanging="360"/>
      </w:pPr>
    </w:lvl>
    <w:lvl w:ilvl="2" w:tplc="FFFFFFFF">
      <w:start w:val="1"/>
      <w:numFmt w:val="lowerRoman"/>
      <w:lvlText w:val="%3."/>
      <w:lvlJc w:val="right"/>
      <w:pPr>
        <w:ind w:left="2820" w:hanging="180"/>
      </w:pPr>
    </w:lvl>
    <w:lvl w:ilvl="3" w:tplc="FFFFFFFF">
      <w:start w:val="1"/>
      <w:numFmt w:val="decimal"/>
      <w:lvlText w:val="%4."/>
      <w:lvlJc w:val="left"/>
      <w:pPr>
        <w:ind w:left="3540" w:hanging="360"/>
      </w:pPr>
    </w:lvl>
    <w:lvl w:ilvl="4" w:tplc="FFFFFFFF">
      <w:start w:val="1"/>
      <w:numFmt w:val="lowerLetter"/>
      <w:lvlText w:val="%5."/>
      <w:lvlJc w:val="left"/>
      <w:pPr>
        <w:ind w:left="4260" w:hanging="360"/>
      </w:pPr>
    </w:lvl>
    <w:lvl w:ilvl="5" w:tplc="FFFFFFFF">
      <w:start w:val="1"/>
      <w:numFmt w:val="lowerRoman"/>
      <w:lvlText w:val="%6."/>
      <w:lvlJc w:val="right"/>
      <w:pPr>
        <w:ind w:left="4980" w:hanging="180"/>
      </w:pPr>
    </w:lvl>
    <w:lvl w:ilvl="6" w:tplc="FFFFFFFF">
      <w:start w:val="1"/>
      <w:numFmt w:val="decimal"/>
      <w:lvlText w:val="%7."/>
      <w:lvlJc w:val="left"/>
      <w:pPr>
        <w:ind w:left="5700" w:hanging="360"/>
      </w:pPr>
    </w:lvl>
    <w:lvl w:ilvl="7" w:tplc="FFFFFFFF">
      <w:start w:val="1"/>
      <w:numFmt w:val="lowerLetter"/>
      <w:lvlText w:val="%8."/>
      <w:lvlJc w:val="left"/>
      <w:pPr>
        <w:ind w:left="6420" w:hanging="360"/>
      </w:pPr>
    </w:lvl>
    <w:lvl w:ilvl="8" w:tplc="FFFFFFFF">
      <w:start w:val="1"/>
      <w:numFmt w:val="lowerRoman"/>
      <w:lvlText w:val="%9."/>
      <w:lvlJc w:val="right"/>
      <w:pPr>
        <w:ind w:left="7140" w:hanging="180"/>
      </w:pPr>
    </w:lvl>
  </w:abstractNum>
  <w:abstractNum w:abstractNumId="6" w15:restartNumberingAfterBreak="0">
    <w:nsid w:val="1B5F5352"/>
    <w:multiLevelType w:val="multilevel"/>
    <w:tmpl w:val="293C5000"/>
    <w:lvl w:ilvl="0">
      <w:start w:val="1"/>
      <w:numFmt w:val="decimal"/>
      <w:lvlText w:val="%1)"/>
      <w:lvlJc w:val="left"/>
      <w:pPr>
        <w:tabs>
          <w:tab w:val="num" w:pos="785"/>
        </w:tabs>
        <w:ind w:left="785" w:hanging="360"/>
      </w:pPr>
      <w:rPr>
        <w:rFonts w:hint="default"/>
        <w:strike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22CC1309"/>
    <w:multiLevelType w:val="hybridMultilevel"/>
    <w:tmpl w:val="EFAAD3B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4B2B53"/>
    <w:multiLevelType w:val="hybridMultilevel"/>
    <w:tmpl w:val="EF0C57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F131ADA"/>
    <w:multiLevelType w:val="hybridMultilevel"/>
    <w:tmpl w:val="1D12AA8C"/>
    <w:lvl w:ilvl="0" w:tplc="2900713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F14923"/>
    <w:multiLevelType w:val="multilevel"/>
    <w:tmpl w:val="276848E2"/>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3AA47783"/>
    <w:multiLevelType w:val="multilevel"/>
    <w:tmpl w:val="6A2EC252"/>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3B7C47C3"/>
    <w:multiLevelType w:val="hybridMultilevel"/>
    <w:tmpl w:val="78024FE4"/>
    <w:lvl w:ilvl="0" w:tplc="04150017">
      <w:start w:val="1"/>
      <w:numFmt w:val="lowerLetter"/>
      <w:lvlText w:val="%1)"/>
      <w:lvlJc w:val="left"/>
      <w:pPr>
        <w:ind w:left="1741" w:hanging="360"/>
      </w:pPr>
    </w:lvl>
    <w:lvl w:ilvl="1" w:tplc="04150019" w:tentative="1">
      <w:start w:val="1"/>
      <w:numFmt w:val="lowerLetter"/>
      <w:lvlText w:val="%2."/>
      <w:lvlJc w:val="left"/>
      <w:pPr>
        <w:ind w:left="2461" w:hanging="360"/>
      </w:pPr>
    </w:lvl>
    <w:lvl w:ilvl="2" w:tplc="0415001B" w:tentative="1">
      <w:start w:val="1"/>
      <w:numFmt w:val="lowerRoman"/>
      <w:lvlText w:val="%3."/>
      <w:lvlJc w:val="right"/>
      <w:pPr>
        <w:ind w:left="3181" w:hanging="180"/>
      </w:pPr>
    </w:lvl>
    <w:lvl w:ilvl="3" w:tplc="0415000F" w:tentative="1">
      <w:start w:val="1"/>
      <w:numFmt w:val="decimal"/>
      <w:lvlText w:val="%4."/>
      <w:lvlJc w:val="left"/>
      <w:pPr>
        <w:ind w:left="3901" w:hanging="360"/>
      </w:pPr>
    </w:lvl>
    <w:lvl w:ilvl="4" w:tplc="04150019" w:tentative="1">
      <w:start w:val="1"/>
      <w:numFmt w:val="lowerLetter"/>
      <w:lvlText w:val="%5."/>
      <w:lvlJc w:val="left"/>
      <w:pPr>
        <w:ind w:left="4621" w:hanging="360"/>
      </w:pPr>
    </w:lvl>
    <w:lvl w:ilvl="5" w:tplc="0415001B" w:tentative="1">
      <w:start w:val="1"/>
      <w:numFmt w:val="lowerRoman"/>
      <w:lvlText w:val="%6."/>
      <w:lvlJc w:val="right"/>
      <w:pPr>
        <w:ind w:left="5341" w:hanging="180"/>
      </w:pPr>
    </w:lvl>
    <w:lvl w:ilvl="6" w:tplc="0415000F" w:tentative="1">
      <w:start w:val="1"/>
      <w:numFmt w:val="decimal"/>
      <w:lvlText w:val="%7."/>
      <w:lvlJc w:val="left"/>
      <w:pPr>
        <w:ind w:left="6061" w:hanging="360"/>
      </w:pPr>
    </w:lvl>
    <w:lvl w:ilvl="7" w:tplc="04150019" w:tentative="1">
      <w:start w:val="1"/>
      <w:numFmt w:val="lowerLetter"/>
      <w:lvlText w:val="%8."/>
      <w:lvlJc w:val="left"/>
      <w:pPr>
        <w:ind w:left="6781" w:hanging="360"/>
      </w:pPr>
    </w:lvl>
    <w:lvl w:ilvl="8" w:tplc="0415001B" w:tentative="1">
      <w:start w:val="1"/>
      <w:numFmt w:val="lowerRoman"/>
      <w:lvlText w:val="%9."/>
      <w:lvlJc w:val="right"/>
      <w:pPr>
        <w:ind w:left="7501" w:hanging="180"/>
      </w:pPr>
    </w:lvl>
  </w:abstractNum>
  <w:abstractNum w:abstractNumId="13" w15:restartNumberingAfterBreak="0">
    <w:nsid w:val="3E2C53A9"/>
    <w:multiLevelType w:val="hybridMultilevel"/>
    <w:tmpl w:val="8F76221A"/>
    <w:lvl w:ilvl="0" w:tplc="04150011">
      <w:start w:val="1"/>
      <w:numFmt w:val="decimal"/>
      <w:lvlText w:val="%1)"/>
      <w:lvlJc w:val="left"/>
      <w:pPr>
        <w:ind w:left="1230" w:hanging="360"/>
      </w:pPr>
      <w:rPr>
        <w:rFonts w:hint="default"/>
      </w:rPr>
    </w:lvl>
    <w:lvl w:ilvl="1" w:tplc="04150019" w:tentative="1">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14" w15:restartNumberingAfterBreak="0">
    <w:nsid w:val="3FF6792D"/>
    <w:multiLevelType w:val="multilevel"/>
    <w:tmpl w:val="1D34D42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40DC72EB"/>
    <w:multiLevelType w:val="hybridMultilevel"/>
    <w:tmpl w:val="78024FE4"/>
    <w:lvl w:ilvl="0" w:tplc="FFFFFFFF">
      <w:start w:val="1"/>
      <w:numFmt w:val="lowerLetter"/>
      <w:lvlText w:val="%1)"/>
      <w:lvlJc w:val="left"/>
      <w:pPr>
        <w:ind w:left="1741" w:hanging="360"/>
      </w:pPr>
    </w:lvl>
    <w:lvl w:ilvl="1" w:tplc="FFFFFFFF" w:tentative="1">
      <w:start w:val="1"/>
      <w:numFmt w:val="lowerLetter"/>
      <w:lvlText w:val="%2."/>
      <w:lvlJc w:val="left"/>
      <w:pPr>
        <w:ind w:left="2461" w:hanging="360"/>
      </w:pPr>
    </w:lvl>
    <w:lvl w:ilvl="2" w:tplc="FFFFFFFF" w:tentative="1">
      <w:start w:val="1"/>
      <w:numFmt w:val="lowerRoman"/>
      <w:lvlText w:val="%3."/>
      <w:lvlJc w:val="right"/>
      <w:pPr>
        <w:ind w:left="3181" w:hanging="180"/>
      </w:pPr>
    </w:lvl>
    <w:lvl w:ilvl="3" w:tplc="FFFFFFFF" w:tentative="1">
      <w:start w:val="1"/>
      <w:numFmt w:val="decimal"/>
      <w:lvlText w:val="%4."/>
      <w:lvlJc w:val="left"/>
      <w:pPr>
        <w:ind w:left="3901" w:hanging="360"/>
      </w:pPr>
    </w:lvl>
    <w:lvl w:ilvl="4" w:tplc="FFFFFFFF" w:tentative="1">
      <w:start w:val="1"/>
      <w:numFmt w:val="lowerLetter"/>
      <w:lvlText w:val="%5."/>
      <w:lvlJc w:val="left"/>
      <w:pPr>
        <w:ind w:left="4621" w:hanging="360"/>
      </w:pPr>
    </w:lvl>
    <w:lvl w:ilvl="5" w:tplc="FFFFFFFF" w:tentative="1">
      <w:start w:val="1"/>
      <w:numFmt w:val="lowerRoman"/>
      <w:lvlText w:val="%6."/>
      <w:lvlJc w:val="right"/>
      <w:pPr>
        <w:ind w:left="5341" w:hanging="180"/>
      </w:pPr>
    </w:lvl>
    <w:lvl w:ilvl="6" w:tplc="FFFFFFFF" w:tentative="1">
      <w:start w:val="1"/>
      <w:numFmt w:val="decimal"/>
      <w:lvlText w:val="%7."/>
      <w:lvlJc w:val="left"/>
      <w:pPr>
        <w:ind w:left="6061" w:hanging="360"/>
      </w:pPr>
    </w:lvl>
    <w:lvl w:ilvl="7" w:tplc="FFFFFFFF" w:tentative="1">
      <w:start w:val="1"/>
      <w:numFmt w:val="lowerLetter"/>
      <w:lvlText w:val="%8."/>
      <w:lvlJc w:val="left"/>
      <w:pPr>
        <w:ind w:left="6781" w:hanging="360"/>
      </w:pPr>
    </w:lvl>
    <w:lvl w:ilvl="8" w:tplc="FFFFFFFF" w:tentative="1">
      <w:start w:val="1"/>
      <w:numFmt w:val="lowerRoman"/>
      <w:lvlText w:val="%9."/>
      <w:lvlJc w:val="right"/>
      <w:pPr>
        <w:ind w:left="7501" w:hanging="180"/>
      </w:pPr>
    </w:lvl>
  </w:abstractNum>
  <w:abstractNum w:abstractNumId="16" w15:restartNumberingAfterBreak="0">
    <w:nsid w:val="41C721A4"/>
    <w:multiLevelType w:val="multilevel"/>
    <w:tmpl w:val="5F70E5A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42EA4B01"/>
    <w:multiLevelType w:val="multilevel"/>
    <w:tmpl w:val="6080911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43E84B86"/>
    <w:multiLevelType w:val="hybridMultilevel"/>
    <w:tmpl w:val="11B24B52"/>
    <w:lvl w:ilvl="0" w:tplc="A56EE2B6">
      <w:start w:val="1"/>
      <w:numFmt w:val="decimal"/>
      <w:lvlText w:val="%1)"/>
      <w:lvlJc w:val="left"/>
      <w:pPr>
        <w:ind w:left="1380" w:hanging="360"/>
      </w:pPr>
    </w:lvl>
    <w:lvl w:ilvl="1" w:tplc="04150019">
      <w:start w:val="1"/>
      <w:numFmt w:val="lowerLetter"/>
      <w:lvlText w:val="%2."/>
      <w:lvlJc w:val="left"/>
      <w:pPr>
        <w:ind w:left="2100" w:hanging="360"/>
      </w:pPr>
    </w:lvl>
    <w:lvl w:ilvl="2" w:tplc="0415001B">
      <w:start w:val="1"/>
      <w:numFmt w:val="lowerRoman"/>
      <w:lvlText w:val="%3."/>
      <w:lvlJc w:val="right"/>
      <w:pPr>
        <w:ind w:left="2820" w:hanging="180"/>
      </w:pPr>
    </w:lvl>
    <w:lvl w:ilvl="3" w:tplc="0415000F">
      <w:start w:val="1"/>
      <w:numFmt w:val="decimal"/>
      <w:lvlText w:val="%4."/>
      <w:lvlJc w:val="left"/>
      <w:pPr>
        <w:ind w:left="3540" w:hanging="360"/>
      </w:pPr>
    </w:lvl>
    <w:lvl w:ilvl="4" w:tplc="04150019">
      <w:start w:val="1"/>
      <w:numFmt w:val="lowerLetter"/>
      <w:lvlText w:val="%5."/>
      <w:lvlJc w:val="left"/>
      <w:pPr>
        <w:ind w:left="4260" w:hanging="360"/>
      </w:pPr>
    </w:lvl>
    <w:lvl w:ilvl="5" w:tplc="0415001B">
      <w:start w:val="1"/>
      <w:numFmt w:val="lowerRoman"/>
      <w:lvlText w:val="%6."/>
      <w:lvlJc w:val="right"/>
      <w:pPr>
        <w:ind w:left="4980" w:hanging="180"/>
      </w:pPr>
    </w:lvl>
    <w:lvl w:ilvl="6" w:tplc="0415000F">
      <w:start w:val="1"/>
      <w:numFmt w:val="decimal"/>
      <w:lvlText w:val="%7."/>
      <w:lvlJc w:val="left"/>
      <w:pPr>
        <w:ind w:left="5700" w:hanging="360"/>
      </w:pPr>
    </w:lvl>
    <w:lvl w:ilvl="7" w:tplc="04150019">
      <w:start w:val="1"/>
      <w:numFmt w:val="lowerLetter"/>
      <w:lvlText w:val="%8."/>
      <w:lvlJc w:val="left"/>
      <w:pPr>
        <w:ind w:left="6420" w:hanging="360"/>
      </w:pPr>
    </w:lvl>
    <w:lvl w:ilvl="8" w:tplc="0415001B">
      <w:start w:val="1"/>
      <w:numFmt w:val="lowerRoman"/>
      <w:lvlText w:val="%9."/>
      <w:lvlJc w:val="right"/>
      <w:pPr>
        <w:ind w:left="7140" w:hanging="180"/>
      </w:pPr>
    </w:lvl>
  </w:abstractNum>
  <w:abstractNum w:abstractNumId="19" w15:restartNumberingAfterBreak="0">
    <w:nsid w:val="4A5D1C4E"/>
    <w:multiLevelType w:val="hybridMultilevel"/>
    <w:tmpl w:val="6B7A819E"/>
    <w:lvl w:ilvl="0" w:tplc="862A8BB6">
      <w:start w:val="2"/>
      <w:numFmt w:val="decimal"/>
      <w:lvlText w:val="%1."/>
      <w:lvlJc w:val="left"/>
      <w:pPr>
        <w:ind w:left="1380" w:hanging="360"/>
      </w:pPr>
      <w:rPr>
        <w:rFonts w:hint="default"/>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20" w15:restartNumberingAfterBreak="0">
    <w:nsid w:val="5B354357"/>
    <w:multiLevelType w:val="hybridMultilevel"/>
    <w:tmpl w:val="2020EC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E5B05C3"/>
    <w:multiLevelType w:val="multilevel"/>
    <w:tmpl w:val="BCBAA8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01133B4"/>
    <w:multiLevelType w:val="hybridMultilevel"/>
    <w:tmpl w:val="96C47E90"/>
    <w:lvl w:ilvl="0" w:tplc="A86E26BE">
      <w:start w:val="1"/>
      <w:numFmt w:val="decimal"/>
      <w:lvlText w:val="%1)"/>
      <w:lvlJc w:val="left"/>
      <w:pPr>
        <w:ind w:left="1230" w:hanging="360"/>
      </w:pPr>
      <w:rPr>
        <w:rFonts w:hint="default"/>
      </w:rPr>
    </w:lvl>
    <w:lvl w:ilvl="1" w:tplc="04150019" w:tentative="1">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23" w15:restartNumberingAfterBreak="0">
    <w:nsid w:val="61C06039"/>
    <w:multiLevelType w:val="multilevel"/>
    <w:tmpl w:val="ECB44378"/>
    <w:lvl w:ilvl="0">
      <w:start w:val="1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62A801B7"/>
    <w:multiLevelType w:val="hybridMultilevel"/>
    <w:tmpl w:val="5D5CEF56"/>
    <w:lvl w:ilvl="0" w:tplc="BA0E4AA8">
      <w:start w:val="1"/>
      <w:numFmt w:val="decimal"/>
      <w:lvlText w:val="%1)"/>
      <w:lvlJc w:val="left"/>
      <w:pPr>
        <w:ind w:left="1380" w:hanging="360"/>
      </w:pPr>
      <w:rPr>
        <w:rFonts w:hint="default"/>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25" w15:restartNumberingAfterBreak="0">
    <w:nsid w:val="644D26DD"/>
    <w:multiLevelType w:val="hybridMultilevel"/>
    <w:tmpl w:val="55B693A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6C6B085C"/>
    <w:multiLevelType w:val="multilevel"/>
    <w:tmpl w:val="E4F8B2B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7A5B3D09"/>
    <w:multiLevelType w:val="hybridMultilevel"/>
    <w:tmpl w:val="841219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AF43242"/>
    <w:multiLevelType w:val="hybridMultilevel"/>
    <w:tmpl w:val="5A480E5A"/>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F361660"/>
    <w:multiLevelType w:val="hybridMultilevel"/>
    <w:tmpl w:val="4C20D5BE"/>
    <w:lvl w:ilvl="0" w:tplc="04150011">
      <w:start w:val="1"/>
      <w:numFmt w:val="decimal"/>
      <w:lvlText w:val="%1)"/>
      <w:lvlJc w:val="left"/>
      <w:pPr>
        <w:ind w:left="1230" w:hanging="360"/>
      </w:pPr>
    </w:lvl>
    <w:lvl w:ilvl="1" w:tplc="04150019" w:tentative="1">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num w:numId="1" w16cid:durableId="979774768">
    <w:abstractNumId w:val="8"/>
  </w:num>
  <w:num w:numId="2" w16cid:durableId="19505805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29409232">
    <w:abstractNumId w:val="12"/>
  </w:num>
  <w:num w:numId="4" w16cid:durableId="1617369831">
    <w:abstractNumId w:val="29"/>
  </w:num>
  <w:num w:numId="5" w16cid:durableId="441997637">
    <w:abstractNumId w:val="22"/>
  </w:num>
  <w:num w:numId="6" w16cid:durableId="88702729">
    <w:abstractNumId w:val="13"/>
  </w:num>
  <w:num w:numId="7" w16cid:durableId="1069573670">
    <w:abstractNumId w:val="19"/>
  </w:num>
  <w:num w:numId="8" w16cid:durableId="1027949531">
    <w:abstractNumId w:val="21"/>
  </w:num>
  <w:num w:numId="9" w16cid:durableId="2076928692">
    <w:abstractNumId w:val="24"/>
  </w:num>
  <w:num w:numId="10" w16cid:durableId="1281493132">
    <w:abstractNumId w:val="3"/>
  </w:num>
  <w:num w:numId="11" w16cid:durableId="1558973678">
    <w:abstractNumId w:val="1"/>
  </w:num>
  <w:num w:numId="12" w16cid:durableId="1542131919">
    <w:abstractNumId w:val="27"/>
  </w:num>
  <w:num w:numId="13" w16cid:durableId="1589188968">
    <w:abstractNumId w:val="28"/>
  </w:num>
  <w:num w:numId="14" w16cid:durableId="312951332">
    <w:abstractNumId w:val="0"/>
  </w:num>
  <w:num w:numId="15" w16cid:durableId="761688338">
    <w:abstractNumId w:val="15"/>
  </w:num>
  <w:num w:numId="16" w16cid:durableId="1854879952">
    <w:abstractNumId w:val="2"/>
  </w:num>
  <w:num w:numId="17" w16cid:durableId="269825489">
    <w:abstractNumId w:val="5"/>
  </w:num>
  <w:num w:numId="18" w16cid:durableId="1835562660">
    <w:abstractNumId w:val="16"/>
  </w:num>
  <w:num w:numId="19" w16cid:durableId="1863856655">
    <w:abstractNumId w:val="23"/>
  </w:num>
  <w:num w:numId="20" w16cid:durableId="2130123838">
    <w:abstractNumId w:val="17"/>
  </w:num>
  <w:num w:numId="21" w16cid:durableId="1595169078">
    <w:abstractNumId w:val="7"/>
  </w:num>
  <w:num w:numId="22" w16cid:durableId="1332105642">
    <w:abstractNumId w:val="25"/>
  </w:num>
  <w:num w:numId="23" w16cid:durableId="1508901834">
    <w:abstractNumId w:val="20"/>
  </w:num>
  <w:num w:numId="24" w16cid:durableId="431710635">
    <w:abstractNumId w:val="11"/>
  </w:num>
  <w:num w:numId="25" w16cid:durableId="307368575">
    <w:abstractNumId w:val="6"/>
  </w:num>
  <w:num w:numId="26" w16cid:durableId="1337152602">
    <w:abstractNumId w:val="4"/>
  </w:num>
  <w:num w:numId="27" w16cid:durableId="369307595">
    <w:abstractNumId w:val="14"/>
  </w:num>
  <w:num w:numId="28" w16cid:durableId="878857211">
    <w:abstractNumId w:val="10"/>
  </w:num>
  <w:num w:numId="29" w16cid:durableId="1788888768">
    <w:abstractNumId w:val="9"/>
  </w:num>
  <w:num w:numId="30" w16cid:durableId="97723152">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76B"/>
    <w:rsid w:val="00005689"/>
    <w:rsid w:val="0000739B"/>
    <w:rsid w:val="00007C66"/>
    <w:rsid w:val="00017B2E"/>
    <w:rsid w:val="00024DAA"/>
    <w:rsid w:val="0002696F"/>
    <w:rsid w:val="0003468C"/>
    <w:rsid w:val="00036097"/>
    <w:rsid w:val="000374DC"/>
    <w:rsid w:val="00042688"/>
    <w:rsid w:val="000449E7"/>
    <w:rsid w:val="00050979"/>
    <w:rsid w:val="00050C4A"/>
    <w:rsid w:val="00052CF2"/>
    <w:rsid w:val="0005306A"/>
    <w:rsid w:val="00053309"/>
    <w:rsid w:val="00054FF7"/>
    <w:rsid w:val="0006044B"/>
    <w:rsid w:val="00061A93"/>
    <w:rsid w:val="000700F5"/>
    <w:rsid w:val="00070826"/>
    <w:rsid w:val="00074CD7"/>
    <w:rsid w:val="0007525D"/>
    <w:rsid w:val="000827FD"/>
    <w:rsid w:val="000834F5"/>
    <w:rsid w:val="00083A2A"/>
    <w:rsid w:val="00084B5D"/>
    <w:rsid w:val="0008777B"/>
    <w:rsid w:val="00093424"/>
    <w:rsid w:val="000A0E57"/>
    <w:rsid w:val="000A2BF6"/>
    <w:rsid w:val="000C5A7F"/>
    <w:rsid w:val="000D0EF8"/>
    <w:rsid w:val="000D3759"/>
    <w:rsid w:val="000E3D98"/>
    <w:rsid w:val="000E7566"/>
    <w:rsid w:val="000F18C1"/>
    <w:rsid w:val="000F51F3"/>
    <w:rsid w:val="000F7A65"/>
    <w:rsid w:val="001038FF"/>
    <w:rsid w:val="001039D3"/>
    <w:rsid w:val="00106E54"/>
    <w:rsid w:val="00111D3A"/>
    <w:rsid w:val="00115430"/>
    <w:rsid w:val="00122F5F"/>
    <w:rsid w:val="00123425"/>
    <w:rsid w:val="00124E3A"/>
    <w:rsid w:val="00125345"/>
    <w:rsid w:val="0012777B"/>
    <w:rsid w:val="00134D2C"/>
    <w:rsid w:val="00134E54"/>
    <w:rsid w:val="00135370"/>
    <w:rsid w:val="00135990"/>
    <w:rsid w:val="00136F22"/>
    <w:rsid w:val="00142E88"/>
    <w:rsid w:val="00144662"/>
    <w:rsid w:val="00145342"/>
    <w:rsid w:val="00146326"/>
    <w:rsid w:val="00151C04"/>
    <w:rsid w:val="00152DAA"/>
    <w:rsid w:val="00154971"/>
    <w:rsid w:val="0016137D"/>
    <w:rsid w:val="00164ACC"/>
    <w:rsid w:val="001718C3"/>
    <w:rsid w:val="0017241D"/>
    <w:rsid w:val="0017284B"/>
    <w:rsid w:val="00172A0D"/>
    <w:rsid w:val="00181FA2"/>
    <w:rsid w:val="00184C37"/>
    <w:rsid w:val="0018668E"/>
    <w:rsid w:val="00191BF4"/>
    <w:rsid w:val="00191FD1"/>
    <w:rsid w:val="00192F82"/>
    <w:rsid w:val="00195A86"/>
    <w:rsid w:val="001A3487"/>
    <w:rsid w:val="001B19A7"/>
    <w:rsid w:val="001B27EE"/>
    <w:rsid w:val="001B6793"/>
    <w:rsid w:val="001C10BA"/>
    <w:rsid w:val="001D4EE5"/>
    <w:rsid w:val="001E1AF0"/>
    <w:rsid w:val="001E761A"/>
    <w:rsid w:val="001F12A1"/>
    <w:rsid w:val="001F7375"/>
    <w:rsid w:val="0020112C"/>
    <w:rsid w:val="00203FE3"/>
    <w:rsid w:val="002065A6"/>
    <w:rsid w:val="00206F7A"/>
    <w:rsid w:val="002107C5"/>
    <w:rsid w:val="0021175B"/>
    <w:rsid w:val="00223545"/>
    <w:rsid w:val="00225845"/>
    <w:rsid w:val="00226C88"/>
    <w:rsid w:val="00226CB0"/>
    <w:rsid w:val="002307C6"/>
    <w:rsid w:val="002350F3"/>
    <w:rsid w:val="00236864"/>
    <w:rsid w:val="002374F3"/>
    <w:rsid w:val="00242161"/>
    <w:rsid w:val="0024277B"/>
    <w:rsid w:val="00251546"/>
    <w:rsid w:val="00260366"/>
    <w:rsid w:val="0026295F"/>
    <w:rsid w:val="00270004"/>
    <w:rsid w:val="00283AAE"/>
    <w:rsid w:val="002847CA"/>
    <w:rsid w:val="00293652"/>
    <w:rsid w:val="002964B4"/>
    <w:rsid w:val="002A43B0"/>
    <w:rsid w:val="002A62CF"/>
    <w:rsid w:val="002A6445"/>
    <w:rsid w:val="002A6DA0"/>
    <w:rsid w:val="002B071E"/>
    <w:rsid w:val="002B0C7B"/>
    <w:rsid w:val="002B36B0"/>
    <w:rsid w:val="002B3B53"/>
    <w:rsid w:val="002B556B"/>
    <w:rsid w:val="002B5B3B"/>
    <w:rsid w:val="002C6CE0"/>
    <w:rsid w:val="002D29CF"/>
    <w:rsid w:val="002D3099"/>
    <w:rsid w:val="002D533C"/>
    <w:rsid w:val="002D5DFD"/>
    <w:rsid w:val="002E0A41"/>
    <w:rsid w:val="002E281E"/>
    <w:rsid w:val="002F6312"/>
    <w:rsid w:val="003013C2"/>
    <w:rsid w:val="00301DA0"/>
    <w:rsid w:val="00302BD5"/>
    <w:rsid w:val="003030FB"/>
    <w:rsid w:val="00310AB7"/>
    <w:rsid w:val="00313470"/>
    <w:rsid w:val="003142F0"/>
    <w:rsid w:val="0031526A"/>
    <w:rsid w:val="003159FA"/>
    <w:rsid w:val="00317E0B"/>
    <w:rsid w:val="00322580"/>
    <w:rsid w:val="00324BE7"/>
    <w:rsid w:val="00326860"/>
    <w:rsid w:val="00333E53"/>
    <w:rsid w:val="003352A1"/>
    <w:rsid w:val="00335FFF"/>
    <w:rsid w:val="003421E2"/>
    <w:rsid w:val="00343736"/>
    <w:rsid w:val="00344C09"/>
    <w:rsid w:val="003507B4"/>
    <w:rsid w:val="003524ED"/>
    <w:rsid w:val="003555D3"/>
    <w:rsid w:val="00367D70"/>
    <w:rsid w:val="00370380"/>
    <w:rsid w:val="00377B6C"/>
    <w:rsid w:val="00380289"/>
    <w:rsid w:val="00380879"/>
    <w:rsid w:val="00380CC8"/>
    <w:rsid w:val="003838FB"/>
    <w:rsid w:val="00391B25"/>
    <w:rsid w:val="003A56F3"/>
    <w:rsid w:val="003A7971"/>
    <w:rsid w:val="003B5DF8"/>
    <w:rsid w:val="003B5FE3"/>
    <w:rsid w:val="003B6ED9"/>
    <w:rsid w:val="003C2855"/>
    <w:rsid w:val="003D0600"/>
    <w:rsid w:val="003D353F"/>
    <w:rsid w:val="003D3975"/>
    <w:rsid w:val="003D52F1"/>
    <w:rsid w:val="003E518F"/>
    <w:rsid w:val="003E666F"/>
    <w:rsid w:val="003F21CD"/>
    <w:rsid w:val="003F3F7B"/>
    <w:rsid w:val="003F718E"/>
    <w:rsid w:val="00401613"/>
    <w:rsid w:val="00401A1A"/>
    <w:rsid w:val="00407FE6"/>
    <w:rsid w:val="00411881"/>
    <w:rsid w:val="00412C55"/>
    <w:rsid w:val="004224CA"/>
    <w:rsid w:val="00424308"/>
    <w:rsid w:val="004331BD"/>
    <w:rsid w:val="00433289"/>
    <w:rsid w:val="00433624"/>
    <w:rsid w:val="00434F8E"/>
    <w:rsid w:val="00442845"/>
    <w:rsid w:val="0044438E"/>
    <w:rsid w:val="0045323D"/>
    <w:rsid w:val="004550A7"/>
    <w:rsid w:val="00455270"/>
    <w:rsid w:val="00457712"/>
    <w:rsid w:val="004611F5"/>
    <w:rsid w:val="0046744D"/>
    <w:rsid w:val="00467E24"/>
    <w:rsid w:val="00471F40"/>
    <w:rsid w:val="00476469"/>
    <w:rsid w:val="00476E4F"/>
    <w:rsid w:val="00477559"/>
    <w:rsid w:val="00481210"/>
    <w:rsid w:val="00481AEB"/>
    <w:rsid w:val="00493620"/>
    <w:rsid w:val="00496ABF"/>
    <w:rsid w:val="00497C3C"/>
    <w:rsid w:val="004A0BDC"/>
    <w:rsid w:val="004A3854"/>
    <w:rsid w:val="004A43AF"/>
    <w:rsid w:val="004A5F4B"/>
    <w:rsid w:val="004A6CA6"/>
    <w:rsid w:val="004A7E1E"/>
    <w:rsid w:val="004B2F3E"/>
    <w:rsid w:val="004C51AC"/>
    <w:rsid w:val="004C58F1"/>
    <w:rsid w:val="004C6925"/>
    <w:rsid w:val="004E3410"/>
    <w:rsid w:val="004F1DD9"/>
    <w:rsid w:val="004F2BA1"/>
    <w:rsid w:val="004F31AC"/>
    <w:rsid w:val="004F4113"/>
    <w:rsid w:val="004F4571"/>
    <w:rsid w:val="00503B58"/>
    <w:rsid w:val="00503C0D"/>
    <w:rsid w:val="0051186D"/>
    <w:rsid w:val="00511B14"/>
    <w:rsid w:val="005127DF"/>
    <w:rsid w:val="0051456F"/>
    <w:rsid w:val="00522006"/>
    <w:rsid w:val="005231CA"/>
    <w:rsid w:val="00523398"/>
    <w:rsid w:val="00527707"/>
    <w:rsid w:val="00527FC0"/>
    <w:rsid w:val="00530FB8"/>
    <w:rsid w:val="00542A2F"/>
    <w:rsid w:val="005435E2"/>
    <w:rsid w:val="00551053"/>
    <w:rsid w:val="00552A2E"/>
    <w:rsid w:val="005547F0"/>
    <w:rsid w:val="00554F28"/>
    <w:rsid w:val="00555375"/>
    <w:rsid w:val="0056045F"/>
    <w:rsid w:val="00561102"/>
    <w:rsid w:val="00563A20"/>
    <w:rsid w:val="00563C80"/>
    <w:rsid w:val="00565B65"/>
    <w:rsid w:val="00574A20"/>
    <w:rsid w:val="005770B3"/>
    <w:rsid w:val="005810CF"/>
    <w:rsid w:val="00584E89"/>
    <w:rsid w:val="005A17CB"/>
    <w:rsid w:val="005A6DA0"/>
    <w:rsid w:val="005B1761"/>
    <w:rsid w:val="005B4A8B"/>
    <w:rsid w:val="005C0A1A"/>
    <w:rsid w:val="005C3232"/>
    <w:rsid w:val="005C6625"/>
    <w:rsid w:val="005D3112"/>
    <w:rsid w:val="005D7751"/>
    <w:rsid w:val="005E0F91"/>
    <w:rsid w:val="005E0F9D"/>
    <w:rsid w:val="005E74D5"/>
    <w:rsid w:val="005F0913"/>
    <w:rsid w:val="00600389"/>
    <w:rsid w:val="006015EB"/>
    <w:rsid w:val="00610386"/>
    <w:rsid w:val="0063096F"/>
    <w:rsid w:val="006316E1"/>
    <w:rsid w:val="00633484"/>
    <w:rsid w:val="006346C6"/>
    <w:rsid w:val="00637077"/>
    <w:rsid w:val="00637A6A"/>
    <w:rsid w:val="006407A4"/>
    <w:rsid w:val="006451A0"/>
    <w:rsid w:val="006458DA"/>
    <w:rsid w:val="006472CF"/>
    <w:rsid w:val="00660BFD"/>
    <w:rsid w:val="00660EC4"/>
    <w:rsid w:val="00662094"/>
    <w:rsid w:val="00665696"/>
    <w:rsid w:val="0067552E"/>
    <w:rsid w:val="00684881"/>
    <w:rsid w:val="006932D3"/>
    <w:rsid w:val="006963E6"/>
    <w:rsid w:val="0069736B"/>
    <w:rsid w:val="00697AD2"/>
    <w:rsid w:val="006A0B48"/>
    <w:rsid w:val="006A3643"/>
    <w:rsid w:val="006A576B"/>
    <w:rsid w:val="006A60A5"/>
    <w:rsid w:val="006B275F"/>
    <w:rsid w:val="006B435D"/>
    <w:rsid w:val="006C28A3"/>
    <w:rsid w:val="006C2FDC"/>
    <w:rsid w:val="006C3486"/>
    <w:rsid w:val="006C73FB"/>
    <w:rsid w:val="006D3B83"/>
    <w:rsid w:val="006D6C18"/>
    <w:rsid w:val="006D6ECC"/>
    <w:rsid w:val="006E2CEA"/>
    <w:rsid w:val="006F07F2"/>
    <w:rsid w:val="006F55E5"/>
    <w:rsid w:val="006F769E"/>
    <w:rsid w:val="00703BF5"/>
    <w:rsid w:val="007040FD"/>
    <w:rsid w:val="00704149"/>
    <w:rsid w:val="00706BD5"/>
    <w:rsid w:val="00712445"/>
    <w:rsid w:val="007146C6"/>
    <w:rsid w:val="0071646A"/>
    <w:rsid w:val="00716532"/>
    <w:rsid w:val="00722B4C"/>
    <w:rsid w:val="007237BA"/>
    <w:rsid w:val="00725FE2"/>
    <w:rsid w:val="007361A0"/>
    <w:rsid w:val="0074230D"/>
    <w:rsid w:val="00743752"/>
    <w:rsid w:val="00745596"/>
    <w:rsid w:val="007468CC"/>
    <w:rsid w:val="0075075F"/>
    <w:rsid w:val="007551F6"/>
    <w:rsid w:val="00762972"/>
    <w:rsid w:val="00764B7B"/>
    <w:rsid w:val="007702C5"/>
    <w:rsid w:val="00776F54"/>
    <w:rsid w:val="00777DE4"/>
    <w:rsid w:val="0078051F"/>
    <w:rsid w:val="0078076B"/>
    <w:rsid w:val="00781078"/>
    <w:rsid w:val="007830F3"/>
    <w:rsid w:val="00783BAE"/>
    <w:rsid w:val="00785D10"/>
    <w:rsid w:val="00791509"/>
    <w:rsid w:val="0079299E"/>
    <w:rsid w:val="00792F7D"/>
    <w:rsid w:val="00793C31"/>
    <w:rsid w:val="007944AE"/>
    <w:rsid w:val="007A584D"/>
    <w:rsid w:val="007A610C"/>
    <w:rsid w:val="007A6357"/>
    <w:rsid w:val="007A7569"/>
    <w:rsid w:val="007B2720"/>
    <w:rsid w:val="007C14E9"/>
    <w:rsid w:val="007C1717"/>
    <w:rsid w:val="007C1BB0"/>
    <w:rsid w:val="007C30F2"/>
    <w:rsid w:val="007C34BF"/>
    <w:rsid w:val="007C4E70"/>
    <w:rsid w:val="007D1F09"/>
    <w:rsid w:val="007E23C4"/>
    <w:rsid w:val="007E2774"/>
    <w:rsid w:val="007E2A2B"/>
    <w:rsid w:val="007F04C5"/>
    <w:rsid w:val="007F2DD1"/>
    <w:rsid w:val="007F324E"/>
    <w:rsid w:val="007F34A6"/>
    <w:rsid w:val="007F471C"/>
    <w:rsid w:val="007F6DD5"/>
    <w:rsid w:val="00801F27"/>
    <w:rsid w:val="00801FB4"/>
    <w:rsid w:val="0080298D"/>
    <w:rsid w:val="008031F8"/>
    <w:rsid w:val="00804F0D"/>
    <w:rsid w:val="008052FA"/>
    <w:rsid w:val="008105DB"/>
    <w:rsid w:val="00812C35"/>
    <w:rsid w:val="00820972"/>
    <w:rsid w:val="00820AC3"/>
    <w:rsid w:val="00821799"/>
    <w:rsid w:val="00822807"/>
    <w:rsid w:val="00823429"/>
    <w:rsid w:val="0082708E"/>
    <w:rsid w:val="00830EDD"/>
    <w:rsid w:val="00831B0C"/>
    <w:rsid w:val="008339E5"/>
    <w:rsid w:val="00834262"/>
    <w:rsid w:val="00836411"/>
    <w:rsid w:val="00836EEE"/>
    <w:rsid w:val="00843A35"/>
    <w:rsid w:val="00843C9A"/>
    <w:rsid w:val="008512E9"/>
    <w:rsid w:val="008518E2"/>
    <w:rsid w:val="00865686"/>
    <w:rsid w:val="00867D78"/>
    <w:rsid w:val="00867E6A"/>
    <w:rsid w:val="008701F4"/>
    <w:rsid w:val="00870203"/>
    <w:rsid w:val="00872786"/>
    <w:rsid w:val="00876AC2"/>
    <w:rsid w:val="00880AED"/>
    <w:rsid w:val="008921F8"/>
    <w:rsid w:val="008925D1"/>
    <w:rsid w:val="00893A7B"/>
    <w:rsid w:val="00895843"/>
    <w:rsid w:val="008A1CA3"/>
    <w:rsid w:val="008A395E"/>
    <w:rsid w:val="008A6AB2"/>
    <w:rsid w:val="008B272E"/>
    <w:rsid w:val="008B3533"/>
    <w:rsid w:val="008B3EC8"/>
    <w:rsid w:val="008B3F26"/>
    <w:rsid w:val="008B6F60"/>
    <w:rsid w:val="008C0BEC"/>
    <w:rsid w:val="008C31AE"/>
    <w:rsid w:val="008C3776"/>
    <w:rsid w:val="008C4C8B"/>
    <w:rsid w:val="008C65E4"/>
    <w:rsid w:val="008D2BE4"/>
    <w:rsid w:val="008D6689"/>
    <w:rsid w:val="008E203E"/>
    <w:rsid w:val="008E5B89"/>
    <w:rsid w:val="008E6196"/>
    <w:rsid w:val="008F21EC"/>
    <w:rsid w:val="008F7149"/>
    <w:rsid w:val="00900665"/>
    <w:rsid w:val="009058CE"/>
    <w:rsid w:val="00905D02"/>
    <w:rsid w:val="00905DFE"/>
    <w:rsid w:val="009061AC"/>
    <w:rsid w:val="00907BD7"/>
    <w:rsid w:val="00907C39"/>
    <w:rsid w:val="009148F2"/>
    <w:rsid w:val="00920666"/>
    <w:rsid w:val="00925ECB"/>
    <w:rsid w:val="009269A7"/>
    <w:rsid w:val="009347DE"/>
    <w:rsid w:val="00936B40"/>
    <w:rsid w:val="00951CEF"/>
    <w:rsid w:val="00954746"/>
    <w:rsid w:val="009607F7"/>
    <w:rsid w:val="00960874"/>
    <w:rsid w:val="0096248C"/>
    <w:rsid w:val="0096367B"/>
    <w:rsid w:val="009640A5"/>
    <w:rsid w:val="00964D67"/>
    <w:rsid w:val="00970B8F"/>
    <w:rsid w:val="009720FB"/>
    <w:rsid w:val="0097219F"/>
    <w:rsid w:val="009732DD"/>
    <w:rsid w:val="009777FF"/>
    <w:rsid w:val="009837B2"/>
    <w:rsid w:val="00983FDA"/>
    <w:rsid w:val="0098669A"/>
    <w:rsid w:val="00993707"/>
    <w:rsid w:val="009A3610"/>
    <w:rsid w:val="009B0155"/>
    <w:rsid w:val="009B3477"/>
    <w:rsid w:val="009B4AA5"/>
    <w:rsid w:val="009C29F3"/>
    <w:rsid w:val="009C317A"/>
    <w:rsid w:val="009C7373"/>
    <w:rsid w:val="009C7D74"/>
    <w:rsid w:val="009D055F"/>
    <w:rsid w:val="009D1A90"/>
    <w:rsid w:val="009D4118"/>
    <w:rsid w:val="009D42AD"/>
    <w:rsid w:val="009D5DFC"/>
    <w:rsid w:val="009D65D3"/>
    <w:rsid w:val="009E1768"/>
    <w:rsid w:val="009E2207"/>
    <w:rsid w:val="009E27A8"/>
    <w:rsid w:val="009E6A7C"/>
    <w:rsid w:val="009E79E7"/>
    <w:rsid w:val="009F251F"/>
    <w:rsid w:val="00A1246E"/>
    <w:rsid w:val="00A1268A"/>
    <w:rsid w:val="00A16CEE"/>
    <w:rsid w:val="00A17227"/>
    <w:rsid w:val="00A202EB"/>
    <w:rsid w:val="00A21752"/>
    <w:rsid w:val="00A22C98"/>
    <w:rsid w:val="00A23EB8"/>
    <w:rsid w:val="00A31A6F"/>
    <w:rsid w:val="00A33094"/>
    <w:rsid w:val="00A360B5"/>
    <w:rsid w:val="00A40257"/>
    <w:rsid w:val="00A40560"/>
    <w:rsid w:val="00A434A0"/>
    <w:rsid w:val="00A43A75"/>
    <w:rsid w:val="00A47FBB"/>
    <w:rsid w:val="00A512DD"/>
    <w:rsid w:val="00A51B80"/>
    <w:rsid w:val="00A51D93"/>
    <w:rsid w:val="00A521E9"/>
    <w:rsid w:val="00A54745"/>
    <w:rsid w:val="00A60DA1"/>
    <w:rsid w:val="00A624BF"/>
    <w:rsid w:val="00A63EAC"/>
    <w:rsid w:val="00A647D9"/>
    <w:rsid w:val="00A70066"/>
    <w:rsid w:val="00A703DC"/>
    <w:rsid w:val="00A73CE3"/>
    <w:rsid w:val="00A745EF"/>
    <w:rsid w:val="00A74FC8"/>
    <w:rsid w:val="00A7786B"/>
    <w:rsid w:val="00A82B4D"/>
    <w:rsid w:val="00A83B4E"/>
    <w:rsid w:val="00A85EEE"/>
    <w:rsid w:val="00A906C3"/>
    <w:rsid w:val="00A90AC1"/>
    <w:rsid w:val="00A94E49"/>
    <w:rsid w:val="00A97712"/>
    <w:rsid w:val="00AA0AF9"/>
    <w:rsid w:val="00AA78B9"/>
    <w:rsid w:val="00AB0A60"/>
    <w:rsid w:val="00AB363C"/>
    <w:rsid w:val="00AB6368"/>
    <w:rsid w:val="00AB694F"/>
    <w:rsid w:val="00AC0F30"/>
    <w:rsid w:val="00AD209C"/>
    <w:rsid w:val="00AE2377"/>
    <w:rsid w:val="00AE3CC2"/>
    <w:rsid w:val="00AE505E"/>
    <w:rsid w:val="00AF3B7B"/>
    <w:rsid w:val="00B07869"/>
    <w:rsid w:val="00B13405"/>
    <w:rsid w:val="00B142DD"/>
    <w:rsid w:val="00B21C6E"/>
    <w:rsid w:val="00B26330"/>
    <w:rsid w:val="00B267A5"/>
    <w:rsid w:val="00B26E03"/>
    <w:rsid w:val="00B325F7"/>
    <w:rsid w:val="00B42DF1"/>
    <w:rsid w:val="00B46922"/>
    <w:rsid w:val="00B47D16"/>
    <w:rsid w:val="00B52B5E"/>
    <w:rsid w:val="00B52C69"/>
    <w:rsid w:val="00B56E3D"/>
    <w:rsid w:val="00B61540"/>
    <w:rsid w:val="00B6272F"/>
    <w:rsid w:val="00B714B4"/>
    <w:rsid w:val="00B73E93"/>
    <w:rsid w:val="00B76EF9"/>
    <w:rsid w:val="00B82F57"/>
    <w:rsid w:val="00B858E1"/>
    <w:rsid w:val="00B8766E"/>
    <w:rsid w:val="00B90467"/>
    <w:rsid w:val="00B9050D"/>
    <w:rsid w:val="00B923FC"/>
    <w:rsid w:val="00BB19F1"/>
    <w:rsid w:val="00BB2FC0"/>
    <w:rsid w:val="00BB3FF5"/>
    <w:rsid w:val="00BB4582"/>
    <w:rsid w:val="00BB7881"/>
    <w:rsid w:val="00BC15FA"/>
    <w:rsid w:val="00BC320E"/>
    <w:rsid w:val="00BC37A6"/>
    <w:rsid w:val="00BC7ACD"/>
    <w:rsid w:val="00BC7F8F"/>
    <w:rsid w:val="00BE13D6"/>
    <w:rsid w:val="00BE4726"/>
    <w:rsid w:val="00BE6393"/>
    <w:rsid w:val="00BE665C"/>
    <w:rsid w:val="00BF1D0A"/>
    <w:rsid w:val="00BF650F"/>
    <w:rsid w:val="00C00217"/>
    <w:rsid w:val="00C02D42"/>
    <w:rsid w:val="00C07032"/>
    <w:rsid w:val="00C076E7"/>
    <w:rsid w:val="00C25AC4"/>
    <w:rsid w:val="00C2699F"/>
    <w:rsid w:val="00C31428"/>
    <w:rsid w:val="00C31582"/>
    <w:rsid w:val="00C31722"/>
    <w:rsid w:val="00C32BF3"/>
    <w:rsid w:val="00C33B56"/>
    <w:rsid w:val="00C34FB0"/>
    <w:rsid w:val="00C41F82"/>
    <w:rsid w:val="00C472E8"/>
    <w:rsid w:val="00C543A1"/>
    <w:rsid w:val="00C56EED"/>
    <w:rsid w:val="00C60357"/>
    <w:rsid w:val="00C61BF7"/>
    <w:rsid w:val="00C66D67"/>
    <w:rsid w:val="00C7369A"/>
    <w:rsid w:val="00C74279"/>
    <w:rsid w:val="00C81277"/>
    <w:rsid w:val="00C824B9"/>
    <w:rsid w:val="00C85885"/>
    <w:rsid w:val="00C8772B"/>
    <w:rsid w:val="00C92B3E"/>
    <w:rsid w:val="00C957B5"/>
    <w:rsid w:val="00C974EA"/>
    <w:rsid w:val="00C97B90"/>
    <w:rsid w:val="00CA1425"/>
    <w:rsid w:val="00CA1DA3"/>
    <w:rsid w:val="00CA2441"/>
    <w:rsid w:val="00CA313E"/>
    <w:rsid w:val="00CB150D"/>
    <w:rsid w:val="00CB32C5"/>
    <w:rsid w:val="00CB4F58"/>
    <w:rsid w:val="00CB54DD"/>
    <w:rsid w:val="00CB6E08"/>
    <w:rsid w:val="00CC0735"/>
    <w:rsid w:val="00CC2F0E"/>
    <w:rsid w:val="00CC45B2"/>
    <w:rsid w:val="00CD0A65"/>
    <w:rsid w:val="00CD0DBC"/>
    <w:rsid w:val="00CD5C2D"/>
    <w:rsid w:val="00CE30D2"/>
    <w:rsid w:val="00CE6377"/>
    <w:rsid w:val="00CF1308"/>
    <w:rsid w:val="00CF1F28"/>
    <w:rsid w:val="00CF31F7"/>
    <w:rsid w:val="00CF37BF"/>
    <w:rsid w:val="00CF3C6A"/>
    <w:rsid w:val="00CF3DB0"/>
    <w:rsid w:val="00CF6316"/>
    <w:rsid w:val="00CF6560"/>
    <w:rsid w:val="00D1212F"/>
    <w:rsid w:val="00D14F89"/>
    <w:rsid w:val="00D21D66"/>
    <w:rsid w:val="00D27FAA"/>
    <w:rsid w:val="00D3013A"/>
    <w:rsid w:val="00D305DE"/>
    <w:rsid w:val="00D30DA4"/>
    <w:rsid w:val="00D337DF"/>
    <w:rsid w:val="00D35A4B"/>
    <w:rsid w:val="00D35BB0"/>
    <w:rsid w:val="00D4547D"/>
    <w:rsid w:val="00D45591"/>
    <w:rsid w:val="00D511C5"/>
    <w:rsid w:val="00D5292A"/>
    <w:rsid w:val="00D5408B"/>
    <w:rsid w:val="00D7397D"/>
    <w:rsid w:val="00D74034"/>
    <w:rsid w:val="00D7548A"/>
    <w:rsid w:val="00D769C1"/>
    <w:rsid w:val="00D77A29"/>
    <w:rsid w:val="00D819F1"/>
    <w:rsid w:val="00D83263"/>
    <w:rsid w:val="00D87F21"/>
    <w:rsid w:val="00D92EE0"/>
    <w:rsid w:val="00D947FC"/>
    <w:rsid w:val="00D958D0"/>
    <w:rsid w:val="00D9779D"/>
    <w:rsid w:val="00DA0B1A"/>
    <w:rsid w:val="00DA4B56"/>
    <w:rsid w:val="00DA742D"/>
    <w:rsid w:val="00DC2D7F"/>
    <w:rsid w:val="00DC4D22"/>
    <w:rsid w:val="00DD4687"/>
    <w:rsid w:val="00DD7B30"/>
    <w:rsid w:val="00DE0AB5"/>
    <w:rsid w:val="00DE2BBB"/>
    <w:rsid w:val="00DE3253"/>
    <w:rsid w:val="00DF14CA"/>
    <w:rsid w:val="00DF63E2"/>
    <w:rsid w:val="00E03945"/>
    <w:rsid w:val="00E03B16"/>
    <w:rsid w:val="00E05CE1"/>
    <w:rsid w:val="00E137BB"/>
    <w:rsid w:val="00E15AA3"/>
    <w:rsid w:val="00E16481"/>
    <w:rsid w:val="00E23B57"/>
    <w:rsid w:val="00E248BD"/>
    <w:rsid w:val="00E259B8"/>
    <w:rsid w:val="00E27057"/>
    <w:rsid w:val="00E314DF"/>
    <w:rsid w:val="00E355FA"/>
    <w:rsid w:val="00E402AC"/>
    <w:rsid w:val="00E4573B"/>
    <w:rsid w:val="00E45F0B"/>
    <w:rsid w:val="00E54ADC"/>
    <w:rsid w:val="00E55F04"/>
    <w:rsid w:val="00E60300"/>
    <w:rsid w:val="00E6032B"/>
    <w:rsid w:val="00E60491"/>
    <w:rsid w:val="00E60EB7"/>
    <w:rsid w:val="00E61B5B"/>
    <w:rsid w:val="00E67DA4"/>
    <w:rsid w:val="00E728F4"/>
    <w:rsid w:val="00E72B0E"/>
    <w:rsid w:val="00E83891"/>
    <w:rsid w:val="00EA3911"/>
    <w:rsid w:val="00EB0AE1"/>
    <w:rsid w:val="00EB2225"/>
    <w:rsid w:val="00EB2260"/>
    <w:rsid w:val="00EB49A1"/>
    <w:rsid w:val="00EB77F6"/>
    <w:rsid w:val="00EC084A"/>
    <w:rsid w:val="00EC3535"/>
    <w:rsid w:val="00EC6443"/>
    <w:rsid w:val="00ED4390"/>
    <w:rsid w:val="00EE148D"/>
    <w:rsid w:val="00EE28E7"/>
    <w:rsid w:val="00EE3122"/>
    <w:rsid w:val="00EE3250"/>
    <w:rsid w:val="00EE3F5D"/>
    <w:rsid w:val="00EE4331"/>
    <w:rsid w:val="00EE4B53"/>
    <w:rsid w:val="00EE6BCF"/>
    <w:rsid w:val="00EF061D"/>
    <w:rsid w:val="00EF292D"/>
    <w:rsid w:val="00F01313"/>
    <w:rsid w:val="00F023B1"/>
    <w:rsid w:val="00F0600B"/>
    <w:rsid w:val="00F11709"/>
    <w:rsid w:val="00F1497E"/>
    <w:rsid w:val="00F167EB"/>
    <w:rsid w:val="00F1794B"/>
    <w:rsid w:val="00F252CB"/>
    <w:rsid w:val="00F2537A"/>
    <w:rsid w:val="00F25C8A"/>
    <w:rsid w:val="00F26504"/>
    <w:rsid w:val="00F301C8"/>
    <w:rsid w:val="00F33A1A"/>
    <w:rsid w:val="00F415DC"/>
    <w:rsid w:val="00F41E4A"/>
    <w:rsid w:val="00F437E5"/>
    <w:rsid w:val="00F50BA2"/>
    <w:rsid w:val="00F5137F"/>
    <w:rsid w:val="00F538D6"/>
    <w:rsid w:val="00F54508"/>
    <w:rsid w:val="00F55332"/>
    <w:rsid w:val="00F64302"/>
    <w:rsid w:val="00F64C24"/>
    <w:rsid w:val="00F6762E"/>
    <w:rsid w:val="00F67ADB"/>
    <w:rsid w:val="00F720E5"/>
    <w:rsid w:val="00F72A95"/>
    <w:rsid w:val="00F73549"/>
    <w:rsid w:val="00F87545"/>
    <w:rsid w:val="00F91BE6"/>
    <w:rsid w:val="00F93A42"/>
    <w:rsid w:val="00F96A63"/>
    <w:rsid w:val="00FA2588"/>
    <w:rsid w:val="00FA762F"/>
    <w:rsid w:val="00FA7954"/>
    <w:rsid w:val="00FA7F74"/>
    <w:rsid w:val="00FB03C5"/>
    <w:rsid w:val="00FB2968"/>
    <w:rsid w:val="00FB4541"/>
    <w:rsid w:val="00FB4676"/>
    <w:rsid w:val="00FB4F15"/>
    <w:rsid w:val="00FB6596"/>
    <w:rsid w:val="00FB66A0"/>
    <w:rsid w:val="00FB76A9"/>
    <w:rsid w:val="00FC303C"/>
    <w:rsid w:val="00FC3EC1"/>
    <w:rsid w:val="00FC6112"/>
    <w:rsid w:val="00FC79B2"/>
    <w:rsid w:val="00FD5CD5"/>
    <w:rsid w:val="00FD6812"/>
    <w:rsid w:val="00FE0EA0"/>
    <w:rsid w:val="00FE615C"/>
    <w:rsid w:val="00FF22FF"/>
    <w:rsid w:val="00FF26F8"/>
    <w:rsid w:val="00FF7C78"/>
    <w:rsid w:val="00FF7C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F57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41F82"/>
    <w:pPr>
      <w:keepNext/>
      <w:keepLines/>
      <w:suppressAutoHyphens/>
      <w:spacing w:before="480"/>
      <w:outlineLvl w:val="0"/>
    </w:pPr>
    <w:rPr>
      <w:rFonts w:asciiTheme="majorHAnsi" w:eastAsiaTheme="majorEastAsia" w:hAnsiTheme="majorHAnsi" w:cstheme="majorBidi"/>
      <w:b/>
      <w:bCs/>
      <w:color w:val="2E74B5" w:themeColor="accent1" w:themeShade="BF"/>
      <w:kern w:val="1"/>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41F82"/>
    <w:rPr>
      <w:rFonts w:asciiTheme="majorHAnsi" w:eastAsiaTheme="majorEastAsia" w:hAnsiTheme="majorHAnsi" w:cstheme="majorBidi"/>
      <w:b/>
      <w:bCs/>
      <w:color w:val="2E74B5" w:themeColor="accent1" w:themeShade="BF"/>
      <w:kern w:val="1"/>
      <w:sz w:val="28"/>
      <w:szCs w:val="28"/>
      <w:lang w:eastAsia="ar-SA"/>
    </w:rPr>
  </w:style>
  <w:style w:type="paragraph" w:styleId="Tekstdymka">
    <w:name w:val="Balloon Text"/>
    <w:basedOn w:val="Normalny"/>
    <w:link w:val="TekstdymkaZnak"/>
    <w:uiPriority w:val="99"/>
    <w:semiHidden/>
    <w:unhideWhenUsed/>
    <w:rsid w:val="00F437E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437E5"/>
    <w:rPr>
      <w:rFonts w:ascii="Segoe UI" w:hAnsi="Segoe UI" w:cs="Segoe UI"/>
      <w:sz w:val="18"/>
      <w:szCs w:val="18"/>
    </w:rPr>
  </w:style>
  <w:style w:type="paragraph" w:styleId="Nagwek">
    <w:name w:val="header"/>
    <w:basedOn w:val="Normalny"/>
    <w:link w:val="NagwekZnak"/>
    <w:uiPriority w:val="99"/>
    <w:unhideWhenUsed/>
    <w:rsid w:val="009E27A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E27A8"/>
  </w:style>
  <w:style w:type="paragraph" w:styleId="Stopka">
    <w:name w:val="footer"/>
    <w:basedOn w:val="Normalny"/>
    <w:link w:val="StopkaZnak"/>
    <w:uiPriority w:val="99"/>
    <w:unhideWhenUsed/>
    <w:rsid w:val="009E27A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E27A8"/>
  </w:style>
  <w:style w:type="character" w:styleId="Odwoaniedokomentarza">
    <w:name w:val="annotation reference"/>
    <w:basedOn w:val="Domylnaczcionkaakapitu"/>
    <w:uiPriority w:val="99"/>
    <w:semiHidden/>
    <w:unhideWhenUsed/>
    <w:rsid w:val="00122F5F"/>
    <w:rPr>
      <w:sz w:val="16"/>
      <w:szCs w:val="16"/>
    </w:rPr>
  </w:style>
  <w:style w:type="paragraph" w:styleId="Tekstkomentarza">
    <w:name w:val="annotation text"/>
    <w:basedOn w:val="Normalny"/>
    <w:link w:val="TekstkomentarzaZnak"/>
    <w:uiPriority w:val="99"/>
    <w:unhideWhenUsed/>
    <w:rsid w:val="00122F5F"/>
    <w:pPr>
      <w:spacing w:line="240" w:lineRule="auto"/>
    </w:pPr>
    <w:rPr>
      <w:sz w:val="20"/>
      <w:szCs w:val="20"/>
    </w:rPr>
  </w:style>
  <w:style w:type="character" w:customStyle="1" w:styleId="TekstkomentarzaZnak">
    <w:name w:val="Tekst komentarza Znak"/>
    <w:basedOn w:val="Domylnaczcionkaakapitu"/>
    <w:link w:val="Tekstkomentarza"/>
    <w:uiPriority w:val="99"/>
    <w:rsid w:val="00122F5F"/>
    <w:rPr>
      <w:sz w:val="20"/>
      <w:szCs w:val="20"/>
    </w:rPr>
  </w:style>
  <w:style w:type="paragraph" w:styleId="Tematkomentarza">
    <w:name w:val="annotation subject"/>
    <w:basedOn w:val="Tekstkomentarza"/>
    <w:next w:val="Tekstkomentarza"/>
    <w:link w:val="TematkomentarzaZnak"/>
    <w:uiPriority w:val="99"/>
    <w:semiHidden/>
    <w:unhideWhenUsed/>
    <w:rsid w:val="00122F5F"/>
    <w:rPr>
      <w:b/>
      <w:bCs/>
    </w:rPr>
  </w:style>
  <w:style w:type="character" w:customStyle="1" w:styleId="TematkomentarzaZnak">
    <w:name w:val="Temat komentarza Znak"/>
    <w:basedOn w:val="TekstkomentarzaZnak"/>
    <w:link w:val="Tematkomentarza"/>
    <w:uiPriority w:val="99"/>
    <w:semiHidden/>
    <w:rsid w:val="00122F5F"/>
    <w:rPr>
      <w:b/>
      <w:bCs/>
      <w:sz w:val="20"/>
      <w:szCs w:val="20"/>
    </w:rPr>
  </w:style>
  <w:style w:type="paragraph" w:customStyle="1" w:styleId="ARTartustawynprozporzdzenia">
    <w:name w:val="ART(§) – art. ustawy (§ np. rozporządzenia)"/>
    <w:uiPriority w:val="11"/>
    <w:qFormat/>
    <w:rsid w:val="00FB2968"/>
    <w:pPr>
      <w:suppressAutoHyphens/>
      <w:autoSpaceDE w:val="0"/>
      <w:autoSpaceDN w:val="0"/>
      <w:adjustRightInd w:val="0"/>
      <w:spacing w:before="120" w:after="0" w:line="360" w:lineRule="auto"/>
      <w:ind w:firstLine="510"/>
      <w:jc w:val="both"/>
    </w:pPr>
    <w:rPr>
      <w:rFonts w:ascii="Times" w:eastAsia="Times New Roman" w:hAnsi="Times" w:cs="Arial"/>
      <w:sz w:val="24"/>
      <w:szCs w:val="20"/>
      <w:lang w:eastAsia="pl-PL"/>
    </w:rPr>
  </w:style>
  <w:style w:type="character" w:customStyle="1" w:styleId="Ppogrubienie">
    <w:name w:val="_P_ – pogrubienie"/>
    <w:uiPriority w:val="1"/>
    <w:qFormat/>
    <w:rsid w:val="00FB2968"/>
    <w:rPr>
      <w:b/>
    </w:rPr>
  </w:style>
  <w:style w:type="paragraph" w:customStyle="1" w:styleId="ZPKTzmpktartykuempunktem">
    <w:name w:val="Z/PKT – zm. pkt artykułem (punktem)"/>
    <w:basedOn w:val="PKTpunkt"/>
    <w:uiPriority w:val="31"/>
    <w:qFormat/>
    <w:rsid w:val="00F64C24"/>
    <w:pPr>
      <w:ind w:left="1020"/>
    </w:pPr>
  </w:style>
  <w:style w:type="paragraph" w:customStyle="1" w:styleId="PKTpunkt">
    <w:name w:val="PKT – punkt"/>
    <w:uiPriority w:val="13"/>
    <w:qFormat/>
    <w:rsid w:val="00F64C24"/>
    <w:pPr>
      <w:spacing w:after="0" w:line="360" w:lineRule="auto"/>
      <w:ind w:left="510" w:hanging="510"/>
      <w:jc w:val="both"/>
    </w:pPr>
    <w:rPr>
      <w:rFonts w:ascii="Times" w:eastAsia="Times New Roman" w:hAnsi="Times" w:cs="Arial"/>
      <w:bCs/>
      <w:sz w:val="24"/>
      <w:szCs w:val="20"/>
      <w:lang w:eastAsia="pl-PL"/>
    </w:rPr>
  </w:style>
  <w:style w:type="paragraph" w:customStyle="1" w:styleId="USTustnpkodeksu">
    <w:name w:val="UST(§) – ust. (§ np. kodeksu)"/>
    <w:basedOn w:val="ARTartustawynprozporzdzenia"/>
    <w:uiPriority w:val="12"/>
    <w:qFormat/>
    <w:rsid w:val="00F64C24"/>
    <w:pPr>
      <w:spacing w:before="0"/>
    </w:pPr>
    <w:rPr>
      <w:bCs/>
    </w:rPr>
  </w:style>
  <w:style w:type="paragraph" w:customStyle="1" w:styleId="ZLITPKTzmpktliter">
    <w:name w:val="Z_LIT/PKT – zm. pkt literą"/>
    <w:basedOn w:val="PKTpunkt"/>
    <w:uiPriority w:val="47"/>
    <w:qFormat/>
    <w:rsid w:val="00F64C24"/>
    <w:pPr>
      <w:ind w:left="1497"/>
    </w:pPr>
  </w:style>
  <w:style w:type="paragraph" w:customStyle="1" w:styleId="LITlitera">
    <w:name w:val="LIT – litera"/>
    <w:basedOn w:val="PKTpunkt"/>
    <w:uiPriority w:val="14"/>
    <w:qFormat/>
    <w:rsid w:val="00F64C24"/>
    <w:pPr>
      <w:ind w:left="986" w:hanging="476"/>
    </w:pPr>
  </w:style>
  <w:style w:type="character" w:customStyle="1" w:styleId="highlight">
    <w:name w:val="highlight"/>
    <w:basedOn w:val="Domylnaczcionkaakapitu"/>
    <w:rsid w:val="00F93A42"/>
  </w:style>
  <w:style w:type="character" w:styleId="Hipercze">
    <w:name w:val="Hyperlink"/>
    <w:basedOn w:val="Domylnaczcionkaakapitu"/>
    <w:uiPriority w:val="99"/>
    <w:unhideWhenUsed/>
    <w:rsid w:val="00A647D9"/>
    <w:rPr>
      <w:color w:val="0000FF"/>
      <w:u w:val="single"/>
    </w:rPr>
  </w:style>
  <w:style w:type="paragraph" w:customStyle="1" w:styleId="tyt">
    <w:name w:val="tyt"/>
    <w:basedOn w:val="Normalny"/>
    <w:rsid w:val="008E203E"/>
    <w:pPr>
      <w:spacing w:before="100" w:beforeAutospacing="1" w:after="100" w:afterAutospacing="1" w:line="240" w:lineRule="auto"/>
    </w:pPr>
    <w:rPr>
      <w:rFonts w:ascii="Times New Roman" w:eastAsia="Times New Roman" w:hAnsi="Times New Roman" w:cs="Times New Roman"/>
      <w:sz w:val="24"/>
      <w:szCs w:val="24"/>
      <w:lang w:eastAsia="pl-PL"/>
    </w:rPr>
  </w:style>
  <w:style w:type="table" w:styleId="Tabela-Siatka">
    <w:name w:val="Table Grid"/>
    <w:basedOn w:val="Standardowy"/>
    <w:rsid w:val="009E6A7C"/>
    <w:pPr>
      <w:spacing w:after="0" w:line="240" w:lineRule="auto"/>
    </w:pPr>
    <w:rPr>
      <w:rFonts w:ascii="Times" w:eastAsia="Times New Roman"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NONIKtreodnonika">
    <w:name w:val="ODNOŚNIK – treść odnośnika"/>
    <w:uiPriority w:val="99"/>
    <w:qFormat/>
    <w:rsid w:val="00B90467"/>
    <w:pPr>
      <w:spacing w:after="0" w:line="240" w:lineRule="auto"/>
      <w:ind w:left="284" w:hanging="284"/>
      <w:jc w:val="both"/>
    </w:pPr>
    <w:rPr>
      <w:rFonts w:ascii="Times New Roman" w:eastAsiaTheme="minorEastAsia" w:hAnsi="Times New Roman" w:cs="Arial"/>
      <w:sz w:val="20"/>
      <w:szCs w:val="20"/>
      <w:lang w:eastAsia="pl-PL"/>
    </w:rPr>
  </w:style>
  <w:style w:type="paragraph" w:customStyle="1" w:styleId="ZLITUSTzmustliter">
    <w:name w:val="Z_LIT/UST(§) – zm. ust. (§) literą"/>
    <w:basedOn w:val="USTustnpkodeksu"/>
    <w:uiPriority w:val="46"/>
    <w:qFormat/>
    <w:rsid w:val="00DE3253"/>
    <w:pPr>
      <w:ind w:left="987"/>
    </w:pPr>
    <w:rPr>
      <w:rFonts w:eastAsiaTheme="minorEastAsia"/>
    </w:rPr>
  </w:style>
  <w:style w:type="character" w:styleId="Odwoanieprzypisudolnego">
    <w:name w:val="footnote reference"/>
    <w:aliases w:val="OZNAKA OPOMBE,FZ,number,SUPERS,Footnote Reference Superscript,BVI fnr,Footnote symbol,Footnote,(Footnote Reference),Footnote reference number,note TESI,EN Footnote Reference,Voetnootverwijzing,Times 10 Point,Exposant 3 Point"/>
    <w:uiPriority w:val="99"/>
    <w:semiHidden/>
    <w:rsid w:val="005435E2"/>
    <w:rPr>
      <w:rFonts w:cs="Times New Roman"/>
      <w:vertAlign w:val="superscript"/>
    </w:rPr>
  </w:style>
  <w:style w:type="paragraph" w:customStyle="1" w:styleId="ZTIRPKTzmpkttiret">
    <w:name w:val="Z_TIR/PKT – zm. pkt tiret"/>
    <w:basedOn w:val="PKTpunkt"/>
    <w:uiPriority w:val="56"/>
    <w:qFormat/>
    <w:rsid w:val="005435E2"/>
    <w:pPr>
      <w:ind w:left="1893"/>
    </w:pPr>
    <w:rPr>
      <w:rFonts w:eastAsiaTheme="minorEastAsia"/>
    </w:rPr>
  </w:style>
  <w:style w:type="character" w:customStyle="1" w:styleId="IGindeksgrny">
    <w:name w:val="_IG_ – indeks górny"/>
    <w:basedOn w:val="Domylnaczcionkaakapitu"/>
    <w:uiPriority w:val="2"/>
    <w:qFormat/>
    <w:rsid w:val="005435E2"/>
    <w:rPr>
      <w:b w:val="0"/>
      <w:i w:val="0"/>
      <w:vanish w:val="0"/>
      <w:spacing w:val="0"/>
      <w:vertAlign w:val="superscript"/>
    </w:rPr>
  </w:style>
  <w:style w:type="paragraph" w:customStyle="1" w:styleId="ZUSTzmustartykuempunktem">
    <w:name w:val="Z/UST(§) – zm. ust. (§) artykułem (punktem)"/>
    <w:basedOn w:val="Normalny"/>
    <w:uiPriority w:val="30"/>
    <w:qFormat/>
    <w:rsid w:val="00380289"/>
    <w:pPr>
      <w:suppressAutoHyphens/>
      <w:autoSpaceDE w:val="0"/>
      <w:autoSpaceDN w:val="0"/>
      <w:adjustRightInd w:val="0"/>
      <w:spacing w:after="0" w:line="360" w:lineRule="auto"/>
      <w:ind w:left="510" w:firstLine="510"/>
      <w:jc w:val="both"/>
    </w:pPr>
    <w:rPr>
      <w:rFonts w:ascii="Times" w:eastAsiaTheme="minorEastAsia" w:hAnsi="Times" w:cs="Arial"/>
      <w:sz w:val="24"/>
      <w:szCs w:val="20"/>
      <w:lang w:eastAsia="pl-PL"/>
    </w:rPr>
  </w:style>
  <w:style w:type="paragraph" w:customStyle="1" w:styleId="ZARTzmartartykuempunktem">
    <w:name w:val="Z/ART(§) – zm. art. (§) artykułem (punktem)"/>
    <w:basedOn w:val="ARTartustawynprozporzdzenia"/>
    <w:uiPriority w:val="30"/>
    <w:qFormat/>
    <w:rsid w:val="00380289"/>
    <w:pPr>
      <w:spacing w:before="0"/>
      <w:ind w:left="510"/>
    </w:pPr>
    <w:rPr>
      <w:rFonts w:eastAsiaTheme="minorEastAsia"/>
    </w:rPr>
  </w:style>
  <w:style w:type="paragraph" w:customStyle="1" w:styleId="CM1">
    <w:name w:val="CM1"/>
    <w:basedOn w:val="Normalny"/>
    <w:next w:val="Normalny"/>
    <w:uiPriority w:val="99"/>
    <w:rsid w:val="00151C04"/>
    <w:pPr>
      <w:autoSpaceDE w:val="0"/>
      <w:autoSpaceDN w:val="0"/>
      <w:adjustRightInd w:val="0"/>
      <w:spacing w:after="0" w:line="240" w:lineRule="auto"/>
    </w:pPr>
    <w:rPr>
      <w:rFonts w:ascii="Times New Roman" w:hAnsi="Times New Roman" w:cs="Times New Roman"/>
      <w:sz w:val="24"/>
      <w:szCs w:val="24"/>
    </w:rPr>
  </w:style>
  <w:style w:type="paragraph" w:customStyle="1" w:styleId="CM3">
    <w:name w:val="CM3"/>
    <w:basedOn w:val="Normalny"/>
    <w:next w:val="Normalny"/>
    <w:uiPriority w:val="99"/>
    <w:rsid w:val="00151C04"/>
    <w:pPr>
      <w:autoSpaceDE w:val="0"/>
      <w:autoSpaceDN w:val="0"/>
      <w:adjustRightInd w:val="0"/>
      <w:spacing w:after="0" w:line="240" w:lineRule="auto"/>
    </w:pPr>
    <w:rPr>
      <w:rFonts w:ascii="Times New Roman" w:hAnsi="Times New Roman" w:cs="Times New Roman"/>
      <w:sz w:val="24"/>
      <w:szCs w:val="24"/>
    </w:rPr>
  </w:style>
  <w:style w:type="paragraph" w:customStyle="1" w:styleId="CM4">
    <w:name w:val="CM4"/>
    <w:basedOn w:val="Normalny"/>
    <w:next w:val="Normalny"/>
    <w:uiPriority w:val="99"/>
    <w:rsid w:val="007D1F09"/>
    <w:pPr>
      <w:autoSpaceDE w:val="0"/>
      <w:autoSpaceDN w:val="0"/>
      <w:adjustRightInd w:val="0"/>
      <w:spacing w:after="0" w:line="240" w:lineRule="auto"/>
    </w:pPr>
    <w:rPr>
      <w:rFonts w:ascii="Times New Roman" w:hAnsi="Times New Roman" w:cs="Times New Roman"/>
      <w:sz w:val="24"/>
      <w:szCs w:val="24"/>
    </w:rPr>
  </w:style>
  <w:style w:type="paragraph" w:customStyle="1" w:styleId="ZROZDZODDZOZNzmoznrozdzoddzartykuempunktem">
    <w:name w:val="Z/ROZDZ(ODDZ)_OZN – zm. ozn. rozdz. (oddz.) artykułem (punktem)"/>
    <w:next w:val="ZROZDZODDZPRZEDMzmprzedmrozdzoddzartykuempunktem"/>
    <w:uiPriority w:val="29"/>
    <w:qFormat/>
    <w:rsid w:val="00836411"/>
    <w:pPr>
      <w:keepNext/>
      <w:suppressAutoHyphens/>
      <w:spacing w:after="0" w:line="360" w:lineRule="auto"/>
      <w:ind w:left="510"/>
      <w:jc w:val="center"/>
    </w:pPr>
    <w:rPr>
      <w:rFonts w:ascii="Times" w:eastAsiaTheme="minorEastAsia" w:hAnsi="Times" w:cs="Arial"/>
      <w:bCs/>
      <w:kern w:val="24"/>
      <w:sz w:val="24"/>
      <w:szCs w:val="24"/>
      <w:lang w:eastAsia="pl-PL"/>
    </w:rPr>
  </w:style>
  <w:style w:type="paragraph" w:customStyle="1" w:styleId="ZROZDZODDZPRZEDMzmprzedmrozdzoddzartykuempunktem">
    <w:name w:val="Z/ROZDZ(ODDZ)_PRZEDM – zm. przedm. rozdz. (oddz.) artykułem (punktem)"/>
    <w:basedOn w:val="Normalny"/>
    <w:next w:val="ZARTzmartartykuempunktem"/>
    <w:uiPriority w:val="29"/>
    <w:qFormat/>
    <w:rsid w:val="00836411"/>
    <w:pPr>
      <w:keepNext/>
      <w:suppressAutoHyphens/>
      <w:spacing w:before="120" w:after="120" w:line="360" w:lineRule="auto"/>
      <w:ind w:left="510"/>
      <w:jc w:val="center"/>
    </w:pPr>
    <w:rPr>
      <w:rFonts w:ascii="Times" w:eastAsiaTheme="minorEastAsia" w:hAnsi="Times" w:cs="Times New Roman"/>
      <w:bCs/>
      <w:sz w:val="24"/>
      <w:szCs w:val="24"/>
      <w:lang w:eastAsia="pl-PL"/>
    </w:rPr>
  </w:style>
  <w:style w:type="paragraph" w:customStyle="1" w:styleId="ZLITwPKTzmlitwpktartykuempunktem">
    <w:name w:val="Z/LIT_w_PKT – zm. lit. w pkt artykułem (punktem)"/>
    <w:basedOn w:val="LITlitera"/>
    <w:uiPriority w:val="32"/>
    <w:qFormat/>
    <w:rsid w:val="0096248C"/>
    <w:pPr>
      <w:ind w:left="1497"/>
    </w:pPr>
    <w:rPr>
      <w:rFonts w:eastAsiaTheme="minorEastAsia"/>
    </w:rPr>
  </w:style>
  <w:style w:type="paragraph" w:styleId="Akapitzlist">
    <w:name w:val="List Paragraph"/>
    <w:basedOn w:val="Normalny"/>
    <w:uiPriority w:val="34"/>
    <w:qFormat/>
    <w:rsid w:val="009148F2"/>
    <w:pPr>
      <w:ind w:left="720"/>
      <w:contextualSpacing/>
    </w:pPr>
  </w:style>
  <w:style w:type="paragraph" w:customStyle="1" w:styleId="ZLITLITwPKTzmlitwpktliter">
    <w:name w:val="Z_LIT/LIT_w_PKT – zm. lit. w pkt literą"/>
    <w:basedOn w:val="LITlitera"/>
    <w:uiPriority w:val="48"/>
    <w:qFormat/>
    <w:rsid w:val="00511B14"/>
    <w:pPr>
      <w:ind w:left="1973"/>
    </w:pPr>
    <w:rPr>
      <w:rFonts w:eastAsiaTheme="minorEastAsia"/>
    </w:rPr>
  </w:style>
  <w:style w:type="paragraph" w:customStyle="1" w:styleId="ZCZWSPPKTzmczciwsppktartykuempunktem">
    <w:name w:val="Z/CZ_WSP_PKT – zm. części wsp. pkt artykułem (punktem)"/>
    <w:basedOn w:val="Normalny"/>
    <w:next w:val="ZARTzmartartykuempunktem"/>
    <w:uiPriority w:val="34"/>
    <w:qFormat/>
    <w:rsid w:val="008925D1"/>
    <w:pPr>
      <w:spacing w:after="0" w:line="360" w:lineRule="auto"/>
      <w:ind w:left="510"/>
      <w:jc w:val="both"/>
    </w:pPr>
    <w:rPr>
      <w:rFonts w:ascii="Times" w:eastAsiaTheme="minorEastAsia" w:hAnsi="Times" w:cs="Arial"/>
      <w:bCs/>
      <w:sz w:val="24"/>
      <w:szCs w:val="20"/>
      <w:lang w:eastAsia="pl-PL"/>
    </w:rPr>
  </w:style>
  <w:style w:type="character" w:customStyle="1" w:styleId="IDindeksdolny">
    <w:name w:val="_ID_ – indeks dolny"/>
    <w:basedOn w:val="Domylnaczcionkaakapitu"/>
    <w:uiPriority w:val="3"/>
    <w:qFormat/>
    <w:rsid w:val="008925D1"/>
    <w:rPr>
      <w:b w:val="0"/>
      <w:i w:val="0"/>
      <w:vanish w:val="0"/>
      <w:spacing w:val="0"/>
      <w:vertAlign w:val="subscript"/>
    </w:rPr>
  </w:style>
  <w:style w:type="paragraph" w:customStyle="1" w:styleId="TIRtiret">
    <w:name w:val="TIR – tiret"/>
    <w:basedOn w:val="LITlitera"/>
    <w:uiPriority w:val="15"/>
    <w:qFormat/>
    <w:rsid w:val="004E3410"/>
    <w:pPr>
      <w:ind w:left="1384" w:hanging="397"/>
    </w:pPr>
    <w:rPr>
      <w:rFonts w:eastAsiaTheme="minorEastAsia"/>
    </w:rPr>
  </w:style>
  <w:style w:type="paragraph" w:customStyle="1" w:styleId="ZTIRwPKTzmtirwpktartykuempunktem">
    <w:name w:val="Z/TIR_w_PKT – zm. tir. w pkt artykułem (punktem)"/>
    <w:basedOn w:val="TIRtiret"/>
    <w:uiPriority w:val="33"/>
    <w:qFormat/>
    <w:rsid w:val="00F6762E"/>
    <w:pPr>
      <w:ind w:left="1894"/>
    </w:pPr>
  </w:style>
  <w:style w:type="paragraph" w:customStyle="1" w:styleId="CZWSPLITczwsplnaliter">
    <w:name w:val="CZ_WSP_LIT – część wspólna liter"/>
    <w:basedOn w:val="LITlitera"/>
    <w:next w:val="USTustnpkodeksu"/>
    <w:uiPriority w:val="17"/>
    <w:qFormat/>
    <w:rsid w:val="00F6762E"/>
    <w:pPr>
      <w:ind w:left="510" w:firstLine="0"/>
    </w:pPr>
    <w:rPr>
      <w:rFonts w:eastAsiaTheme="minorEastAsia"/>
      <w:szCs w:val="24"/>
    </w:rPr>
  </w:style>
  <w:style w:type="table" w:customStyle="1" w:styleId="Kalendarz1">
    <w:name w:val="Kalendarz 1"/>
    <w:basedOn w:val="Standardowy"/>
    <w:uiPriority w:val="99"/>
    <w:qFormat/>
    <w:rsid w:val="00DC2D7F"/>
    <w:pPr>
      <w:spacing w:after="0" w:line="240" w:lineRule="auto"/>
    </w:pPr>
    <w:rPr>
      <w:rFonts w:eastAsiaTheme="minorEastAsia"/>
      <w:lang w:eastAsia="pl-PL"/>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ZLITCZWSPPKTzmczciwsppktliter">
    <w:name w:val="Z_LIT/CZ_WSP_PKT – zm. części wsp. pkt literą"/>
    <w:basedOn w:val="CZWSPLITczwsplnaliter"/>
    <w:next w:val="LITlitera"/>
    <w:uiPriority w:val="50"/>
    <w:qFormat/>
    <w:rsid w:val="005127DF"/>
    <w:pPr>
      <w:ind w:left="987"/>
    </w:pPr>
  </w:style>
  <w:style w:type="paragraph" w:customStyle="1" w:styleId="ZLITLITzmlitliter">
    <w:name w:val="Z_LIT/LIT – zm. lit. literą"/>
    <w:basedOn w:val="LITlitera"/>
    <w:uiPriority w:val="48"/>
    <w:qFormat/>
    <w:rsid w:val="004F1DD9"/>
    <w:pPr>
      <w:ind w:left="1463"/>
    </w:pPr>
    <w:rPr>
      <w:rFonts w:eastAsiaTheme="minorEastAsia"/>
    </w:rPr>
  </w:style>
  <w:style w:type="paragraph" w:customStyle="1" w:styleId="ZTIRwLITzmtirwlitartykuempunktem">
    <w:name w:val="Z/TIR_w_LIT – zm. tir. w lit. artykułem (punktem)"/>
    <w:basedOn w:val="TIRtiret"/>
    <w:uiPriority w:val="33"/>
    <w:qFormat/>
    <w:rsid w:val="00762972"/>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C41F82"/>
    <w:pPr>
      <w:ind w:left="1021"/>
    </w:pPr>
  </w:style>
  <w:style w:type="paragraph" w:customStyle="1" w:styleId="2TIRpodwjnytiret">
    <w:name w:val="2TIR – podwójny tiret"/>
    <w:basedOn w:val="TIRtiret"/>
    <w:uiPriority w:val="73"/>
    <w:qFormat/>
    <w:rsid w:val="00C41F82"/>
    <w:pPr>
      <w:ind w:left="1780"/>
    </w:p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C41F82"/>
    <w:pPr>
      <w:ind w:left="1497"/>
    </w:pPr>
  </w:style>
  <w:style w:type="paragraph" w:customStyle="1" w:styleId="CZWSPTIRczwsplnatiret">
    <w:name w:val="CZ_WSP_TIR – część wspólna tiret"/>
    <w:basedOn w:val="TIRtiret"/>
    <w:next w:val="USTustnpkodeksu"/>
    <w:uiPriority w:val="17"/>
    <w:qFormat/>
    <w:rsid w:val="00C41F82"/>
    <w:pPr>
      <w:ind w:left="987" w:firstLine="0"/>
    </w:pPr>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C41F82"/>
  </w:style>
  <w:style w:type="paragraph" w:customStyle="1" w:styleId="ZLITzmlitartykuempunktem">
    <w:name w:val="Z/LIT – zm. lit. artykułem (punktem)"/>
    <w:basedOn w:val="LITlitera"/>
    <w:uiPriority w:val="32"/>
    <w:qFormat/>
    <w:rsid w:val="00C41F82"/>
    <w:rPr>
      <w:rFonts w:eastAsiaTheme="minorEastAsia"/>
    </w:rPr>
  </w:style>
  <w:style w:type="paragraph" w:styleId="Bezodstpw">
    <w:name w:val="No Spacing"/>
    <w:uiPriority w:val="99"/>
    <w:rsid w:val="00C41F82"/>
    <w:pPr>
      <w:widowControl w:val="0"/>
      <w:suppressAutoHyphens/>
      <w:spacing w:after="0" w:line="360" w:lineRule="auto"/>
    </w:pPr>
    <w:rPr>
      <w:rFonts w:ascii="Times" w:eastAsia="Times New Roman" w:hAnsi="Times" w:cs="Times New Roman"/>
      <w:kern w:val="1"/>
      <w:sz w:val="24"/>
      <w:szCs w:val="24"/>
      <w:lang w:eastAsia="ar-SA"/>
    </w:rPr>
  </w:style>
  <w:style w:type="paragraph" w:customStyle="1" w:styleId="DATAAKTUdatauchwalenialubwydaniaaktu">
    <w:name w:val="DATA_AKTU – data uchwalenia lub wydania aktu"/>
    <w:next w:val="TYTUAKTUprzedmiotregulacjiustawylubrozporzdzenia"/>
    <w:uiPriority w:val="6"/>
    <w:qFormat/>
    <w:rsid w:val="00C41F82"/>
    <w:pPr>
      <w:keepNext/>
      <w:suppressAutoHyphens/>
      <w:spacing w:before="120" w:after="120" w:line="360" w:lineRule="auto"/>
      <w:jc w:val="center"/>
    </w:pPr>
    <w:rPr>
      <w:rFonts w:ascii="Times" w:eastAsiaTheme="minorEastAsia" w:hAnsi="Times" w:cs="Arial"/>
      <w:bCs/>
      <w:sz w:val="24"/>
      <w:szCs w:val="24"/>
      <w:lang w:eastAsia="pl-PL"/>
    </w:rPr>
  </w:style>
  <w:style w:type="paragraph" w:customStyle="1" w:styleId="TYTUAKTUprzedmiotregulacjiustawylubrozporzdzenia">
    <w:name w:val="TYTUŁ_AKTU – przedmiot regulacji ustawy lub rozporządzenia"/>
    <w:next w:val="ARTartustawynprozporzdzenia"/>
    <w:uiPriority w:val="6"/>
    <w:qFormat/>
    <w:rsid w:val="00C41F82"/>
    <w:pPr>
      <w:keepNext/>
      <w:suppressAutoHyphens/>
      <w:spacing w:before="120" w:after="360" w:line="360" w:lineRule="auto"/>
      <w:jc w:val="center"/>
    </w:pPr>
    <w:rPr>
      <w:rFonts w:ascii="Times" w:eastAsiaTheme="minorEastAsia" w:hAnsi="Times" w:cs="Arial"/>
      <w:b/>
      <w:bCs/>
      <w:sz w:val="24"/>
      <w:szCs w:val="24"/>
      <w:lang w:eastAsia="pl-PL"/>
    </w:rPr>
  </w:style>
  <w:style w:type="paragraph" w:customStyle="1" w:styleId="CZKSIGAoznaczenieiprzedmiotczcilubksigi">
    <w:name w:val="CZĘŚĆ(KSIĘGA) – oznaczenie i przedmiot części lub księgi"/>
    <w:next w:val="ARTartustawynprozporzdzenia"/>
    <w:uiPriority w:val="8"/>
    <w:qFormat/>
    <w:rsid w:val="00C41F82"/>
    <w:pPr>
      <w:keepNext/>
      <w:suppressAutoHyphens/>
      <w:spacing w:before="120" w:after="0" w:line="360" w:lineRule="auto"/>
      <w:jc w:val="center"/>
    </w:pPr>
    <w:rPr>
      <w:rFonts w:ascii="Times" w:eastAsia="Times New Roman" w:hAnsi="Times" w:cs="Times New Roman"/>
      <w:b/>
      <w:bCs/>
      <w:caps/>
      <w:kern w:val="24"/>
      <w:sz w:val="24"/>
      <w:szCs w:val="24"/>
      <w:lang w:eastAsia="pl-PL"/>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C41F82"/>
    <w:rPr>
      <w:rFonts w:eastAsiaTheme="minorEastAsia"/>
      <w:bCs/>
    </w:rPr>
  </w:style>
  <w:style w:type="paragraph" w:customStyle="1" w:styleId="OZNRODZAKTUtznustawalubrozporzdzenieiorganwydajcy">
    <w:name w:val="OZN_RODZ_AKTU – tzn. ustawa lub rozporządzenie i organ wydający"/>
    <w:next w:val="DATAAKTUdatauchwalenialubwydaniaaktu"/>
    <w:uiPriority w:val="5"/>
    <w:qFormat/>
    <w:rsid w:val="00C41F82"/>
    <w:pPr>
      <w:keepNext/>
      <w:suppressAutoHyphens/>
      <w:spacing w:after="120" w:line="360" w:lineRule="auto"/>
      <w:jc w:val="center"/>
    </w:pPr>
    <w:rPr>
      <w:rFonts w:ascii="Times" w:eastAsia="Times New Roman" w:hAnsi="Times" w:cs="Times New Roman"/>
      <w:b/>
      <w:bCs/>
      <w:caps/>
      <w:spacing w:val="54"/>
      <w:kern w:val="24"/>
      <w:sz w:val="24"/>
      <w:szCs w:val="24"/>
      <w:lang w:eastAsia="pl-PL"/>
    </w:rPr>
  </w:style>
  <w:style w:type="paragraph" w:customStyle="1" w:styleId="CZWSPPKTczwsplnapunktw">
    <w:name w:val="CZ_WSP_PKT – część wspólna punktów"/>
    <w:basedOn w:val="PKTpunkt"/>
    <w:next w:val="USTustnpkodeksu"/>
    <w:uiPriority w:val="16"/>
    <w:qFormat/>
    <w:rsid w:val="00C41F82"/>
    <w:pPr>
      <w:ind w:left="0" w:firstLine="0"/>
    </w:pPr>
    <w:rPr>
      <w:rFonts w:eastAsiaTheme="minorEastAsia"/>
    </w:rPr>
  </w:style>
  <w:style w:type="paragraph" w:customStyle="1" w:styleId="CYTcytatnpprzysigi">
    <w:name w:val="CYT – cytat np. przysięgi"/>
    <w:basedOn w:val="USTustnpkodeksu"/>
    <w:next w:val="USTustnpkodeksu"/>
    <w:uiPriority w:val="18"/>
    <w:qFormat/>
    <w:rsid w:val="00C41F82"/>
    <w:pPr>
      <w:ind w:left="510" w:right="510" w:firstLine="0"/>
      <w:mirrorIndents/>
    </w:pPr>
    <w:rPr>
      <w:rFonts w:eastAsiaTheme="minorEastAsia"/>
    </w:rPr>
  </w:style>
  <w:style w:type="paragraph" w:customStyle="1" w:styleId="ROZDZODDZPRZEDMprzedmiotregulacjirozdziauluboddziau">
    <w:name w:val="ROZDZ(ODDZ)_PRZEDM – przedmiot regulacji rozdziału lub oddziału"/>
    <w:next w:val="ARTartustawynprozporzdzenia"/>
    <w:uiPriority w:val="10"/>
    <w:qFormat/>
    <w:rsid w:val="00C41F82"/>
    <w:pPr>
      <w:keepNext/>
      <w:suppressAutoHyphens/>
      <w:spacing w:before="120" w:after="0" w:line="360" w:lineRule="auto"/>
      <w:jc w:val="center"/>
    </w:pPr>
    <w:rPr>
      <w:rFonts w:ascii="Times" w:eastAsiaTheme="minorEastAsia" w:hAnsi="Times" w:cs="Times New Roman"/>
      <w:b/>
      <w:bCs/>
      <w:sz w:val="24"/>
      <w:szCs w:val="24"/>
      <w:lang w:eastAsia="pl-PL"/>
    </w:rPr>
  </w:style>
  <w:style w:type="paragraph" w:customStyle="1" w:styleId="ZLITCZWSPTIRwLITzmczciwsptirwlitliter">
    <w:name w:val="Z_LIT/CZ_WSP_TIR_w_LIT – zm. części wsp. tir. w lit. literą"/>
    <w:basedOn w:val="CZWSPTIRczwsplnatiret"/>
    <w:next w:val="LITlitera"/>
    <w:uiPriority w:val="51"/>
    <w:qFormat/>
    <w:rsid w:val="00C41F82"/>
    <w:pPr>
      <w:ind w:left="1463"/>
    </w:pPr>
  </w:style>
  <w:style w:type="paragraph" w:customStyle="1" w:styleId="ZLITTIRwLITzmtirwlitliter">
    <w:name w:val="Z_LIT/TIR_w_LIT – zm. tir. w lit. literą"/>
    <w:basedOn w:val="TIRtiret"/>
    <w:uiPriority w:val="49"/>
    <w:qFormat/>
    <w:rsid w:val="00C41F82"/>
    <w:pPr>
      <w:ind w:left="1860"/>
    </w:pPr>
  </w:style>
  <w:style w:type="paragraph" w:customStyle="1" w:styleId="TYTDZOZNoznaczenietytuulubdziau">
    <w:name w:val="TYT(DZ)_OZN – oznaczenie tytułu lub działu"/>
    <w:next w:val="Normalny"/>
    <w:uiPriority w:val="9"/>
    <w:qFormat/>
    <w:rsid w:val="00C41F82"/>
    <w:pPr>
      <w:keepNext/>
      <w:spacing w:before="120" w:after="0" w:line="360" w:lineRule="auto"/>
      <w:jc w:val="center"/>
    </w:pPr>
    <w:rPr>
      <w:rFonts w:ascii="Times" w:eastAsiaTheme="minorEastAsia" w:hAnsi="Times" w:cs="Arial"/>
      <w:bCs/>
      <w:caps/>
      <w:kern w:val="24"/>
      <w:sz w:val="24"/>
      <w:szCs w:val="24"/>
      <w:lang w:eastAsia="pl-PL"/>
    </w:rPr>
  </w:style>
  <w:style w:type="paragraph" w:customStyle="1" w:styleId="ZWMATFIZCHEMzmwzorumatfizlubchemartykuempunktem">
    <w:name w:val="Z/W_MAT(FIZ|CHEM) – zm. wzoru mat. (fiz. lub chem.) artykułem (punktem)"/>
    <w:basedOn w:val="WMATFIZCHEMwzrmatfizlubchem"/>
    <w:uiPriority w:val="38"/>
    <w:qFormat/>
    <w:rsid w:val="00C41F82"/>
    <w:pPr>
      <w:ind w:left="510"/>
    </w:pPr>
  </w:style>
  <w:style w:type="paragraph" w:customStyle="1" w:styleId="WMATFIZCHEMwzrmatfizlubchem">
    <w:name w:val="W_MAT(FIZ|CHEM) – wzór mat. (fiz. lub chem.)"/>
    <w:uiPriority w:val="18"/>
    <w:qFormat/>
    <w:rsid w:val="00C41F82"/>
    <w:pPr>
      <w:spacing w:after="0" w:line="360" w:lineRule="auto"/>
      <w:jc w:val="center"/>
    </w:pPr>
    <w:rPr>
      <w:rFonts w:ascii="Times New Roman" w:eastAsiaTheme="minorEastAsia" w:hAnsi="Times New Roman" w:cs="Arial"/>
      <w:sz w:val="24"/>
      <w:szCs w:val="20"/>
      <w:lang w:eastAsia="pl-PL"/>
    </w:r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C41F82"/>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C41F82"/>
    <w:pPr>
      <w:keepNext/>
      <w:suppressAutoHyphens/>
      <w:spacing w:after="0" w:line="360" w:lineRule="auto"/>
      <w:ind w:left="510"/>
      <w:jc w:val="center"/>
    </w:pPr>
    <w:rPr>
      <w:rFonts w:ascii="Times" w:eastAsia="Times New Roman" w:hAnsi="Times" w:cs="Times New Roman"/>
      <w:sz w:val="24"/>
      <w:szCs w:val="26"/>
      <w:lang w:eastAsia="pl-PL"/>
    </w:rPr>
  </w:style>
  <w:style w:type="paragraph" w:customStyle="1" w:styleId="ZTIRzmtirartykuempunktem">
    <w:name w:val="Z/TIR – zm. tir. artykułem (punktem)"/>
    <w:basedOn w:val="TIRtiret"/>
    <w:next w:val="PKTpunkt"/>
    <w:uiPriority w:val="33"/>
    <w:qFormat/>
    <w:rsid w:val="00C41F82"/>
    <w:pPr>
      <w:ind w:left="907"/>
    </w:pPr>
  </w:style>
  <w:style w:type="paragraph" w:customStyle="1" w:styleId="ZZLITzmianazmlit">
    <w:name w:val="ZZ/LIT – zmiana zm. lit."/>
    <w:basedOn w:val="ZZPKTzmianazmpkt"/>
    <w:uiPriority w:val="67"/>
    <w:qFormat/>
    <w:rsid w:val="00C41F82"/>
    <w:pPr>
      <w:ind w:left="2370" w:hanging="476"/>
    </w:pPr>
  </w:style>
  <w:style w:type="paragraph" w:customStyle="1" w:styleId="ZZPKTzmianazmpkt">
    <w:name w:val="ZZ/PKT – zmiana zm. pkt"/>
    <w:basedOn w:val="ZPKTzmpktartykuempunktem"/>
    <w:uiPriority w:val="66"/>
    <w:qFormat/>
    <w:rsid w:val="00C41F82"/>
    <w:pPr>
      <w:ind w:left="2404"/>
    </w:pPr>
    <w:rPr>
      <w:rFonts w:eastAsiaTheme="minorEastAsia"/>
    </w:rPr>
  </w:style>
  <w:style w:type="paragraph" w:customStyle="1" w:styleId="ZZTIRzmianazmtir">
    <w:name w:val="ZZ/TIR – zmiana zm. tir."/>
    <w:basedOn w:val="ZZLITzmianazmlit"/>
    <w:uiPriority w:val="67"/>
    <w:qFormat/>
    <w:rsid w:val="00C41F82"/>
    <w:pPr>
      <w:ind w:left="2291" w:hanging="397"/>
    </w:pPr>
  </w:style>
  <w:style w:type="paragraph" w:customStyle="1" w:styleId="ZZCZWSPPKTzmianazmczciwsppkt">
    <w:name w:val="ZZ/CZ_WSP_PKT – zmiana. zm. części wsp. pkt"/>
    <w:basedOn w:val="ZZARTzmianazmart"/>
    <w:next w:val="ZPKTzmpktartykuempunktem"/>
    <w:uiPriority w:val="68"/>
    <w:qFormat/>
    <w:rsid w:val="00C41F82"/>
    <w:pPr>
      <w:ind w:firstLine="0"/>
    </w:pPr>
  </w:style>
  <w:style w:type="paragraph" w:customStyle="1" w:styleId="ZZARTzmianazmart">
    <w:name w:val="ZZ/ART(§) – zmiana zm. art. (§)"/>
    <w:basedOn w:val="ZARTzmartartykuempunktem"/>
    <w:uiPriority w:val="65"/>
    <w:qFormat/>
    <w:rsid w:val="00C41F82"/>
    <w:pPr>
      <w:ind w:left="1894"/>
    </w:pPr>
  </w:style>
  <w:style w:type="paragraph" w:customStyle="1" w:styleId="ZLITTIRzmtirliter">
    <w:name w:val="Z_LIT/TIR – zm. tir. literą"/>
    <w:basedOn w:val="TIRtiret"/>
    <w:uiPriority w:val="49"/>
    <w:qFormat/>
    <w:rsid w:val="00C41F82"/>
  </w:style>
  <w:style w:type="paragraph" w:customStyle="1" w:styleId="ZZCZWSPLITwPKTzmianazmczciwsplitwpkt">
    <w:name w:val="ZZ/CZ_WSP_LIT_w_PKT – zmiana zm. części wsp. lit. w pkt"/>
    <w:basedOn w:val="ZZLITwPKTzmianazmlitwpkt"/>
    <w:uiPriority w:val="69"/>
    <w:qFormat/>
    <w:rsid w:val="00C41F82"/>
    <w:pPr>
      <w:ind w:left="2404" w:firstLine="0"/>
    </w:pPr>
  </w:style>
  <w:style w:type="paragraph" w:customStyle="1" w:styleId="ZZLITwPKTzmianazmlitwpkt">
    <w:name w:val="ZZ/LIT_w_PKT – zmiana zm. lit. w pkt"/>
    <w:basedOn w:val="ZLITwPKTzmlitwpktartykuempunktem"/>
    <w:uiPriority w:val="67"/>
    <w:qFormat/>
    <w:rsid w:val="00C41F82"/>
    <w:pPr>
      <w:ind w:left="2880"/>
    </w:pPr>
  </w:style>
  <w:style w:type="paragraph" w:customStyle="1" w:styleId="ZLITCZWSPLITwPKTzmczciwsplitwpktliter">
    <w:name w:val="Z_LIT/CZ_WSP_LIT_w_PKT – zm. części wsp. lit. w pkt literą"/>
    <w:basedOn w:val="CZWSPLITczwsplnaliter"/>
    <w:next w:val="LITlitera"/>
    <w:uiPriority w:val="51"/>
    <w:qFormat/>
    <w:rsid w:val="00C41F82"/>
    <w:pPr>
      <w:ind w:left="1497"/>
    </w:pPr>
  </w:style>
  <w:style w:type="paragraph" w:customStyle="1" w:styleId="ZLITTIRwPKTzmtirwpktliter">
    <w:name w:val="Z_LIT/TIR_w_PKT – zm. tir. w pkt literą"/>
    <w:basedOn w:val="TIRtiret"/>
    <w:uiPriority w:val="49"/>
    <w:qFormat/>
    <w:rsid w:val="00C41F82"/>
    <w:pPr>
      <w:ind w:left="2370"/>
    </w:pPr>
  </w:style>
  <w:style w:type="paragraph" w:customStyle="1" w:styleId="ZLITCZWSPTIRwPKTzmczciwsptirwpktliter">
    <w:name w:val="Z_LIT/CZ_WSP_TIR_w_PKT – zm. części wsp. tir. w pkt literą"/>
    <w:basedOn w:val="CZWSPTIRczwsplnatiret"/>
    <w:next w:val="LITlitera"/>
    <w:uiPriority w:val="51"/>
    <w:qFormat/>
    <w:rsid w:val="00C41F82"/>
    <w:pPr>
      <w:ind w:left="1973"/>
    </w:pPr>
  </w:style>
  <w:style w:type="character" w:customStyle="1" w:styleId="TekstprzypisudolnegoZnak">
    <w:name w:val="Tekst przypisu dolnego Znak"/>
    <w:basedOn w:val="Domylnaczcionkaakapitu"/>
    <w:link w:val="Tekstprzypisudolnego"/>
    <w:uiPriority w:val="99"/>
    <w:semiHidden/>
    <w:rsid w:val="00C41F82"/>
    <w:rPr>
      <w:rFonts w:ascii="Times" w:eastAsia="Times New Roman" w:hAnsi="Times" w:cs="Times New Roman"/>
      <w:szCs w:val="24"/>
    </w:rPr>
  </w:style>
  <w:style w:type="paragraph" w:styleId="Tekstprzypisudolnego">
    <w:name w:val="footnote text"/>
    <w:basedOn w:val="Normalny"/>
    <w:link w:val="TekstprzypisudolnegoZnak"/>
    <w:uiPriority w:val="99"/>
    <w:semiHidden/>
    <w:qFormat/>
    <w:rsid w:val="00C41F82"/>
    <w:rPr>
      <w:rFonts w:ascii="Times" w:eastAsia="Times New Roman" w:hAnsi="Times" w:cs="Times New Roman"/>
      <w:szCs w:val="24"/>
    </w:rPr>
  </w:style>
  <w:style w:type="paragraph" w:customStyle="1" w:styleId="ZTIRLITzmlittiret">
    <w:name w:val="Z_TIR/LIT – zm. lit. tiret"/>
    <w:basedOn w:val="LITlitera"/>
    <w:uiPriority w:val="57"/>
    <w:qFormat/>
    <w:rsid w:val="00C41F82"/>
    <w:pPr>
      <w:ind w:left="1859"/>
    </w:pPr>
    <w:rPr>
      <w:rFonts w:eastAsiaTheme="minorEastAsia"/>
    </w:rPr>
  </w:style>
  <w:style w:type="paragraph" w:customStyle="1" w:styleId="ZTIRCZWSPPKTzmczciwsppkttiret">
    <w:name w:val="Z_TIR/CZ_WSP_PKT – zm. części wsp. pkt tiret"/>
    <w:basedOn w:val="CZWSPLITczwsplnaliter"/>
    <w:next w:val="TIRtiret"/>
    <w:uiPriority w:val="58"/>
    <w:qFormat/>
    <w:rsid w:val="00C41F82"/>
    <w:pPr>
      <w:ind w:left="1383"/>
    </w:pPr>
  </w:style>
  <w:style w:type="paragraph" w:customStyle="1" w:styleId="ZTIRTIRzmtirtiret">
    <w:name w:val="Z_TIR/TIR – zm. tir. tiret"/>
    <w:basedOn w:val="TIRtiret"/>
    <w:uiPriority w:val="57"/>
    <w:qFormat/>
    <w:rsid w:val="00C41F82"/>
    <w:pPr>
      <w:ind w:left="1780"/>
    </w:pPr>
  </w:style>
  <w:style w:type="paragraph" w:customStyle="1" w:styleId="ZZCZWSPTIRwPKTzmianazmczciwsptirwpkt">
    <w:name w:val="ZZ/CZ_WSP_TIR_w_PKT – zmiana zm. części wsp. tir. w pkt"/>
    <w:basedOn w:val="ZZTIRwPKTzmianazmtirwpkt"/>
    <w:uiPriority w:val="70"/>
    <w:qFormat/>
    <w:rsid w:val="00C41F82"/>
    <w:pPr>
      <w:ind w:left="2880" w:firstLine="0"/>
    </w:pPr>
  </w:style>
  <w:style w:type="paragraph" w:customStyle="1" w:styleId="ZZTIRwPKTzmianazmtirwpkt">
    <w:name w:val="ZZ/TIR_w_PKT – zmiana zm. tir. w pkt"/>
    <w:basedOn w:val="ZTIRwPKTzmtirwpktartykuempunktem"/>
    <w:uiPriority w:val="67"/>
    <w:qFormat/>
    <w:rsid w:val="00C41F82"/>
    <w:pPr>
      <w:ind w:left="3277"/>
    </w:pPr>
  </w:style>
  <w:style w:type="paragraph" w:customStyle="1" w:styleId="ZZTIRwLITzmianazmtirwlit">
    <w:name w:val="ZZ/TIR_w_LIT – zmiana zm. tir. w lit."/>
    <w:basedOn w:val="ZZTIRzmianazmtir"/>
    <w:uiPriority w:val="67"/>
    <w:qFormat/>
    <w:rsid w:val="00C41F82"/>
    <w:pPr>
      <w:ind w:left="2767"/>
    </w:pPr>
  </w:style>
  <w:style w:type="paragraph" w:customStyle="1" w:styleId="ZTIRTIRwLITzmtirwlittiret">
    <w:name w:val="Z_TIR/TIR_w_LIT – zm. tir. w lit. tiret"/>
    <w:basedOn w:val="TIRtiret"/>
    <w:uiPriority w:val="57"/>
    <w:qFormat/>
    <w:rsid w:val="00C41F82"/>
    <w:pPr>
      <w:ind w:left="2257"/>
    </w:pPr>
  </w:style>
  <w:style w:type="paragraph" w:customStyle="1" w:styleId="ZTIRCZWSPTIRwLITzmczciwsptirwlittiret">
    <w:name w:val="Z_TIR/CZ_WSP_TIR_w_LIT – zm. części wsp. tir. w lit. tiret"/>
    <w:basedOn w:val="CZWSPTIRczwsplnatiret"/>
    <w:next w:val="TIRtiret"/>
    <w:uiPriority w:val="60"/>
    <w:qFormat/>
    <w:rsid w:val="00C41F82"/>
    <w:pPr>
      <w:ind w:left="1860"/>
    </w:pPr>
  </w:style>
  <w:style w:type="paragraph" w:customStyle="1" w:styleId="CZWSP2TIRczwsplnapodwjnychtiret">
    <w:name w:val="CZ_WSP_2TIR – część wspólna podwójnych tiret"/>
    <w:basedOn w:val="CZWSPTIRczwsplnatiret"/>
    <w:next w:val="TIRtiret"/>
    <w:uiPriority w:val="73"/>
    <w:qFormat/>
    <w:rsid w:val="00C41F82"/>
    <w:pPr>
      <w:ind w:left="1780"/>
    </w:pPr>
  </w:style>
  <w:style w:type="paragraph" w:customStyle="1" w:styleId="Z2TIRzmpodwtirartykuempunktem">
    <w:name w:val="Z/2TIR – zm. podw. tir. artykułem (punktem)"/>
    <w:basedOn w:val="TIRtiret"/>
    <w:uiPriority w:val="73"/>
    <w:qFormat/>
    <w:rsid w:val="00C41F82"/>
    <w:pPr>
      <w:ind w:left="907"/>
    </w:pPr>
  </w:style>
  <w:style w:type="paragraph" w:customStyle="1" w:styleId="ZZCZWSPTIRwLITzmianazmczciwsptirwlit">
    <w:name w:val="ZZ/CZ_WSP_TIR_w_LIT – zmiana zm. części wsp. tir. w lit."/>
    <w:basedOn w:val="ZZTIRwLITzmianazmtirwlit"/>
    <w:uiPriority w:val="70"/>
    <w:qFormat/>
    <w:rsid w:val="00C41F82"/>
    <w:pPr>
      <w:ind w:left="2370" w:firstLine="0"/>
    </w:pPr>
  </w:style>
  <w:style w:type="paragraph" w:customStyle="1" w:styleId="ZLIT2TIRzmpodwtirliter">
    <w:name w:val="Z_LIT/2TIR – zm. podw. tir. literą"/>
    <w:basedOn w:val="TIRtiret"/>
    <w:uiPriority w:val="75"/>
    <w:qFormat/>
    <w:rsid w:val="00C41F82"/>
  </w:style>
  <w:style w:type="paragraph" w:customStyle="1" w:styleId="ZTIR2TIRzmpodwtirtiret">
    <w:name w:val="Z_TIR/2TIR – zm. podw. tir. tiret"/>
    <w:basedOn w:val="TIRtiret"/>
    <w:uiPriority w:val="78"/>
    <w:qFormat/>
    <w:rsid w:val="00C41F82"/>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C41F82"/>
    <w:pPr>
      <w:ind w:left="1780"/>
    </w:pPr>
  </w:style>
  <w:style w:type="paragraph" w:customStyle="1" w:styleId="Z2TIRwPKTzmpodwtirwpktartykuempunktem">
    <w:name w:val="Z/2TIR_w_PKT – zm. podw. tir. w pkt artykułem (punktem)"/>
    <w:basedOn w:val="TIRtiret"/>
    <w:next w:val="ZPKTzmpktartykuempunktem"/>
    <w:uiPriority w:val="74"/>
    <w:qFormat/>
    <w:rsid w:val="00C41F82"/>
    <w:pPr>
      <w:ind w:left="2291"/>
    </w:pPr>
  </w:style>
  <w:style w:type="paragraph" w:customStyle="1" w:styleId="ZTIRLITwPKTzmlitwpkttiret">
    <w:name w:val="Z_TIR/LIT_w_PKT – zm. lit. w pkt tiret"/>
    <w:basedOn w:val="LITlitera"/>
    <w:uiPriority w:val="57"/>
    <w:qFormat/>
    <w:rsid w:val="00C41F82"/>
    <w:pPr>
      <w:ind w:left="2336"/>
    </w:pPr>
    <w:rPr>
      <w:rFonts w:eastAsiaTheme="minorEastAsia"/>
    </w:rPr>
  </w:style>
  <w:style w:type="paragraph" w:customStyle="1" w:styleId="ZTIRCZWSPLITwPKTzmczciwsplitwpkttiret">
    <w:name w:val="Z_TIR/CZ_WSP_LIT_w_PKT – zm. części wsp. lit. w pkt tiret"/>
    <w:basedOn w:val="CZWSPLITczwsplnaliter"/>
    <w:uiPriority w:val="59"/>
    <w:qFormat/>
    <w:rsid w:val="00C41F82"/>
    <w:pPr>
      <w:ind w:left="1860"/>
    </w:pPr>
  </w:style>
  <w:style w:type="paragraph" w:customStyle="1" w:styleId="ZTIR2TIRwLITzmpodwtirwlittiret">
    <w:name w:val="Z_TIR/2TIR_w_LIT – zm. podw. tir. w lit. tiret"/>
    <w:basedOn w:val="TIRtiret"/>
    <w:uiPriority w:val="79"/>
    <w:qFormat/>
    <w:rsid w:val="00C41F82"/>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C41F82"/>
    <w:pPr>
      <w:ind w:left="2257"/>
    </w:pPr>
  </w:style>
  <w:style w:type="paragraph" w:customStyle="1" w:styleId="ZTIR2TIRwTIRzmpodwtirwtirtiret">
    <w:name w:val="Z_TIR/2TIR_w_TIR – zm. podw. tir. w tir. tiret"/>
    <w:basedOn w:val="TIRtiret"/>
    <w:uiPriority w:val="78"/>
    <w:qFormat/>
    <w:rsid w:val="00C41F82"/>
    <w:pPr>
      <w:ind w:left="2177"/>
    </w:pPr>
  </w:style>
  <w:style w:type="paragraph" w:customStyle="1" w:styleId="ZTIRCZWSP2TIRwTIRzmczciwsppodwtirwtirtiret">
    <w:name w:val="Z_TIR/CZ_WSP_2TIR_w_TIR – zm. części wsp. podw. tir. w tir. tiret"/>
    <w:basedOn w:val="CZWSPTIRczwsplnatiret"/>
    <w:uiPriority w:val="79"/>
    <w:qFormat/>
    <w:rsid w:val="00C41F82"/>
    <w:pPr>
      <w:ind w:left="1780"/>
    </w:pPr>
  </w:style>
  <w:style w:type="paragraph" w:customStyle="1" w:styleId="Z2TIRLITzmlitpodwjnymtiret">
    <w:name w:val="Z_2TIR/LIT – zm. lit. podwójnym tiret"/>
    <w:basedOn w:val="LITlitera"/>
    <w:uiPriority w:val="84"/>
    <w:qFormat/>
    <w:rsid w:val="00C41F82"/>
    <w:pPr>
      <w:ind w:left="2256"/>
    </w:pPr>
    <w:rPr>
      <w:rFonts w:eastAsiaTheme="minorEastAsia"/>
    </w:rPr>
  </w:style>
  <w:style w:type="paragraph" w:customStyle="1" w:styleId="ZZ2TIRwTIRzmianazmpodwtirwtir">
    <w:name w:val="ZZ/2TIR_w_TIR – zmiana zm. podw. tir. w tir."/>
    <w:basedOn w:val="ZZCZWSP2TIRzmianazmczciwsppodwtir"/>
    <w:uiPriority w:val="93"/>
    <w:qFormat/>
    <w:rsid w:val="00C41F82"/>
    <w:pPr>
      <w:ind w:left="2688" w:hanging="397"/>
    </w:pPr>
  </w:style>
  <w:style w:type="paragraph" w:customStyle="1" w:styleId="ZZCZWSP2TIRzmianazmczciwsppodwtir">
    <w:name w:val="ZZ/CZ_WSP_2TIR – zmiana zm. części wsp. podw. tir."/>
    <w:basedOn w:val="ZZTIRzmianazmtir"/>
    <w:next w:val="ZZUSTzmianazmust"/>
    <w:uiPriority w:val="94"/>
    <w:qFormat/>
    <w:rsid w:val="00C41F82"/>
    <w:pPr>
      <w:ind w:left="1894" w:firstLine="0"/>
    </w:pPr>
  </w:style>
  <w:style w:type="paragraph" w:customStyle="1" w:styleId="ZZUSTzmianazmust">
    <w:name w:val="ZZ/UST(§) – zmiana zm. ust. (§)"/>
    <w:basedOn w:val="ZZARTzmianazmart"/>
    <w:uiPriority w:val="65"/>
    <w:qFormat/>
    <w:rsid w:val="00C41F82"/>
  </w:style>
  <w:style w:type="paragraph" w:customStyle="1" w:styleId="ZZ2TIRwLITzmianazmpodwtirwlit">
    <w:name w:val="ZZ/2TIR_w_LIT – zmiana zm. podw. tir. w lit."/>
    <w:basedOn w:val="ZZ2TIRwTIRzmianazmpodwtirwtir"/>
    <w:uiPriority w:val="94"/>
    <w:qFormat/>
    <w:rsid w:val="00C41F82"/>
    <w:pPr>
      <w:ind w:left="3164"/>
    </w:pPr>
  </w:style>
  <w:style w:type="paragraph" w:customStyle="1" w:styleId="Z2TIRTIRwLITzmtirwlitpodwjnymtiret">
    <w:name w:val="Z_2TIR/TIR_w_LIT – zm. tir. w lit. podwójnym tiret"/>
    <w:basedOn w:val="TIRtiret"/>
    <w:uiPriority w:val="84"/>
    <w:qFormat/>
    <w:rsid w:val="00C41F82"/>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C41F82"/>
    <w:pPr>
      <w:ind w:left="2257"/>
    </w:pPr>
  </w:style>
  <w:style w:type="paragraph" w:customStyle="1" w:styleId="ZZ2TIRwPKTzmianazmpodwtirwpkt">
    <w:name w:val="ZZ/2TIR_w_PKT – zmiana zm. podw. tir. w pkt"/>
    <w:basedOn w:val="ZZ2TIRwLITzmianazmpodwtirwlit"/>
    <w:uiPriority w:val="94"/>
    <w:qFormat/>
    <w:rsid w:val="00C41F82"/>
    <w:pPr>
      <w:ind w:left="3674"/>
    </w:pPr>
  </w:style>
  <w:style w:type="paragraph" w:customStyle="1" w:styleId="ZZCZWSP2TIRwTIRzmianazmczciwsppodwtirwtir">
    <w:name w:val="ZZ/CZ_WSP_2TIR_w_TIR – zmiana zm. części wsp. podw. tir. w tir."/>
    <w:basedOn w:val="ZZ2TIRwLITzmianazmpodwtirwlit"/>
    <w:uiPriority w:val="94"/>
    <w:qFormat/>
    <w:rsid w:val="00C41F82"/>
    <w:pPr>
      <w:ind w:left="2291" w:firstLine="0"/>
    </w:pPr>
  </w:style>
  <w:style w:type="paragraph" w:customStyle="1" w:styleId="Z2TIR2TIRwTIRzmpodwtirwtirpodwjnymtiret">
    <w:name w:val="Z_2TIR/2TIR_w_TIR – zm. podw. tir. w tir. podwójnym tiret"/>
    <w:basedOn w:val="TIRtiret"/>
    <w:uiPriority w:val="85"/>
    <w:qFormat/>
    <w:rsid w:val="00C41F82"/>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C41F82"/>
    <w:pPr>
      <w:ind w:left="2177"/>
    </w:pPr>
  </w:style>
  <w:style w:type="paragraph" w:customStyle="1" w:styleId="Z2TIR2TIRwLITzmpodwtirwlitpodwjnymtiret">
    <w:name w:val="Z_2TIR/2TIR_w_LIT – zm. podw. tir. w lit. podwójnym tiret"/>
    <w:basedOn w:val="TIRtiret"/>
    <w:uiPriority w:val="86"/>
    <w:qFormat/>
    <w:rsid w:val="00C41F82"/>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C41F82"/>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C41F82"/>
    <w:pPr>
      <w:ind w:left="510"/>
    </w:pPr>
    <w:rPr>
      <w:b w:val="0"/>
    </w:rPr>
  </w:style>
  <w:style w:type="paragraph" w:customStyle="1" w:styleId="ZZWMATFIZCHEMzmwzorumatfizlubchem">
    <w:name w:val="ZZ/W_MAT(FIZ|CHEM) – zm. wzoru mat. (fiz. lub chem.)"/>
    <w:basedOn w:val="ZWMATFIZCHEMzmwzorumatfizlubchemartykuempunktem"/>
    <w:uiPriority w:val="71"/>
    <w:qFormat/>
    <w:rsid w:val="00C41F82"/>
    <w:pPr>
      <w:ind w:left="2404"/>
    </w:pPr>
  </w:style>
  <w:style w:type="paragraph" w:customStyle="1" w:styleId="ZFRAGzmfragmentunpzdaniaartykuempunktem">
    <w:name w:val="Z/FRAG – zm. fragmentu (np. zdania) artykułem (punktem)"/>
    <w:basedOn w:val="ZARTzmartartykuempunktem"/>
    <w:next w:val="PKTpunkt"/>
    <w:uiPriority w:val="36"/>
    <w:qFormat/>
    <w:rsid w:val="00C41F82"/>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C41F82"/>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C41F82"/>
    <w:rPr>
      <w:rFonts w:ascii="Times New Roman" w:hAnsi="Times New Roman"/>
    </w:rPr>
  </w:style>
  <w:style w:type="paragraph" w:customStyle="1" w:styleId="ZTIRTIRwPKTzmtirwpkttiret">
    <w:name w:val="Z_TIR/TIR_w_PKT – zm. tir. w pkt tiret"/>
    <w:basedOn w:val="ZTIRTIRwLITzmtirwlittiret"/>
    <w:uiPriority w:val="57"/>
    <w:qFormat/>
    <w:rsid w:val="00C41F82"/>
    <w:pPr>
      <w:ind w:left="2733"/>
    </w:pPr>
  </w:style>
  <w:style w:type="paragraph" w:customStyle="1" w:styleId="ZTIRCZWSPTIRwPKTzmczciwsptirtiret">
    <w:name w:val="Z_TIR/CZ_WSP_TIR_w_PKT – zm. części wsp. tir. tiret"/>
    <w:basedOn w:val="ZTIRTIRwPKTzmtirwpkttiret"/>
    <w:next w:val="TIRtiret"/>
    <w:uiPriority w:val="60"/>
    <w:qFormat/>
    <w:rsid w:val="00C41F82"/>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C41F82"/>
    <w:pPr>
      <w:ind w:left="510" w:firstLine="0"/>
    </w:pPr>
    <w:rPr>
      <w:rFonts w:eastAsiaTheme="minorEastAsia"/>
    </w:rPr>
  </w:style>
  <w:style w:type="paragraph" w:customStyle="1" w:styleId="ROZDZODDZOZNoznaczenierozdziauluboddziau">
    <w:name w:val="ROZDZ(ODDZ)_OZN – oznaczenie rozdziału lub oddziału"/>
    <w:next w:val="ARTartustawynprozporzdzenia"/>
    <w:uiPriority w:val="10"/>
    <w:qFormat/>
    <w:rsid w:val="00C41F82"/>
    <w:pPr>
      <w:keepNext/>
      <w:suppressAutoHyphens/>
      <w:spacing w:before="120" w:after="0" w:line="360" w:lineRule="auto"/>
      <w:jc w:val="center"/>
    </w:pPr>
    <w:rPr>
      <w:rFonts w:ascii="Times" w:eastAsiaTheme="minorEastAsia" w:hAnsi="Times" w:cs="Arial"/>
      <w:bCs/>
      <w:kern w:val="24"/>
      <w:sz w:val="24"/>
      <w:szCs w:val="24"/>
      <w:lang w:eastAsia="pl-PL"/>
    </w:rPr>
  </w:style>
  <w:style w:type="paragraph" w:customStyle="1" w:styleId="Z2TIR2TIRzmpodwtirpodwjnymtiret">
    <w:name w:val="Z_2TIR/2TIR – zm. podw. tir. podwójnym tiret"/>
    <w:basedOn w:val="TIRtiret"/>
    <w:uiPriority w:val="85"/>
    <w:qFormat/>
    <w:rsid w:val="00C41F82"/>
    <w:pPr>
      <w:ind w:left="2177"/>
    </w:pPr>
  </w:style>
  <w:style w:type="paragraph" w:customStyle="1" w:styleId="Z2TIRTIRzmtirpodwjnymtiret">
    <w:name w:val="Z_2TIR/TIR – zm. tir. podwójnym tiret"/>
    <w:basedOn w:val="TIRtiret"/>
    <w:uiPriority w:val="84"/>
    <w:qFormat/>
    <w:rsid w:val="00C41F82"/>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C41F82"/>
    <w:pPr>
      <w:ind w:left="1021"/>
    </w:pPr>
  </w:style>
  <w:style w:type="paragraph" w:customStyle="1" w:styleId="ZLITSKARNzmsankcjikarnejliter">
    <w:name w:val="Z_LIT/S_KARN – zm. sankcji karnej literą"/>
    <w:basedOn w:val="ZSKARNzmsankcjikarnejwszczeglnociwKodeksiekarnym"/>
    <w:uiPriority w:val="53"/>
    <w:qFormat/>
    <w:rsid w:val="00C41F82"/>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C41F82"/>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C41F82"/>
    <w:pPr>
      <w:ind w:left="1894" w:firstLine="0"/>
    </w:pPr>
  </w:style>
  <w:style w:type="paragraph" w:customStyle="1" w:styleId="Z2TIRwLITzmpodwtirwlitartykuempunktem">
    <w:name w:val="Z/2TIR_w_LIT – zm. podw. tir. w lit. artykułem (punktem)"/>
    <w:basedOn w:val="Z2TIRwPKTzmpodwtirwpktartykuempunktem"/>
    <w:uiPriority w:val="74"/>
    <w:qFormat/>
    <w:rsid w:val="00C41F82"/>
    <w:pPr>
      <w:ind w:left="1780"/>
    </w:pPr>
  </w:style>
  <w:style w:type="paragraph" w:customStyle="1" w:styleId="Z2TIRwTIRzmpodwtirwtirartykuempunktem">
    <w:name w:val="Z/2TIR_w_TIR – zm. podw. tir. w tir. artykułem (punktem)"/>
    <w:basedOn w:val="Z2TIRwLITzmpodwtirwlitartykuempunktem"/>
    <w:uiPriority w:val="73"/>
    <w:qFormat/>
    <w:rsid w:val="00C41F82"/>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C41F82"/>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C41F82"/>
    <w:pPr>
      <w:ind w:left="1383" w:firstLine="0"/>
    </w:pPr>
  </w:style>
  <w:style w:type="paragraph" w:customStyle="1" w:styleId="PKTODNONIKApunktodnonika">
    <w:name w:val="PKT_ODNOŚNIKA – punkt odnośnika"/>
    <w:basedOn w:val="ODNONIKtreodnonika"/>
    <w:uiPriority w:val="19"/>
    <w:qFormat/>
    <w:rsid w:val="00C41F82"/>
    <w:pPr>
      <w:ind w:left="568"/>
    </w:pPr>
  </w:style>
  <w:style w:type="paragraph" w:customStyle="1" w:styleId="ZODNONIKAzmtekstuodnonikaartykuempunktem">
    <w:name w:val="Z/ODNOŚNIKA – zm. tekstu odnośnika artykułem (punktem)"/>
    <w:basedOn w:val="ODNONIKtreodnonika"/>
    <w:uiPriority w:val="39"/>
    <w:qFormat/>
    <w:rsid w:val="00C41F82"/>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C41F82"/>
    <w:pPr>
      <w:ind w:left="1304"/>
    </w:pPr>
  </w:style>
  <w:style w:type="paragraph" w:customStyle="1" w:styleId="ZPKTODNONIKAzmpktodnonikaartykuempunktem">
    <w:name w:val="Z/PKT_ODNOŚNIKA – zm. pkt odnośnika artykułem (punktem)"/>
    <w:basedOn w:val="ZODNONIKAzmtekstuodnonikaartykuempunktem"/>
    <w:uiPriority w:val="39"/>
    <w:qFormat/>
    <w:rsid w:val="00C41F82"/>
  </w:style>
  <w:style w:type="paragraph" w:customStyle="1" w:styleId="ZLIT2TIRwTIRzmpodwtirwtirliter">
    <w:name w:val="Z_LIT/2TIR_w_TIR – zm. podw. tir. w tir. literą"/>
    <w:basedOn w:val="ZLIT2TIRzmpodwtirliter"/>
    <w:uiPriority w:val="75"/>
    <w:qFormat/>
    <w:rsid w:val="00C41F82"/>
    <w:pPr>
      <w:ind w:left="1780"/>
    </w:pPr>
  </w:style>
  <w:style w:type="paragraph" w:customStyle="1" w:styleId="ZLIT2TIRwLITzmpodwtirwlitliter">
    <w:name w:val="Z_LIT/2TIR_w_LIT – zm. podw. tir. w lit. literą"/>
    <w:basedOn w:val="ZLIT2TIRwTIRzmpodwtirwtirliter"/>
    <w:uiPriority w:val="76"/>
    <w:qFormat/>
    <w:rsid w:val="00C41F82"/>
    <w:pPr>
      <w:ind w:left="2257"/>
    </w:pPr>
  </w:style>
  <w:style w:type="paragraph" w:customStyle="1" w:styleId="ZLIT2TIRwPKTzmpodwtirwpktliter">
    <w:name w:val="Z_LIT/2TIR_w_PKT – zm. podw. tir. w pkt literą"/>
    <w:basedOn w:val="ZLIT2TIRwLITzmpodwtirwlitliter"/>
    <w:uiPriority w:val="76"/>
    <w:qFormat/>
    <w:rsid w:val="00C41F82"/>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C41F82"/>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C41F82"/>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C41F82"/>
    <w:pPr>
      <w:ind w:left="2370" w:firstLine="0"/>
    </w:pPr>
  </w:style>
  <w:style w:type="paragraph" w:customStyle="1" w:styleId="ZTIR2TIRwPKTzmpodwtirwpkttiret">
    <w:name w:val="Z_TIR/2TIR_w_PKT – zm. podw. tir. w pkt tiret"/>
    <w:basedOn w:val="ZTIR2TIRwLITzmpodwtirwlittiret"/>
    <w:uiPriority w:val="79"/>
    <w:qFormat/>
    <w:rsid w:val="00C41F82"/>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C41F82"/>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C41F82"/>
    <w:pPr>
      <w:ind w:left="2767"/>
    </w:pPr>
  </w:style>
  <w:style w:type="paragraph" w:customStyle="1" w:styleId="ZZCZWSP2TIRwPKTzmianazmczciwsppodwtirwpkt">
    <w:name w:val="ZZ/CZ_WSP_2TIR_w_PKT – zmiana zm. części wsp. podw. tir. w pkt"/>
    <w:basedOn w:val="ZZ2TIRwLITzmianazmpodwtirwlit"/>
    <w:uiPriority w:val="95"/>
    <w:qFormat/>
    <w:rsid w:val="00C41F82"/>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C41F82"/>
  </w:style>
  <w:style w:type="paragraph" w:customStyle="1" w:styleId="ZLITCZWSP2TIRzmczciwsppodwtirliter">
    <w:name w:val="Z_LIT/CZ_WSP_2TIR – zm. części wsp. podw. tir. literą"/>
    <w:basedOn w:val="ZLITCZWSPPKTzmczciwsppktliter"/>
    <w:next w:val="LITlitera"/>
    <w:uiPriority w:val="76"/>
    <w:qFormat/>
    <w:rsid w:val="00C41F82"/>
  </w:style>
  <w:style w:type="paragraph" w:customStyle="1" w:styleId="ZTIRCZWSP2TIRzmczciwsppodwtirtiret">
    <w:name w:val="Z_TIR/CZ_WSP_2TIR – zm. części wsp. podw. tir. tiret"/>
    <w:basedOn w:val="ZLITCZWSP2TIRzmczciwsppodwtirliter"/>
    <w:next w:val="TIRtiret"/>
    <w:uiPriority w:val="79"/>
    <w:qFormat/>
    <w:rsid w:val="00C41F82"/>
  </w:style>
  <w:style w:type="paragraph" w:customStyle="1" w:styleId="ZZ2TIRzmianazmpodwtir">
    <w:name w:val="ZZ/2TIR – zmiana zm. podw. tir."/>
    <w:basedOn w:val="ZZCZWSP2TIRzmianazmczciwsppodwtir"/>
    <w:uiPriority w:val="93"/>
    <w:qFormat/>
    <w:rsid w:val="00C41F82"/>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C41F82"/>
  </w:style>
  <w:style w:type="paragraph" w:customStyle="1" w:styleId="ZCZWSPTIRzmczciwsptirartykuempunktem">
    <w:name w:val="Z/CZ_WSP_TIR – zm. części wsp. tir. artykułem (punktem)"/>
    <w:basedOn w:val="ZCZWSPPKTzmczciwsppktartykuempunktem"/>
    <w:next w:val="PKTpunkt"/>
    <w:uiPriority w:val="35"/>
    <w:qFormat/>
    <w:rsid w:val="00C41F82"/>
  </w:style>
  <w:style w:type="paragraph" w:customStyle="1" w:styleId="ZLITCZWSPLITzmczciwsplitliter">
    <w:name w:val="Z_LIT/CZ_WSP_LIT – zm. części wsp. lit. literą"/>
    <w:basedOn w:val="ZLITCZWSPPKTzmczciwsppktliter"/>
    <w:next w:val="LITlitera"/>
    <w:uiPriority w:val="51"/>
    <w:qFormat/>
    <w:rsid w:val="00C41F82"/>
  </w:style>
  <w:style w:type="paragraph" w:customStyle="1" w:styleId="ZLITCZWSPTIRzmczciwsptirliter">
    <w:name w:val="Z_LIT/CZ_WSP_TIR – zm. części wsp. tir. literą"/>
    <w:basedOn w:val="ZLITCZWSPPKTzmczciwsppktliter"/>
    <w:next w:val="LITlitera"/>
    <w:uiPriority w:val="51"/>
    <w:qFormat/>
    <w:rsid w:val="00C41F82"/>
  </w:style>
  <w:style w:type="paragraph" w:customStyle="1" w:styleId="ZTIRCZWSPLITzmczciwsplittiret">
    <w:name w:val="Z_TIR/CZ_WSP_LIT – zm. części wsp. lit. tiret"/>
    <w:basedOn w:val="ZTIRCZWSPPKTzmczciwsppkttiret"/>
    <w:next w:val="TIRtiret"/>
    <w:uiPriority w:val="59"/>
    <w:qFormat/>
    <w:rsid w:val="00C41F82"/>
  </w:style>
  <w:style w:type="paragraph" w:customStyle="1" w:styleId="ZTIRCZWSPTIRzmczciwsptirtiret">
    <w:name w:val="Z_TIR/CZ_WSP_TIR – zm. części wsp. tir. tiret"/>
    <w:basedOn w:val="ZTIRCZWSPPKTzmczciwsppkttiret"/>
    <w:next w:val="TIRtiret"/>
    <w:uiPriority w:val="60"/>
    <w:qFormat/>
    <w:rsid w:val="00C41F82"/>
  </w:style>
  <w:style w:type="paragraph" w:customStyle="1" w:styleId="ZZCZWSPLITzmianazmczciwsplit">
    <w:name w:val="ZZ/CZ_WSP_LIT – zmiana. zm. części wsp. lit."/>
    <w:basedOn w:val="ZZCZWSPPKTzmianazmczciwsppkt"/>
    <w:uiPriority w:val="69"/>
    <w:qFormat/>
    <w:rsid w:val="00C41F82"/>
  </w:style>
  <w:style w:type="paragraph" w:customStyle="1" w:styleId="ZZCZWSPTIRzmianazmczciwsptir">
    <w:name w:val="ZZ/CZ_WSP_TIR – zmiana. zm. części wsp. tir."/>
    <w:basedOn w:val="ZZCZWSPPKTzmianazmczciwsppkt"/>
    <w:uiPriority w:val="69"/>
    <w:qFormat/>
    <w:rsid w:val="00C41F82"/>
  </w:style>
  <w:style w:type="paragraph" w:customStyle="1" w:styleId="Z2TIRCZWSPTIRzmczciwsptirpodwjnymtiret">
    <w:name w:val="Z_2TIR/CZ_WSP_TIR – zm. części wsp. tir. podwójnym tiret"/>
    <w:basedOn w:val="Z2TIRCZWSPLITzmczciwsplitpodwjnymtiret"/>
    <w:next w:val="2TIRpodwjnytiret"/>
    <w:uiPriority w:val="87"/>
    <w:qFormat/>
    <w:rsid w:val="00C41F82"/>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C41F82"/>
  </w:style>
  <w:style w:type="paragraph" w:customStyle="1" w:styleId="TYTDZPRZEDMprzedmiotregulacjitytuulubdziau">
    <w:name w:val="TYT(DZ)_PRZEDM – przedmiot regulacji tytułu lub działu"/>
    <w:next w:val="ARTartustawynprozporzdzenia"/>
    <w:uiPriority w:val="9"/>
    <w:qFormat/>
    <w:rsid w:val="00C41F82"/>
    <w:pPr>
      <w:keepNext/>
      <w:suppressAutoHyphens/>
      <w:spacing w:before="120" w:after="0" w:line="360" w:lineRule="auto"/>
      <w:jc w:val="center"/>
    </w:pPr>
    <w:rPr>
      <w:rFonts w:ascii="Times" w:eastAsia="Times New Roman" w:hAnsi="Times" w:cs="Times New Roman"/>
      <w:b/>
      <w:sz w:val="24"/>
      <w:szCs w:val="26"/>
      <w:lang w:eastAsia="pl-PL"/>
    </w:rPr>
  </w:style>
  <w:style w:type="paragraph" w:customStyle="1" w:styleId="ZNIEARTTEKSTzmtekstunieartykuowanego">
    <w:name w:val="Z/NIEART_TEKST – zm. tekstu nieartykułowanego"/>
    <w:basedOn w:val="NIEARTTEKSTtekstnieartykuowanynppodstprawnarozplubpreambua"/>
    <w:uiPriority w:val="37"/>
    <w:qFormat/>
    <w:rsid w:val="00C41F82"/>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C41F82"/>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C41F82"/>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C41F82"/>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C41F82"/>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C41F82"/>
    <w:pPr>
      <w:ind w:left="1894"/>
    </w:pPr>
  </w:style>
  <w:style w:type="paragraph" w:customStyle="1" w:styleId="P1wTABELIpoziom1numeracjiwtabeli">
    <w:name w:val="P1_w_TABELI – poziom 1 numeracji w tabeli"/>
    <w:basedOn w:val="PKTpunkt"/>
    <w:uiPriority w:val="24"/>
    <w:qFormat/>
    <w:rsid w:val="00C41F82"/>
    <w:pPr>
      <w:ind w:left="397" w:hanging="397"/>
    </w:pPr>
    <w:rPr>
      <w:rFonts w:eastAsiaTheme="minorEastAsia"/>
      <w:kern w:val="24"/>
    </w:rPr>
  </w:style>
  <w:style w:type="paragraph" w:customStyle="1" w:styleId="CZWSPP1wTABELIczwsppoziomu1numeracjiwtabeli">
    <w:name w:val="CZ_WSP_P1_w_TABELI – część wsp. poziomu 1 numeracji w tabeli"/>
    <w:basedOn w:val="P1wTABELIpoziom1numeracjiwtabeli"/>
    <w:next w:val="Normalny"/>
    <w:uiPriority w:val="25"/>
    <w:qFormat/>
    <w:rsid w:val="00C41F82"/>
    <w:pPr>
      <w:ind w:left="0" w:firstLine="0"/>
    </w:pPr>
  </w:style>
  <w:style w:type="paragraph" w:customStyle="1" w:styleId="P2wTABELIpoziom2numeracjiwtabeli">
    <w:name w:val="P2_w_TABELI – poziom 2 numeracji w tabeli"/>
    <w:basedOn w:val="P1wTABELIpoziom1numeracjiwtabeli"/>
    <w:uiPriority w:val="24"/>
    <w:qFormat/>
    <w:rsid w:val="00C41F82"/>
    <w:pPr>
      <w:ind w:left="794"/>
    </w:pPr>
  </w:style>
  <w:style w:type="paragraph" w:customStyle="1" w:styleId="P3wTABELIpoziom3numeracjiwtabeli">
    <w:name w:val="P3_w_TABELI – poziom 3 numeracji w tabeli"/>
    <w:basedOn w:val="P2wTABELIpoziom2numeracjiwtabeli"/>
    <w:uiPriority w:val="24"/>
    <w:qFormat/>
    <w:rsid w:val="00C41F82"/>
    <w:pPr>
      <w:ind w:left="1191"/>
    </w:pPr>
  </w:style>
  <w:style w:type="paragraph" w:customStyle="1" w:styleId="CZWSPP2wTABELIczwsppoziomu2numeracjiwtabeli">
    <w:name w:val="CZ_WSP_P2_w_TABELI – część wsp. poziomu 2 numeracji w tabeli"/>
    <w:basedOn w:val="CZWSPP1wTABELIczwsppoziomu1numeracjiwtabeli"/>
    <w:next w:val="Normalny"/>
    <w:uiPriority w:val="25"/>
    <w:qFormat/>
    <w:rsid w:val="00C41F82"/>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C41F82"/>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C41F82"/>
    <w:pPr>
      <w:ind w:left="1191"/>
    </w:pPr>
  </w:style>
  <w:style w:type="paragraph" w:customStyle="1" w:styleId="P4wTABELIpoziom4numeracjiwtabeli">
    <w:name w:val="P4_w_TABELI – poziom 4 numeracji w tabeli"/>
    <w:basedOn w:val="P3wTABELIpoziom3numeracjiwtabeli"/>
    <w:uiPriority w:val="24"/>
    <w:qFormat/>
    <w:rsid w:val="00C41F82"/>
    <w:pPr>
      <w:ind w:left="1588"/>
    </w:pPr>
  </w:style>
  <w:style w:type="paragraph" w:customStyle="1" w:styleId="TYTTABELItytutabeli">
    <w:name w:val="TYT_TABELI – tytuł tabeli"/>
    <w:basedOn w:val="TYTDZOZNoznaczenietytuulubdziau"/>
    <w:uiPriority w:val="22"/>
    <w:qFormat/>
    <w:rsid w:val="00C41F82"/>
    <w:rPr>
      <w:b/>
    </w:rPr>
  </w:style>
  <w:style w:type="paragraph" w:customStyle="1" w:styleId="OZNPROJEKTUwskazaniedatylubwersjiprojektu">
    <w:name w:val="OZN_PROJEKTU – wskazanie daty lub wersji projektu"/>
    <w:next w:val="OZNRODZAKTUtznustawalubrozporzdzenieiorganwydajcy"/>
    <w:uiPriority w:val="5"/>
    <w:qFormat/>
    <w:rsid w:val="00C41F82"/>
    <w:pPr>
      <w:spacing w:after="0" w:line="360" w:lineRule="auto"/>
      <w:jc w:val="right"/>
    </w:pPr>
    <w:rPr>
      <w:rFonts w:ascii="Times New Roman" w:eastAsiaTheme="minorEastAsia" w:hAnsi="Times New Roman" w:cs="Arial"/>
      <w:sz w:val="24"/>
      <w:szCs w:val="20"/>
      <w:u w:val="single"/>
      <w:lang w:eastAsia="pl-PL"/>
    </w:rPr>
  </w:style>
  <w:style w:type="paragraph" w:customStyle="1" w:styleId="NAZORGWYDnazwaorganuwydajcegoprojektowanyakt">
    <w:name w:val="NAZ_ORG_WYD – nazwa organu wydającego projektowany akt"/>
    <w:basedOn w:val="OZNRODZAKTUtznustawalubrozporzdzenieiorganwydajcy"/>
    <w:uiPriority w:val="27"/>
    <w:qFormat/>
    <w:rsid w:val="00C41F82"/>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C41F82"/>
    <w:pPr>
      <w:ind w:left="0" w:right="4820"/>
      <w:jc w:val="left"/>
    </w:pPr>
  </w:style>
  <w:style w:type="paragraph" w:customStyle="1" w:styleId="TEKSTwporozumieniu">
    <w:name w:val="TEKST&quot;w porozumieniu:&quot;"/>
    <w:next w:val="NAZORGWPOROZUMIENIUnazwaorganuwporozumieniuzktrymaktjestwydawany"/>
    <w:uiPriority w:val="27"/>
    <w:qFormat/>
    <w:rsid w:val="00C41F82"/>
    <w:pPr>
      <w:spacing w:after="0" w:line="360" w:lineRule="auto"/>
    </w:pPr>
    <w:rPr>
      <w:rFonts w:ascii="Times New Roman" w:eastAsiaTheme="minorEastAsia" w:hAnsi="Times New Roman" w:cs="Arial"/>
      <w:b/>
      <w:sz w:val="24"/>
      <w:szCs w:val="20"/>
      <w:lang w:eastAsia="pl-PL"/>
    </w:rPr>
  </w:style>
  <w:style w:type="paragraph" w:customStyle="1" w:styleId="CZWSPPKTODNONIKAczwsppunkwodnonika">
    <w:name w:val="CZ_WSP_PKT_ODNOŚNIKA – część wsp. punków odnośnika"/>
    <w:basedOn w:val="PKTODNONIKApunktodnonika"/>
    <w:uiPriority w:val="21"/>
    <w:qFormat/>
    <w:rsid w:val="00C41F82"/>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C41F82"/>
    <w:pPr>
      <w:ind w:left="510" w:firstLine="0"/>
    </w:pPr>
  </w:style>
  <w:style w:type="paragraph" w:customStyle="1" w:styleId="NOTATKILEGISLATORA">
    <w:name w:val="NOTATKI_LEGISLATORA"/>
    <w:basedOn w:val="Normalny"/>
    <w:uiPriority w:val="5"/>
    <w:qFormat/>
    <w:rsid w:val="00C41F82"/>
    <w:rPr>
      <w:b/>
      <w:i/>
    </w:rPr>
  </w:style>
  <w:style w:type="paragraph" w:customStyle="1" w:styleId="OZNZACZNIKAwskazanienrzacznika">
    <w:name w:val="OZN_ZAŁĄCZNIKA – wskazanie nr załącznika"/>
    <w:basedOn w:val="OZNPROJEKTUwskazaniedatylubwersjiprojektu"/>
    <w:uiPriority w:val="28"/>
    <w:qFormat/>
    <w:rsid w:val="00C41F82"/>
    <w:pPr>
      <w:keepNext/>
    </w:pPr>
    <w:rPr>
      <w:b/>
      <w:u w:val="none"/>
    </w:rPr>
  </w:style>
  <w:style w:type="paragraph" w:customStyle="1" w:styleId="OZNPARAFYADNOTACJE">
    <w:name w:val="OZN_PARAFY(ADNOTACJE)"/>
    <w:basedOn w:val="ODNONIKtreodnonika"/>
    <w:uiPriority w:val="26"/>
    <w:qFormat/>
    <w:rsid w:val="00C41F82"/>
  </w:style>
  <w:style w:type="paragraph" w:customStyle="1" w:styleId="TEKSTZacznikido">
    <w:name w:val="TEKST&quot;Załącznik(i) do ...&quot;"/>
    <w:uiPriority w:val="28"/>
    <w:qFormat/>
    <w:rsid w:val="00C41F82"/>
    <w:pPr>
      <w:keepNext/>
      <w:spacing w:after="240" w:line="240" w:lineRule="auto"/>
      <w:ind w:left="5670"/>
      <w:contextualSpacing/>
    </w:pPr>
    <w:rPr>
      <w:rFonts w:ascii="Times New Roman" w:eastAsiaTheme="minorEastAsia" w:hAnsi="Times New Roman" w:cs="Arial"/>
      <w:sz w:val="24"/>
      <w:szCs w:val="20"/>
      <w:lang w:eastAsia="pl-PL"/>
    </w:rPr>
  </w:style>
  <w:style w:type="paragraph" w:customStyle="1" w:styleId="LITODNONIKAliteraodnonika">
    <w:name w:val="LIT_ODNOŚNIKA – litera odnośnika"/>
    <w:basedOn w:val="PKTODNONIKApunktodnonika"/>
    <w:uiPriority w:val="20"/>
    <w:qFormat/>
    <w:rsid w:val="00C41F82"/>
    <w:pPr>
      <w:ind w:left="851"/>
    </w:pPr>
  </w:style>
  <w:style w:type="paragraph" w:customStyle="1" w:styleId="CZWSPLITODNONIKAczwspliterodnonika">
    <w:name w:val="CZ_WSP_LIT_ODNOŚNIKA – część wsp. liter odnośnika"/>
    <w:basedOn w:val="LITODNONIKAliteraodnonika"/>
    <w:uiPriority w:val="22"/>
    <w:qFormat/>
    <w:rsid w:val="00C41F82"/>
    <w:pPr>
      <w:ind w:left="567" w:firstLine="0"/>
    </w:pPr>
  </w:style>
  <w:style w:type="paragraph" w:customStyle="1" w:styleId="ZLITODNONIKAzmlitodnonikaartykuempunktem">
    <w:name w:val="Z/LIT_ODNOŚNIKA – zm. lit. odnośnika artykułem (punktem)"/>
    <w:basedOn w:val="ZPKTODNONIKAzmpktodnonikaartykuempunktem"/>
    <w:next w:val="PKTpunkt"/>
    <w:uiPriority w:val="40"/>
    <w:qFormat/>
    <w:rsid w:val="00C41F82"/>
  </w:style>
  <w:style w:type="paragraph" w:customStyle="1" w:styleId="ZLITwPKTODNONIKAzmlitwpktodnonikaartykuempunktem">
    <w:name w:val="Z/LIT_w_PKT_ODNOŚNIKA – zm. lit. w pkt odnośnika artykułem (punktem)"/>
    <w:basedOn w:val="ZLITODNONIKAzmlitodnonikaartykuempunktem"/>
    <w:uiPriority w:val="40"/>
    <w:qFormat/>
    <w:rsid w:val="00C41F82"/>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C41F82"/>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C41F82"/>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C41F82"/>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C41F82"/>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C41F82"/>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C41F82"/>
  </w:style>
  <w:style w:type="paragraph" w:customStyle="1" w:styleId="ZZFRAGzmianazmfragmentunpzdania">
    <w:name w:val="ZZ/FRAG – zmiana zm. fragmentu (np. zdania)"/>
    <w:basedOn w:val="ZZCZWSPPKTzmianazmczciwsppkt"/>
    <w:uiPriority w:val="70"/>
    <w:qFormat/>
    <w:rsid w:val="00C41F82"/>
  </w:style>
  <w:style w:type="paragraph" w:customStyle="1" w:styleId="Z2TIRPKTzmpktpodwjnymtiret">
    <w:name w:val="Z_2TIR/PKT – zm. pkt podwójnym tiret"/>
    <w:basedOn w:val="Z2TIRLITzmlitpodwjnymtiret"/>
    <w:uiPriority w:val="83"/>
    <w:qFormat/>
    <w:rsid w:val="00C41F82"/>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C41F82"/>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C41F82"/>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C41F82"/>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C41F82"/>
    <w:pPr>
      <w:ind w:left="1780" w:firstLine="510"/>
    </w:pPr>
  </w:style>
  <w:style w:type="paragraph" w:customStyle="1" w:styleId="Z2TIRUSTzmustpodwjnymtiret">
    <w:name w:val="Z_2TIR/UST(§) – zm. ust. (§) podwójnym tiret"/>
    <w:basedOn w:val="Z2TIRPKTzmpktpodwjnymtiret"/>
    <w:uiPriority w:val="82"/>
    <w:qFormat/>
    <w:rsid w:val="00C41F82"/>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C41F82"/>
    <w:pPr>
      <w:ind w:left="3164" w:firstLine="0"/>
    </w:pPr>
  </w:style>
  <w:style w:type="paragraph" w:customStyle="1" w:styleId="Z2TIRCZWSPPKTzmczciwsppktpodwjnymtiret">
    <w:name w:val="Z_2TIR/CZ_WSP_PKT – zm. części wsp. pkt podwójnym tiret"/>
    <w:basedOn w:val="Z2TIRPKTzmpktpodwjnymtiret"/>
    <w:uiPriority w:val="86"/>
    <w:qFormat/>
    <w:rsid w:val="00C41F82"/>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C41F82"/>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C41F82"/>
    <w:pPr>
      <w:ind w:left="2767" w:firstLine="0"/>
    </w:pPr>
  </w:style>
  <w:style w:type="paragraph" w:customStyle="1" w:styleId="ZLITARTzmartliter">
    <w:name w:val="Z_LIT/ART(§) – zm. art. (§) literą"/>
    <w:basedOn w:val="ZLITUSTzmustliter"/>
    <w:uiPriority w:val="46"/>
    <w:qFormat/>
    <w:rsid w:val="00C41F82"/>
    <w:rPr>
      <w:rFonts w:ascii="Times New Roman" w:hAnsi="Times New Roman"/>
    </w:rPr>
  </w:style>
  <w:style w:type="paragraph" w:customStyle="1" w:styleId="ZTIRARTzmarttiret">
    <w:name w:val="Z_TIR/ART(§) – zm. art. (§) tiret"/>
    <w:basedOn w:val="ZTIRPKTzmpkttiret"/>
    <w:uiPriority w:val="55"/>
    <w:qFormat/>
    <w:rsid w:val="00C41F82"/>
    <w:pPr>
      <w:ind w:left="1383" w:firstLine="510"/>
    </w:pPr>
    <w:rPr>
      <w:rFonts w:ascii="Times New Roman" w:hAnsi="Times New Roman"/>
    </w:rPr>
  </w:style>
  <w:style w:type="paragraph" w:customStyle="1" w:styleId="ZTIRUSTzmusttiret">
    <w:name w:val="Z_TIR/UST(§) – zm. ust. (§) tiret"/>
    <w:basedOn w:val="ZTIRARTzmarttiret"/>
    <w:uiPriority w:val="55"/>
    <w:qFormat/>
    <w:rsid w:val="00C41F82"/>
  </w:style>
  <w:style w:type="paragraph" w:customStyle="1" w:styleId="ZLITKSIGIzmozniprzedmksigiliter">
    <w:name w:val="Z_LIT/KSIĘGI – zm. ozn. i przedm. księgi literą"/>
    <w:basedOn w:val="ZCZCIKSIGIzmozniprzedmczciksigiartykuempunktem"/>
    <w:uiPriority w:val="44"/>
    <w:qFormat/>
    <w:rsid w:val="00C41F82"/>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C41F82"/>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C41F82"/>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C41F82"/>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C41F82"/>
    <w:pPr>
      <w:ind w:left="987"/>
    </w:pPr>
  </w:style>
  <w:style w:type="paragraph" w:customStyle="1" w:styleId="ZTIRDZOZNzmozndziautiret">
    <w:name w:val="Z_TIR/DZ_OZN – zm. ozn. działu tiret"/>
    <w:basedOn w:val="ZLITTYTDZOZNzmozntytuudziauliter"/>
    <w:next w:val="ZTIRDZPRZEDMzmprzedmdziautiret"/>
    <w:uiPriority w:val="54"/>
    <w:qFormat/>
    <w:rsid w:val="00C41F82"/>
    <w:pPr>
      <w:ind w:left="1383"/>
    </w:pPr>
  </w:style>
  <w:style w:type="paragraph" w:customStyle="1" w:styleId="ZTIRDZPRZEDMzmprzedmdziautiret">
    <w:name w:val="Z_TIR/DZ_PRZEDM – zm. przedm. działu tiret"/>
    <w:basedOn w:val="ZLITTYTDZPRZEDMzmprzedmtytuudziauliter"/>
    <w:uiPriority w:val="54"/>
    <w:qFormat/>
    <w:rsid w:val="00C41F82"/>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C41F82"/>
    <w:pPr>
      <w:ind w:left="1383"/>
    </w:pPr>
  </w:style>
  <w:style w:type="paragraph" w:customStyle="1" w:styleId="ZTIRROZDZODDZPRZEDMzmprzedmrozdzoddztiret">
    <w:name w:val="Z_TIR/ROZDZ(ODDZ)_PRZEDM – zm. przedm. rozdz. (oddz.) tiret"/>
    <w:basedOn w:val="ZLITROZDZODDZPRZEDMzmprzedmrozdzoddzliter"/>
    <w:uiPriority w:val="54"/>
    <w:qFormat/>
    <w:rsid w:val="00C41F82"/>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C41F82"/>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C41F82"/>
    <w:pPr>
      <w:ind w:left="1780"/>
    </w:pPr>
  </w:style>
  <w:style w:type="character" w:customStyle="1" w:styleId="IDPindeksdolnyipogrubienie">
    <w:name w:val="_ID_P_ – indeks dolny i pogrubienie"/>
    <w:basedOn w:val="Domylnaczcionkaakapitu"/>
    <w:uiPriority w:val="3"/>
    <w:qFormat/>
    <w:rsid w:val="00C41F82"/>
    <w:rPr>
      <w:b/>
      <w:vanish w:val="0"/>
      <w:spacing w:val="0"/>
      <w:vertAlign w:val="subscript"/>
    </w:rPr>
  </w:style>
  <w:style w:type="character" w:customStyle="1" w:styleId="IDKindeksdolnyikursywa">
    <w:name w:val="_ID_K_ – indeks dolny i kursywa"/>
    <w:basedOn w:val="Domylnaczcionkaakapitu"/>
    <w:uiPriority w:val="3"/>
    <w:qFormat/>
    <w:rsid w:val="00C41F82"/>
    <w:rPr>
      <w:i/>
      <w:vanish w:val="0"/>
      <w:spacing w:val="0"/>
      <w:vertAlign w:val="subscript"/>
    </w:rPr>
  </w:style>
  <w:style w:type="character" w:customStyle="1" w:styleId="IGPindeksgrnyipogrubienie">
    <w:name w:val="_IG_P_ – indeks górny i pogrubienie"/>
    <w:basedOn w:val="Domylnaczcionkaakapitu"/>
    <w:uiPriority w:val="2"/>
    <w:qFormat/>
    <w:rsid w:val="00C41F82"/>
    <w:rPr>
      <w:b/>
      <w:vanish w:val="0"/>
      <w:spacing w:val="0"/>
      <w:vertAlign w:val="superscript"/>
    </w:rPr>
  </w:style>
  <w:style w:type="character" w:customStyle="1" w:styleId="IGKindeksgrnyikursywa">
    <w:name w:val="_IG_K_ – indeks górny i kursywa"/>
    <w:basedOn w:val="Domylnaczcionkaakapitu"/>
    <w:uiPriority w:val="2"/>
    <w:qFormat/>
    <w:rsid w:val="00C41F82"/>
    <w:rPr>
      <w:i/>
      <w:vanish w:val="0"/>
      <w:spacing w:val="0"/>
      <w:vertAlign w:val="superscript"/>
    </w:rPr>
  </w:style>
  <w:style w:type="character" w:customStyle="1" w:styleId="IGPKindeksgrnyipogrubieniekursywa">
    <w:name w:val="_IG_P_K_ – indeks górny i pogrubienie kursywa"/>
    <w:basedOn w:val="Domylnaczcionkaakapitu"/>
    <w:uiPriority w:val="2"/>
    <w:qFormat/>
    <w:rsid w:val="00C41F82"/>
    <w:rPr>
      <w:b/>
      <w:i/>
      <w:vanish w:val="0"/>
      <w:spacing w:val="0"/>
      <w:vertAlign w:val="superscript"/>
    </w:rPr>
  </w:style>
  <w:style w:type="character" w:customStyle="1" w:styleId="IDPKindeksdolnyipogrugieniekursywa">
    <w:name w:val="_ID_P_K_ – indeks dolny i pogrugienie kursywa"/>
    <w:basedOn w:val="Domylnaczcionkaakapitu"/>
    <w:uiPriority w:val="3"/>
    <w:qFormat/>
    <w:rsid w:val="00C41F82"/>
    <w:rPr>
      <w:b/>
      <w:i/>
      <w:vanish w:val="0"/>
      <w:spacing w:val="0"/>
      <w:vertAlign w:val="subscript"/>
    </w:rPr>
  </w:style>
  <w:style w:type="character" w:customStyle="1" w:styleId="Kkursywa">
    <w:name w:val="_K_ – kursywa"/>
    <w:basedOn w:val="Domylnaczcionkaakapitu"/>
    <w:uiPriority w:val="1"/>
    <w:qFormat/>
    <w:rsid w:val="00C41F82"/>
    <w:rPr>
      <w:i/>
    </w:rPr>
  </w:style>
  <w:style w:type="character" w:customStyle="1" w:styleId="PKpogrubieniekursywa">
    <w:name w:val="_P_K_ – pogrubienie kursywa"/>
    <w:basedOn w:val="Domylnaczcionkaakapitu"/>
    <w:uiPriority w:val="1"/>
    <w:qFormat/>
    <w:rsid w:val="00C41F82"/>
    <w:rPr>
      <w:b/>
      <w:i/>
    </w:rPr>
  </w:style>
  <w:style w:type="character" w:customStyle="1" w:styleId="TEKSTOZNACZONYWDOKUMENCIERDOWYMJAKOUKRYTY">
    <w:name w:val="_TEKST_OZNACZONY_W_DOKUMENCIE_ŹRÓDŁOWYM_JAKO_UKRYTY_"/>
    <w:basedOn w:val="Domylnaczcionkaakapitu"/>
    <w:uiPriority w:val="4"/>
    <w:unhideWhenUsed/>
    <w:qFormat/>
    <w:rsid w:val="00C41F82"/>
    <w:rPr>
      <w:vanish w:val="0"/>
      <w:color w:val="FF0000"/>
      <w:u w:val="single" w:color="FF0000"/>
    </w:rPr>
  </w:style>
  <w:style w:type="character" w:customStyle="1" w:styleId="BEZWERSALIKW">
    <w:name w:val="_BEZ_WERSALIKÓW_"/>
    <w:basedOn w:val="Domylnaczcionkaakapitu"/>
    <w:uiPriority w:val="4"/>
    <w:qFormat/>
    <w:rsid w:val="00C41F82"/>
    <w:rPr>
      <w:caps/>
    </w:rPr>
  </w:style>
  <w:style w:type="character" w:customStyle="1" w:styleId="IIGPindeksgrnyindeksugrnegoipogrubienie">
    <w:name w:val="_IIG_P_ – indeks górny indeksu górnego i pogrubienie"/>
    <w:basedOn w:val="Domylnaczcionkaakapitu"/>
    <w:uiPriority w:val="3"/>
    <w:qFormat/>
    <w:rsid w:val="00C41F82"/>
    <w:rPr>
      <w:b/>
      <w:vanish w:val="0"/>
      <w:spacing w:val="0"/>
      <w:position w:val="6"/>
      <w:vertAlign w:val="superscript"/>
    </w:rPr>
  </w:style>
  <w:style w:type="character" w:customStyle="1" w:styleId="IIGindeksgrnyindeksugrnego">
    <w:name w:val="_IIG_ – indeks górny indeksu górnego"/>
    <w:basedOn w:val="IIGPindeksgrnyindeksugrnegoipogrubienie"/>
    <w:uiPriority w:val="3"/>
    <w:qFormat/>
    <w:rsid w:val="00C41F82"/>
    <w:rPr>
      <w:b w:val="0"/>
      <w:i w:val="0"/>
      <w:vanish w:val="0"/>
      <w:spacing w:val="0"/>
      <w:position w:val="6"/>
      <w:vertAlign w:val="superscript"/>
    </w:rPr>
  </w:style>
  <w:style w:type="paragraph" w:customStyle="1" w:styleId="ODNONIKSPECtreodnonikadoodnonika">
    <w:name w:val="ODNOŚNIK_SPEC – treść odnośnika do odnośnika"/>
    <w:basedOn w:val="Normalny"/>
    <w:uiPriority w:val="19"/>
    <w:qFormat/>
    <w:rsid w:val="00C41F82"/>
    <w:pPr>
      <w:spacing w:line="240" w:lineRule="auto"/>
      <w:ind w:left="283" w:hanging="170"/>
    </w:pPr>
    <w:rPr>
      <w:sz w:val="20"/>
    </w:rPr>
  </w:style>
  <w:style w:type="paragraph" w:customStyle="1" w:styleId="TEKSTwTABELItekstzwcitympierwwierszem">
    <w:name w:val="TEKST_w_TABELI – tekst z wciętym pierw. wierszem"/>
    <w:basedOn w:val="Normalny"/>
    <w:uiPriority w:val="23"/>
    <w:qFormat/>
    <w:rsid w:val="00C41F82"/>
    <w:pPr>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ny"/>
    <w:uiPriority w:val="23"/>
    <w:qFormat/>
    <w:rsid w:val="00C41F82"/>
    <w:pPr>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C41F82"/>
    <w:pPr>
      <w:ind w:left="1894"/>
    </w:pPr>
  </w:style>
  <w:style w:type="paragraph" w:customStyle="1" w:styleId="ZZSKARNzmianazmsankcjikarnej">
    <w:name w:val="ZZ/S_KARN – zmiana zm. sankcji karnej"/>
    <w:basedOn w:val="ZZFRAGzmianazmfragmentunpzdania"/>
    <w:uiPriority w:val="71"/>
    <w:qFormat/>
    <w:rsid w:val="00C41F8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C41F82"/>
    <w:pPr>
      <w:ind w:left="2291" w:firstLine="0"/>
    </w:pPr>
  </w:style>
  <w:style w:type="paragraph" w:customStyle="1" w:styleId="LEGWMATFIZCHEMlegendawzorumatfizlubchem">
    <w:name w:val="LEG_W_MAT(FIZ|CHEM) – legenda wzoru mat. (fiz. lub chem.)"/>
    <w:basedOn w:val="WMATFIZCHEMwzrmatfizlubchem"/>
    <w:uiPriority w:val="19"/>
    <w:qFormat/>
    <w:rsid w:val="00C41F8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C41F8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C41F8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C41F8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C41F8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C41F8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C41F8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C41F8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C41F82"/>
    <w:pPr>
      <w:ind w:left="3085"/>
    </w:pPr>
  </w:style>
  <w:style w:type="paragraph" w:customStyle="1" w:styleId="ZLITCYTzmcytatunpprzysigiliter">
    <w:name w:val="Z_LIT/CYT – zm. cytatu np. przysięgi literą"/>
    <w:basedOn w:val="ZCYTzmcytatunpprzysigiartykuempunktem"/>
    <w:uiPriority w:val="53"/>
    <w:qFormat/>
    <w:rsid w:val="00C41F82"/>
    <w:pPr>
      <w:ind w:left="1497"/>
    </w:pPr>
  </w:style>
  <w:style w:type="paragraph" w:customStyle="1" w:styleId="ZTIRCYTzmcytatunpprzysigitiret">
    <w:name w:val="Z_TIR/CYT – zm. cytatu np. przysięgi tiret"/>
    <w:basedOn w:val="ZLITCYTzmcytatunpprzysigiliter"/>
    <w:next w:val="ZTIRUSTzmusttiret"/>
    <w:uiPriority w:val="61"/>
    <w:qFormat/>
    <w:rsid w:val="00C41F82"/>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C41F82"/>
    <w:pPr>
      <w:ind w:left="2291"/>
    </w:pPr>
  </w:style>
  <w:style w:type="paragraph" w:customStyle="1" w:styleId="ZZCYTzmianazmcytatunpprzysigi">
    <w:name w:val="ZZ/CYT – zmiana zm. cytatu np. przysięgi"/>
    <w:basedOn w:val="ZZFRAGzmianazmfragmentunpzdania"/>
    <w:next w:val="ZZUSTzmianazmust"/>
    <w:uiPriority w:val="71"/>
    <w:qFormat/>
    <w:rsid w:val="00C41F82"/>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C41F82"/>
    <w:pPr>
      <w:ind w:left="1780"/>
    </w:pPr>
  </w:style>
  <w:style w:type="character" w:customStyle="1" w:styleId="TekstprzypisukocowegoZnak">
    <w:name w:val="Tekst przypisu końcowego Znak"/>
    <w:basedOn w:val="Domylnaczcionkaakapitu"/>
    <w:link w:val="Tekstprzypisukocowego"/>
    <w:uiPriority w:val="99"/>
    <w:semiHidden/>
    <w:rsid w:val="00C41F82"/>
    <w:rPr>
      <w:sz w:val="20"/>
      <w:szCs w:val="20"/>
    </w:rPr>
  </w:style>
  <w:style w:type="paragraph" w:styleId="Tekstprzypisukocowego">
    <w:name w:val="endnote text"/>
    <w:basedOn w:val="Normalny"/>
    <w:link w:val="TekstprzypisukocowegoZnak"/>
    <w:uiPriority w:val="99"/>
    <w:semiHidden/>
    <w:unhideWhenUsed/>
    <w:rsid w:val="00C41F82"/>
    <w:pPr>
      <w:spacing w:after="0" w:line="240" w:lineRule="auto"/>
    </w:pPr>
    <w:rPr>
      <w:sz w:val="20"/>
      <w:szCs w:val="20"/>
    </w:rPr>
  </w:style>
  <w:style w:type="paragraph" w:styleId="Zwykytekst">
    <w:name w:val="Plain Text"/>
    <w:basedOn w:val="Normalny"/>
    <w:link w:val="ZwykytekstZnak"/>
    <w:uiPriority w:val="99"/>
    <w:unhideWhenUsed/>
    <w:rsid w:val="00C41F82"/>
    <w:pPr>
      <w:spacing w:after="0" w:line="240" w:lineRule="auto"/>
    </w:pPr>
    <w:rPr>
      <w:rFonts w:ascii="Calibri" w:hAnsi="Calibri" w:cs="Calibri"/>
    </w:rPr>
  </w:style>
  <w:style w:type="character" w:customStyle="1" w:styleId="ZwykytekstZnak">
    <w:name w:val="Zwykły tekst Znak"/>
    <w:basedOn w:val="Domylnaczcionkaakapitu"/>
    <w:link w:val="Zwykytekst"/>
    <w:uiPriority w:val="99"/>
    <w:rsid w:val="00C41F82"/>
    <w:rPr>
      <w:rFonts w:ascii="Calibri" w:hAnsi="Calibri" w:cs="Calibri"/>
    </w:rPr>
  </w:style>
  <w:style w:type="character" w:customStyle="1" w:styleId="HTML-wstpniesformatowanyZnak">
    <w:name w:val="HTML - wstępnie sformatowany Znak"/>
    <w:basedOn w:val="Domylnaczcionkaakapitu"/>
    <w:link w:val="HTML-wstpniesformatowany"/>
    <w:uiPriority w:val="99"/>
    <w:semiHidden/>
    <w:rsid w:val="00C41F82"/>
    <w:rPr>
      <w:rFonts w:ascii="Courier New" w:eastAsia="Times New Roman" w:hAnsi="Courier New" w:cs="Courier New"/>
      <w:sz w:val="20"/>
      <w:szCs w:val="20"/>
      <w:lang w:eastAsia="pl-PL"/>
    </w:rPr>
  </w:style>
  <w:style w:type="paragraph" w:styleId="HTML-wstpniesformatowany">
    <w:name w:val="HTML Preformatted"/>
    <w:basedOn w:val="Normalny"/>
    <w:link w:val="HTML-wstpniesformatowanyZnak"/>
    <w:uiPriority w:val="99"/>
    <w:semiHidden/>
    <w:unhideWhenUsed/>
    <w:rsid w:val="00C41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paragraph" w:customStyle="1" w:styleId="Default">
    <w:name w:val="Default"/>
    <w:rsid w:val="00C41F82"/>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Poprawka">
    <w:name w:val="Revision"/>
    <w:hidden/>
    <w:uiPriority w:val="99"/>
    <w:semiHidden/>
    <w:rsid w:val="00D947FC"/>
    <w:pPr>
      <w:spacing w:after="0" w:line="240" w:lineRule="auto"/>
    </w:pPr>
  </w:style>
  <w:style w:type="paragraph" w:customStyle="1" w:styleId="oj-normal">
    <w:name w:val="oj-normal"/>
    <w:basedOn w:val="Normalny"/>
    <w:rsid w:val="00D947F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oj-ti-art">
    <w:name w:val="oj-ti-art"/>
    <w:basedOn w:val="Normalny"/>
    <w:rsid w:val="00D947F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oj-sti-art">
    <w:name w:val="oj-sti-art"/>
    <w:basedOn w:val="Normalny"/>
    <w:rsid w:val="00D947F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C076E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7830F3"/>
    <w:rPr>
      <w:color w:val="605E5C"/>
      <w:shd w:val="clear" w:color="auto" w:fill="E1DFDD"/>
    </w:rPr>
  </w:style>
  <w:style w:type="character" w:styleId="UyteHipercze">
    <w:name w:val="FollowedHyperlink"/>
    <w:basedOn w:val="Domylnaczcionkaakapitu"/>
    <w:uiPriority w:val="99"/>
    <w:semiHidden/>
    <w:unhideWhenUsed/>
    <w:rsid w:val="00821799"/>
    <w:rPr>
      <w:color w:val="954F72" w:themeColor="followedHyperlink"/>
      <w:u w:val="single"/>
    </w:rPr>
  </w:style>
  <w:style w:type="character" w:customStyle="1" w:styleId="link-preview-wrapper">
    <w:name w:val="link-preview-wrapper"/>
    <w:basedOn w:val="Domylnaczcionkaakapitu"/>
    <w:rsid w:val="002D5DFD"/>
  </w:style>
  <w:style w:type="character" w:customStyle="1" w:styleId="articletitle">
    <w:name w:val="articletitle"/>
    <w:basedOn w:val="Domylnaczcionkaakapitu"/>
    <w:rsid w:val="00A51D93"/>
  </w:style>
  <w:style w:type="character" w:styleId="Pogrubienie">
    <w:name w:val="Strong"/>
    <w:basedOn w:val="Domylnaczcionkaakapitu"/>
    <w:uiPriority w:val="22"/>
    <w:qFormat/>
    <w:rsid w:val="00A51D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92763">
      <w:bodyDiv w:val="1"/>
      <w:marLeft w:val="0"/>
      <w:marRight w:val="0"/>
      <w:marTop w:val="0"/>
      <w:marBottom w:val="0"/>
      <w:divBdr>
        <w:top w:val="none" w:sz="0" w:space="0" w:color="auto"/>
        <w:left w:val="none" w:sz="0" w:space="0" w:color="auto"/>
        <w:bottom w:val="none" w:sz="0" w:space="0" w:color="auto"/>
        <w:right w:val="none" w:sz="0" w:space="0" w:color="auto"/>
      </w:divBdr>
    </w:div>
    <w:div w:id="627860495">
      <w:bodyDiv w:val="1"/>
      <w:marLeft w:val="0"/>
      <w:marRight w:val="0"/>
      <w:marTop w:val="0"/>
      <w:marBottom w:val="0"/>
      <w:divBdr>
        <w:top w:val="none" w:sz="0" w:space="0" w:color="auto"/>
        <w:left w:val="none" w:sz="0" w:space="0" w:color="auto"/>
        <w:bottom w:val="none" w:sz="0" w:space="0" w:color="auto"/>
        <w:right w:val="none" w:sz="0" w:space="0" w:color="auto"/>
      </w:divBdr>
    </w:div>
    <w:div w:id="759134598">
      <w:bodyDiv w:val="1"/>
      <w:marLeft w:val="0"/>
      <w:marRight w:val="0"/>
      <w:marTop w:val="0"/>
      <w:marBottom w:val="0"/>
      <w:divBdr>
        <w:top w:val="none" w:sz="0" w:space="0" w:color="auto"/>
        <w:left w:val="none" w:sz="0" w:space="0" w:color="auto"/>
        <w:bottom w:val="none" w:sz="0" w:space="0" w:color="auto"/>
        <w:right w:val="none" w:sz="0" w:space="0" w:color="auto"/>
      </w:divBdr>
    </w:div>
    <w:div w:id="912816511">
      <w:bodyDiv w:val="1"/>
      <w:marLeft w:val="0"/>
      <w:marRight w:val="0"/>
      <w:marTop w:val="0"/>
      <w:marBottom w:val="0"/>
      <w:divBdr>
        <w:top w:val="none" w:sz="0" w:space="0" w:color="auto"/>
        <w:left w:val="none" w:sz="0" w:space="0" w:color="auto"/>
        <w:bottom w:val="none" w:sz="0" w:space="0" w:color="auto"/>
        <w:right w:val="none" w:sz="0" w:space="0" w:color="auto"/>
      </w:divBdr>
    </w:div>
    <w:div w:id="923685473">
      <w:bodyDiv w:val="1"/>
      <w:marLeft w:val="0"/>
      <w:marRight w:val="0"/>
      <w:marTop w:val="0"/>
      <w:marBottom w:val="0"/>
      <w:divBdr>
        <w:top w:val="none" w:sz="0" w:space="0" w:color="auto"/>
        <w:left w:val="none" w:sz="0" w:space="0" w:color="auto"/>
        <w:bottom w:val="none" w:sz="0" w:space="0" w:color="auto"/>
        <w:right w:val="none" w:sz="0" w:space="0" w:color="auto"/>
      </w:divBdr>
      <w:divsChild>
        <w:div w:id="271254179">
          <w:marLeft w:val="0"/>
          <w:marRight w:val="0"/>
          <w:marTop w:val="0"/>
          <w:marBottom w:val="0"/>
          <w:divBdr>
            <w:top w:val="none" w:sz="0" w:space="0" w:color="auto"/>
            <w:left w:val="none" w:sz="0" w:space="0" w:color="auto"/>
            <w:bottom w:val="none" w:sz="0" w:space="0" w:color="auto"/>
            <w:right w:val="none" w:sz="0" w:space="0" w:color="auto"/>
          </w:divBdr>
          <w:divsChild>
            <w:div w:id="770321747">
              <w:marLeft w:val="0"/>
              <w:marRight w:val="0"/>
              <w:marTop w:val="0"/>
              <w:marBottom w:val="0"/>
              <w:divBdr>
                <w:top w:val="none" w:sz="0" w:space="0" w:color="auto"/>
                <w:left w:val="none" w:sz="0" w:space="0" w:color="auto"/>
                <w:bottom w:val="none" w:sz="0" w:space="0" w:color="auto"/>
                <w:right w:val="none" w:sz="0" w:space="0" w:color="auto"/>
              </w:divBdr>
            </w:div>
            <w:div w:id="845166764">
              <w:marLeft w:val="0"/>
              <w:marRight w:val="0"/>
              <w:marTop w:val="0"/>
              <w:marBottom w:val="0"/>
              <w:divBdr>
                <w:top w:val="none" w:sz="0" w:space="0" w:color="auto"/>
                <w:left w:val="none" w:sz="0" w:space="0" w:color="auto"/>
                <w:bottom w:val="none" w:sz="0" w:space="0" w:color="auto"/>
                <w:right w:val="none" w:sz="0" w:space="0" w:color="auto"/>
              </w:divBdr>
              <w:divsChild>
                <w:div w:id="1124081214">
                  <w:marLeft w:val="0"/>
                  <w:marRight w:val="0"/>
                  <w:marTop w:val="0"/>
                  <w:marBottom w:val="0"/>
                  <w:divBdr>
                    <w:top w:val="none" w:sz="0" w:space="0" w:color="auto"/>
                    <w:left w:val="none" w:sz="0" w:space="0" w:color="auto"/>
                    <w:bottom w:val="none" w:sz="0" w:space="0" w:color="auto"/>
                    <w:right w:val="none" w:sz="0" w:space="0" w:color="auto"/>
                  </w:divBdr>
                </w:div>
              </w:divsChild>
            </w:div>
            <w:div w:id="1473253381">
              <w:marLeft w:val="0"/>
              <w:marRight w:val="0"/>
              <w:marTop w:val="0"/>
              <w:marBottom w:val="0"/>
              <w:divBdr>
                <w:top w:val="none" w:sz="0" w:space="0" w:color="auto"/>
                <w:left w:val="none" w:sz="0" w:space="0" w:color="auto"/>
                <w:bottom w:val="none" w:sz="0" w:space="0" w:color="auto"/>
                <w:right w:val="none" w:sz="0" w:space="0" w:color="auto"/>
              </w:divBdr>
              <w:divsChild>
                <w:div w:id="1129477037">
                  <w:marLeft w:val="0"/>
                  <w:marRight w:val="0"/>
                  <w:marTop w:val="0"/>
                  <w:marBottom w:val="0"/>
                  <w:divBdr>
                    <w:top w:val="none" w:sz="0" w:space="0" w:color="auto"/>
                    <w:left w:val="none" w:sz="0" w:space="0" w:color="auto"/>
                    <w:bottom w:val="none" w:sz="0" w:space="0" w:color="auto"/>
                    <w:right w:val="none" w:sz="0" w:space="0" w:color="auto"/>
                  </w:divBdr>
                </w:div>
              </w:divsChild>
            </w:div>
            <w:div w:id="1949657621">
              <w:marLeft w:val="0"/>
              <w:marRight w:val="0"/>
              <w:marTop w:val="0"/>
              <w:marBottom w:val="0"/>
              <w:divBdr>
                <w:top w:val="none" w:sz="0" w:space="0" w:color="auto"/>
                <w:left w:val="none" w:sz="0" w:space="0" w:color="auto"/>
                <w:bottom w:val="none" w:sz="0" w:space="0" w:color="auto"/>
                <w:right w:val="none" w:sz="0" w:space="0" w:color="auto"/>
              </w:divBdr>
              <w:divsChild>
                <w:div w:id="129606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839805">
      <w:bodyDiv w:val="1"/>
      <w:marLeft w:val="0"/>
      <w:marRight w:val="0"/>
      <w:marTop w:val="0"/>
      <w:marBottom w:val="0"/>
      <w:divBdr>
        <w:top w:val="none" w:sz="0" w:space="0" w:color="auto"/>
        <w:left w:val="none" w:sz="0" w:space="0" w:color="auto"/>
        <w:bottom w:val="none" w:sz="0" w:space="0" w:color="auto"/>
        <w:right w:val="none" w:sz="0" w:space="0" w:color="auto"/>
      </w:divBdr>
      <w:divsChild>
        <w:div w:id="40372929">
          <w:marLeft w:val="0"/>
          <w:marRight w:val="0"/>
          <w:marTop w:val="0"/>
          <w:marBottom w:val="0"/>
          <w:divBdr>
            <w:top w:val="none" w:sz="0" w:space="0" w:color="auto"/>
            <w:left w:val="none" w:sz="0" w:space="0" w:color="auto"/>
            <w:bottom w:val="none" w:sz="0" w:space="0" w:color="auto"/>
            <w:right w:val="none" w:sz="0" w:space="0" w:color="auto"/>
          </w:divBdr>
          <w:divsChild>
            <w:div w:id="1008293310">
              <w:marLeft w:val="0"/>
              <w:marRight w:val="0"/>
              <w:marTop w:val="0"/>
              <w:marBottom w:val="0"/>
              <w:divBdr>
                <w:top w:val="none" w:sz="0" w:space="0" w:color="auto"/>
                <w:left w:val="none" w:sz="0" w:space="0" w:color="auto"/>
                <w:bottom w:val="none" w:sz="0" w:space="0" w:color="auto"/>
                <w:right w:val="none" w:sz="0" w:space="0" w:color="auto"/>
              </w:divBdr>
            </w:div>
          </w:divsChild>
        </w:div>
        <w:div w:id="65615230">
          <w:marLeft w:val="0"/>
          <w:marRight w:val="0"/>
          <w:marTop w:val="0"/>
          <w:marBottom w:val="0"/>
          <w:divBdr>
            <w:top w:val="none" w:sz="0" w:space="0" w:color="auto"/>
            <w:left w:val="none" w:sz="0" w:space="0" w:color="auto"/>
            <w:bottom w:val="none" w:sz="0" w:space="0" w:color="auto"/>
            <w:right w:val="none" w:sz="0" w:space="0" w:color="auto"/>
          </w:divBdr>
        </w:div>
        <w:div w:id="221258482">
          <w:marLeft w:val="0"/>
          <w:marRight w:val="0"/>
          <w:marTop w:val="0"/>
          <w:marBottom w:val="0"/>
          <w:divBdr>
            <w:top w:val="none" w:sz="0" w:space="0" w:color="auto"/>
            <w:left w:val="none" w:sz="0" w:space="0" w:color="auto"/>
            <w:bottom w:val="none" w:sz="0" w:space="0" w:color="auto"/>
            <w:right w:val="none" w:sz="0" w:space="0" w:color="auto"/>
          </w:divBdr>
          <w:divsChild>
            <w:div w:id="1574268275">
              <w:marLeft w:val="0"/>
              <w:marRight w:val="0"/>
              <w:marTop w:val="0"/>
              <w:marBottom w:val="0"/>
              <w:divBdr>
                <w:top w:val="none" w:sz="0" w:space="0" w:color="auto"/>
                <w:left w:val="none" w:sz="0" w:space="0" w:color="auto"/>
                <w:bottom w:val="none" w:sz="0" w:space="0" w:color="auto"/>
                <w:right w:val="none" w:sz="0" w:space="0" w:color="auto"/>
              </w:divBdr>
            </w:div>
          </w:divsChild>
        </w:div>
        <w:div w:id="240798014">
          <w:marLeft w:val="0"/>
          <w:marRight w:val="0"/>
          <w:marTop w:val="0"/>
          <w:marBottom w:val="0"/>
          <w:divBdr>
            <w:top w:val="none" w:sz="0" w:space="0" w:color="auto"/>
            <w:left w:val="none" w:sz="0" w:space="0" w:color="auto"/>
            <w:bottom w:val="none" w:sz="0" w:space="0" w:color="auto"/>
            <w:right w:val="none" w:sz="0" w:space="0" w:color="auto"/>
          </w:divBdr>
          <w:divsChild>
            <w:div w:id="1544706278">
              <w:marLeft w:val="0"/>
              <w:marRight w:val="0"/>
              <w:marTop w:val="0"/>
              <w:marBottom w:val="0"/>
              <w:divBdr>
                <w:top w:val="none" w:sz="0" w:space="0" w:color="auto"/>
                <w:left w:val="none" w:sz="0" w:space="0" w:color="auto"/>
                <w:bottom w:val="none" w:sz="0" w:space="0" w:color="auto"/>
                <w:right w:val="none" w:sz="0" w:space="0" w:color="auto"/>
              </w:divBdr>
            </w:div>
          </w:divsChild>
        </w:div>
        <w:div w:id="267979028">
          <w:marLeft w:val="0"/>
          <w:marRight w:val="0"/>
          <w:marTop w:val="0"/>
          <w:marBottom w:val="0"/>
          <w:divBdr>
            <w:top w:val="none" w:sz="0" w:space="0" w:color="auto"/>
            <w:left w:val="none" w:sz="0" w:space="0" w:color="auto"/>
            <w:bottom w:val="none" w:sz="0" w:space="0" w:color="auto"/>
            <w:right w:val="none" w:sz="0" w:space="0" w:color="auto"/>
          </w:divBdr>
          <w:divsChild>
            <w:div w:id="415592863">
              <w:marLeft w:val="0"/>
              <w:marRight w:val="0"/>
              <w:marTop w:val="0"/>
              <w:marBottom w:val="0"/>
              <w:divBdr>
                <w:top w:val="none" w:sz="0" w:space="0" w:color="auto"/>
                <w:left w:val="none" w:sz="0" w:space="0" w:color="auto"/>
                <w:bottom w:val="none" w:sz="0" w:space="0" w:color="auto"/>
                <w:right w:val="none" w:sz="0" w:space="0" w:color="auto"/>
              </w:divBdr>
            </w:div>
          </w:divsChild>
        </w:div>
        <w:div w:id="302127764">
          <w:marLeft w:val="0"/>
          <w:marRight w:val="0"/>
          <w:marTop w:val="0"/>
          <w:marBottom w:val="0"/>
          <w:divBdr>
            <w:top w:val="none" w:sz="0" w:space="0" w:color="auto"/>
            <w:left w:val="none" w:sz="0" w:space="0" w:color="auto"/>
            <w:bottom w:val="none" w:sz="0" w:space="0" w:color="auto"/>
            <w:right w:val="none" w:sz="0" w:space="0" w:color="auto"/>
          </w:divBdr>
          <w:divsChild>
            <w:div w:id="106849855">
              <w:marLeft w:val="0"/>
              <w:marRight w:val="0"/>
              <w:marTop w:val="0"/>
              <w:marBottom w:val="0"/>
              <w:divBdr>
                <w:top w:val="none" w:sz="0" w:space="0" w:color="auto"/>
                <w:left w:val="none" w:sz="0" w:space="0" w:color="auto"/>
                <w:bottom w:val="none" w:sz="0" w:space="0" w:color="auto"/>
                <w:right w:val="none" w:sz="0" w:space="0" w:color="auto"/>
              </w:divBdr>
            </w:div>
            <w:div w:id="156843830">
              <w:marLeft w:val="0"/>
              <w:marRight w:val="0"/>
              <w:marTop w:val="0"/>
              <w:marBottom w:val="0"/>
              <w:divBdr>
                <w:top w:val="none" w:sz="0" w:space="0" w:color="auto"/>
                <w:left w:val="none" w:sz="0" w:space="0" w:color="auto"/>
                <w:bottom w:val="none" w:sz="0" w:space="0" w:color="auto"/>
                <w:right w:val="none" w:sz="0" w:space="0" w:color="auto"/>
              </w:divBdr>
              <w:divsChild>
                <w:div w:id="704332795">
                  <w:marLeft w:val="0"/>
                  <w:marRight w:val="0"/>
                  <w:marTop w:val="0"/>
                  <w:marBottom w:val="0"/>
                  <w:divBdr>
                    <w:top w:val="none" w:sz="0" w:space="0" w:color="auto"/>
                    <w:left w:val="none" w:sz="0" w:space="0" w:color="auto"/>
                    <w:bottom w:val="none" w:sz="0" w:space="0" w:color="auto"/>
                    <w:right w:val="none" w:sz="0" w:space="0" w:color="auto"/>
                  </w:divBdr>
                  <w:divsChild>
                    <w:div w:id="85704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283796">
              <w:marLeft w:val="0"/>
              <w:marRight w:val="0"/>
              <w:marTop w:val="0"/>
              <w:marBottom w:val="0"/>
              <w:divBdr>
                <w:top w:val="none" w:sz="0" w:space="0" w:color="auto"/>
                <w:left w:val="none" w:sz="0" w:space="0" w:color="auto"/>
                <w:bottom w:val="none" w:sz="0" w:space="0" w:color="auto"/>
                <w:right w:val="none" w:sz="0" w:space="0" w:color="auto"/>
              </w:divBdr>
              <w:divsChild>
                <w:div w:id="678506065">
                  <w:marLeft w:val="0"/>
                  <w:marRight w:val="0"/>
                  <w:marTop w:val="0"/>
                  <w:marBottom w:val="0"/>
                  <w:divBdr>
                    <w:top w:val="none" w:sz="0" w:space="0" w:color="auto"/>
                    <w:left w:val="none" w:sz="0" w:space="0" w:color="auto"/>
                    <w:bottom w:val="none" w:sz="0" w:space="0" w:color="auto"/>
                    <w:right w:val="none" w:sz="0" w:space="0" w:color="auto"/>
                  </w:divBdr>
                  <w:divsChild>
                    <w:div w:id="63101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233771">
          <w:marLeft w:val="0"/>
          <w:marRight w:val="0"/>
          <w:marTop w:val="0"/>
          <w:marBottom w:val="0"/>
          <w:divBdr>
            <w:top w:val="none" w:sz="0" w:space="0" w:color="auto"/>
            <w:left w:val="none" w:sz="0" w:space="0" w:color="auto"/>
            <w:bottom w:val="none" w:sz="0" w:space="0" w:color="auto"/>
            <w:right w:val="none" w:sz="0" w:space="0" w:color="auto"/>
          </w:divBdr>
          <w:divsChild>
            <w:div w:id="2042974219">
              <w:marLeft w:val="0"/>
              <w:marRight w:val="0"/>
              <w:marTop w:val="0"/>
              <w:marBottom w:val="0"/>
              <w:divBdr>
                <w:top w:val="none" w:sz="0" w:space="0" w:color="auto"/>
                <w:left w:val="none" w:sz="0" w:space="0" w:color="auto"/>
                <w:bottom w:val="none" w:sz="0" w:space="0" w:color="auto"/>
                <w:right w:val="none" w:sz="0" w:space="0" w:color="auto"/>
              </w:divBdr>
            </w:div>
          </w:divsChild>
        </w:div>
        <w:div w:id="1351376377">
          <w:marLeft w:val="0"/>
          <w:marRight w:val="0"/>
          <w:marTop w:val="0"/>
          <w:marBottom w:val="0"/>
          <w:divBdr>
            <w:top w:val="none" w:sz="0" w:space="0" w:color="auto"/>
            <w:left w:val="none" w:sz="0" w:space="0" w:color="auto"/>
            <w:bottom w:val="none" w:sz="0" w:space="0" w:color="auto"/>
            <w:right w:val="none" w:sz="0" w:space="0" w:color="auto"/>
          </w:divBdr>
          <w:divsChild>
            <w:div w:id="194923420">
              <w:marLeft w:val="0"/>
              <w:marRight w:val="0"/>
              <w:marTop w:val="0"/>
              <w:marBottom w:val="0"/>
              <w:divBdr>
                <w:top w:val="none" w:sz="0" w:space="0" w:color="auto"/>
                <w:left w:val="none" w:sz="0" w:space="0" w:color="auto"/>
                <w:bottom w:val="none" w:sz="0" w:space="0" w:color="auto"/>
                <w:right w:val="none" w:sz="0" w:space="0" w:color="auto"/>
              </w:divBdr>
            </w:div>
          </w:divsChild>
        </w:div>
        <w:div w:id="1357804983">
          <w:marLeft w:val="0"/>
          <w:marRight w:val="0"/>
          <w:marTop w:val="0"/>
          <w:marBottom w:val="0"/>
          <w:divBdr>
            <w:top w:val="none" w:sz="0" w:space="0" w:color="auto"/>
            <w:left w:val="none" w:sz="0" w:space="0" w:color="auto"/>
            <w:bottom w:val="none" w:sz="0" w:space="0" w:color="auto"/>
            <w:right w:val="none" w:sz="0" w:space="0" w:color="auto"/>
          </w:divBdr>
          <w:divsChild>
            <w:div w:id="1979408152">
              <w:marLeft w:val="0"/>
              <w:marRight w:val="0"/>
              <w:marTop w:val="0"/>
              <w:marBottom w:val="0"/>
              <w:divBdr>
                <w:top w:val="none" w:sz="0" w:space="0" w:color="auto"/>
                <w:left w:val="none" w:sz="0" w:space="0" w:color="auto"/>
                <w:bottom w:val="none" w:sz="0" w:space="0" w:color="auto"/>
                <w:right w:val="none" w:sz="0" w:space="0" w:color="auto"/>
              </w:divBdr>
            </w:div>
          </w:divsChild>
        </w:div>
        <w:div w:id="1457213989">
          <w:marLeft w:val="0"/>
          <w:marRight w:val="0"/>
          <w:marTop w:val="0"/>
          <w:marBottom w:val="0"/>
          <w:divBdr>
            <w:top w:val="none" w:sz="0" w:space="0" w:color="auto"/>
            <w:left w:val="none" w:sz="0" w:space="0" w:color="auto"/>
            <w:bottom w:val="none" w:sz="0" w:space="0" w:color="auto"/>
            <w:right w:val="none" w:sz="0" w:space="0" w:color="auto"/>
          </w:divBdr>
          <w:divsChild>
            <w:div w:id="1059745061">
              <w:marLeft w:val="0"/>
              <w:marRight w:val="0"/>
              <w:marTop w:val="0"/>
              <w:marBottom w:val="0"/>
              <w:divBdr>
                <w:top w:val="none" w:sz="0" w:space="0" w:color="auto"/>
                <w:left w:val="none" w:sz="0" w:space="0" w:color="auto"/>
                <w:bottom w:val="none" w:sz="0" w:space="0" w:color="auto"/>
                <w:right w:val="none" w:sz="0" w:space="0" w:color="auto"/>
              </w:divBdr>
            </w:div>
          </w:divsChild>
        </w:div>
        <w:div w:id="1650133929">
          <w:marLeft w:val="0"/>
          <w:marRight w:val="0"/>
          <w:marTop w:val="0"/>
          <w:marBottom w:val="0"/>
          <w:divBdr>
            <w:top w:val="none" w:sz="0" w:space="0" w:color="auto"/>
            <w:left w:val="none" w:sz="0" w:space="0" w:color="auto"/>
            <w:bottom w:val="none" w:sz="0" w:space="0" w:color="auto"/>
            <w:right w:val="none" w:sz="0" w:space="0" w:color="auto"/>
          </w:divBdr>
          <w:divsChild>
            <w:div w:id="902065649">
              <w:marLeft w:val="0"/>
              <w:marRight w:val="0"/>
              <w:marTop w:val="0"/>
              <w:marBottom w:val="0"/>
              <w:divBdr>
                <w:top w:val="none" w:sz="0" w:space="0" w:color="auto"/>
                <w:left w:val="none" w:sz="0" w:space="0" w:color="auto"/>
                <w:bottom w:val="none" w:sz="0" w:space="0" w:color="auto"/>
                <w:right w:val="none" w:sz="0" w:space="0" w:color="auto"/>
              </w:divBdr>
            </w:div>
          </w:divsChild>
        </w:div>
        <w:div w:id="1784422761">
          <w:marLeft w:val="0"/>
          <w:marRight w:val="0"/>
          <w:marTop w:val="0"/>
          <w:marBottom w:val="0"/>
          <w:divBdr>
            <w:top w:val="none" w:sz="0" w:space="0" w:color="auto"/>
            <w:left w:val="none" w:sz="0" w:space="0" w:color="auto"/>
            <w:bottom w:val="none" w:sz="0" w:space="0" w:color="auto"/>
            <w:right w:val="none" w:sz="0" w:space="0" w:color="auto"/>
          </w:divBdr>
          <w:divsChild>
            <w:div w:id="1907298811">
              <w:marLeft w:val="0"/>
              <w:marRight w:val="0"/>
              <w:marTop w:val="0"/>
              <w:marBottom w:val="0"/>
              <w:divBdr>
                <w:top w:val="none" w:sz="0" w:space="0" w:color="auto"/>
                <w:left w:val="none" w:sz="0" w:space="0" w:color="auto"/>
                <w:bottom w:val="none" w:sz="0" w:space="0" w:color="auto"/>
                <w:right w:val="none" w:sz="0" w:space="0" w:color="auto"/>
              </w:divBdr>
            </w:div>
          </w:divsChild>
        </w:div>
        <w:div w:id="1837528489">
          <w:marLeft w:val="0"/>
          <w:marRight w:val="0"/>
          <w:marTop w:val="0"/>
          <w:marBottom w:val="0"/>
          <w:divBdr>
            <w:top w:val="none" w:sz="0" w:space="0" w:color="auto"/>
            <w:left w:val="none" w:sz="0" w:space="0" w:color="auto"/>
            <w:bottom w:val="none" w:sz="0" w:space="0" w:color="auto"/>
            <w:right w:val="none" w:sz="0" w:space="0" w:color="auto"/>
          </w:divBdr>
          <w:divsChild>
            <w:div w:id="1273241161">
              <w:marLeft w:val="0"/>
              <w:marRight w:val="0"/>
              <w:marTop w:val="0"/>
              <w:marBottom w:val="0"/>
              <w:divBdr>
                <w:top w:val="none" w:sz="0" w:space="0" w:color="auto"/>
                <w:left w:val="none" w:sz="0" w:space="0" w:color="auto"/>
                <w:bottom w:val="none" w:sz="0" w:space="0" w:color="auto"/>
                <w:right w:val="none" w:sz="0" w:space="0" w:color="auto"/>
              </w:divBdr>
            </w:div>
          </w:divsChild>
        </w:div>
        <w:div w:id="2134663763">
          <w:marLeft w:val="0"/>
          <w:marRight w:val="0"/>
          <w:marTop w:val="0"/>
          <w:marBottom w:val="0"/>
          <w:divBdr>
            <w:top w:val="none" w:sz="0" w:space="0" w:color="auto"/>
            <w:left w:val="none" w:sz="0" w:space="0" w:color="auto"/>
            <w:bottom w:val="none" w:sz="0" w:space="0" w:color="auto"/>
            <w:right w:val="none" w:sz="0" w:space="0" w:color="auto"/>
          </w:divBdr>
          <w:divsChild>
            <w:div w:id="85577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261289">
      <w:bodyDiv w:val="1"/>
      <w:marLeft w:val="0"/>
      <w:marRight w:val="0"/>
      <w:marTop w:val="0"/>
      <w:marBottom w:val="0"/>
      <w:divBdr>
        <w:top w:val="none" w:sz="0" w:space="0" w:color="auto"/>
        <w:left w:val="none" w:sz="0" w:space="0" w:color="auto"/>
        <w:bottom w:val="none" w:sz="0" w:space="0" w:color="auto"/>
        <w:right w:val="none" w:sz="0" w:space="0" w:color="auto"/>
      </w:divBdr>
    </w:div>
    <w:div w:id="1122504950">
      <w:bodyDiv w:val="1"/>
      <w:marLeft w:val="0"/>
      <w:marRight w:val="0"/>
      <w:marTop w:val="0"/>
      <w:marBottom w:val="0"/>
      <w:divBdr>
        <w:top w:val="none" w:sz="0" w:space="0" w:color="auto"/>
        <w:left w:val="none" w:sz="0" w:space="0" w:color="auto"/>
        <w:bottom w:val="none" w:sz="0" w:space="0" w:color="auto"/>
        <w:right w:val="none" w:sz="0" w:space="0" w:color="auto"/>
      </w:divBdr>
    </w:div>
    <w:div w:id="1173377605">
      <w:bodyDiv w:val="1"/>
      <w:marLeft w:val="0"/>
      <w:marRight w:val="0"/>
      <w:marTop w:val="0"/>
      <w:marBottom w:val="0"/>
      <w:divBdr>
        <w:top w:val="none" w:sz="0" w:space="0" w:color="auto"/>
        <w:left w:val="none" w:sz="0" w:space="0" w:color="auto"/>
        <w:bottom w:val="none" w:sz="0" w:space="0" w:color="auto"/>
        <w:right w:val="none" w:sz="0" w:space="0" w:color="auto"/>
      </w:divBdr>
      <w:divsChild>
        <w:div w:id="901016573">
          <w:marLeft w:val="0"/>
          <w:marRight w:val="0"/>
          <w:marTop w:val="0"/>
          <w:marBottom w:val="0"/>
          <w:divBdr>
            <w:top w:val="none" w:sz="0" w:space="0" w:color="auto"/>
            <w:left w:val="none" w:sz="0" w:space="0" w:color="auto"/>
            <w:bottom w:val="none" w:sz="0" w:space="0" w:color="auto"/>
            <w:right w:val="none" w:sz="0" w:space="0" w:color="auto"/>
          </w:divBdr>
          <w:divsChild>
            <w:div w:id="1135368977">
              <w:marLeft w:val="0"/>
              <w:marRight w:val="0"/>
              <w:marTop w:val="0"/>
              <w:marBottom w:val="0"/>
              <w:divBdr>
                <w:top w:val="none" w:sz="0" w:space="0" w:color="auto"/>
                <w:left w:val="none" w:sz="0" w:space="0" w:color="auto"/>
                <w:bottom w:val="none" w:sz="0" w:space="0" w:color="auto"/>
                <w:right w:val="none" w:sz="0" w:space="0" w:color="auto"/>
              </w:divBdr>
              <w:divsChild>
                <w:div w:id="215506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903410">
          <w:marLeft w:val="0"/>
          <w:marRight w:val="0"/>
          <w:marTop w:val="0"/>
          <w:marBottom w:val="0"/>
          <w:divBdr>
            <w:top w:val="none" w:sz="0" w:space="0" w:color="auto"/>
            <w:left w:val="none" w:sz="0" w:space="0" w:color="auto"/>
            <w:bottom w:val="none" w:sz="0" w:space="0" w:color="auto"/>
            <w:right w:val="none" w:sz="0" w:space="0" w:color="auto"/>
          </w:divBdr>
          <w:divsChild>
            <w:div w:id="1232471137">
              <w:marLeft w:val="0"/>
              <w:marRight w:val="0"/>
              <w:marTop w:val="0"/>
              <w:marBottom w:val="0"/>
              <w:divBdr>
                <w:top w:val="none" w:sz="0" w:space="0" w:color="auto"/>
                <w:left w:val="none" w:sz="0" w:space="0" w:color="auto"/>
                <w:bottom w:val="none" w:sz="0" w:space="0" w:color="auto"/>
                <w:right w:val="none" w:sz="0" w:space="0" w:color="auto"/>
              </w:divBdr>
              <w:divsChild>
                <w:div w:id="184230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415392">
      <w:bodyDiv w:val="1"/>
      <w:marLeft w:val="0"/>
      <w:marRight w:val="0"/>
      <w:marTop w:val="0"/>
      <w:marBottom w:val="0"/>
      <w:divBdr>
        <w:top w:val="none" w:sz="0" w:space="0" w:color="auto"/>
        <w:left w:val="none" w:sz="0" w:space="0" w:color="auto"/>
        <w:bottom w:val="none" w:sz="0" w:space="0" w:color="auto"/>
        <w:right w:val="none" w:sz="0" w:space="0" w:color="auto"/>
      </w:divBdr>
    </w:div>
    <w:div w:id="1435326021">
      <w:bodyDiv w:val="1"/>
      <w:marLeft w:val="0"/>
      <w:marRight w:val="0"/>
      <w:marTop w:val="0"/>
      <w:marBottom w:val="0"/>
      <w:divBdr>
        <w:top w:val="none" w:sz="0" w:space="0" w:color="auto"/>
        <w:left w:val="none" w:sz="0" w:space="0" w:color="auto"/>
        <w:bottom w:val="none" w:sz="0" w:space="0" w:color="auto"/>
        <w:right w:val="none" w:sz="0" w:space="0" w:color="auto"/>
      </w:divBdr>
    </w:div>
    <w:div w:id="1599026635">
      <w:bodyDiv w:val="1"/>
      <w:marLeft w:val="0"/>
      <w:marRight w:val="0"/>
      <w:marTop w:val="0"/>
      <w:marBottom w:val="0"/>
      <w:divBdr>
        <w:top w:val="none" w:sz="0" w:space="0" w:color="auto"/>
        <w:left w:val="none" w:sz="0" w:space="0" w:color="auto"/>
        <w:bottom w:val="none" w:sz="0" w:space="0" w:color="auto"/>
        <w:right w:val="none" w:sz="0" w:space="0" w:color="auto"/>
      </w:divBdr>
    </w:div>
    <w:div w:id="1713115230">
      <w:bodyDiv w:val="1"/>
      <w:marLeft w:val="0"/>
      <w:marRight w:val="0"/>
      <w:marTop w:val="0"/>
      <w:marBottom w:val="0"/>
      <w:divBdr>
        <w:top w:val="none" w:sz="0" w:space="0" w:color="auto"/>
        <w:left w:val="none" w:sz="0" w:space="0" w:color="auto"/>
        <w:bottom w:val="none" w:sz="0" w:space="0" w:color="auto"/>
        <w:right w:val="none" w:sz="0" w:space="0" w:color="auto"/>
      </w:divBdr>
      <w:divsChild>
        <w:div w:id="1742678271">
          <w:marLeft w:val="0"/>
          <w:marRight w:val="0"/>
          <w:marTop w:val="0"/>
          <w:marBottom w:val="0"/>
          <w:divBdr>
            <w:top w:val="none" w:sz="0" w:space="0" w:color="auto"/>
            <w:left w:val="none" w:sz="0" w:space="0" w:color="auto"/>
            <w:bottom w:val="none" w:sz="0" w:space="0" w:color="auto"/>
            <w:right w:val="none" w:sz="0" w:space="0" w:color="auto"/>
          </w:divBdr>
          <w:divsChild>
            <w:div w:id="1045570508">
              <w:marLeft w:val="0"/>
              <w:marRight w:val="0"/>
              <w:marTop w:val="0"/>
              <w:marBottom w:val="0"/>
              <w:divBdr>
                <w:top w:val="none" w:sz="0" w:space="0" w:color="auto"/>
                <w:left w:val="none" w:sz="0" w:space="0" w:color="auto"/>
                <w:bottom w:val="none" w:sz="0" w:space="0" w:color="auto"/>
                <w:right w:val="none" w:sz="0" w:space="0" w:color="auto"/>
              </w:divBdr>
            </w:div>
          </w:divsChild>
        </w:div>
        <w:div w:id="1951931864">
          <w:marLeft w:val="0"/>
          <w:marRight w:val="0"/>
          <w:marTop w:val="0"/>
          <w:marBottom w:val="0"/>
          <w:divBdr>
            <w:top w:val="none" w:sz="0" w:space="0" w:color="auto"/>
            <w:left w:val="none" w:sz="0" w:space="0" w:color="auto"/>
            <w:bottom w:val="none" w:sz="0" w:space="0" w:color="auto"/>
            <w:right w:val="none" w:sz="0" w:space="0" w:color="auto"/>
          </w:divBdr>
          <w:divsChild>
            <w:div w:id="1360427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911047">
      <w:bodyDiv w:val="1"/>
      <w:marLeft w:val="0"/>
      <w:marRight w:val="0"/>
      <w:marTop w:val="0"/>
      <w:marBottom w:val="0"/>
      <w:divBdr>
        <w:top w:val="none" w:sz="0" w:space="0" w:color="auto"/>
        <w:left w:val="none" w:sz="0" w:space="0" w:color="auto"/>
        <w:bottom w:val="none" w:sz="0" w:space="0" w:color="auto"/>
        <w:right w:val="none" w:sz="0" w:space="0" w:color="auto"/>
      </w:divBdr>
      <w:divsChild>
        <w:div w:id="287056835">
          <w:marLeft w:val="0"/>
          <w:marRight w:val="0"/>
          <w:marTop w:val="0"/>
          <w:marBottom w:val="0"/>
          <w:divBdr>
            <w:top w:val="none" w:sz="0" w:space="0" w:color="auto"/>
            <w:left w:val="none" w:sz="0" w:space="0" w:color="auto"/>
            <w:bottom w:val="none" w:sz="0" w:space="0" w:color="auto"/>
            <w:right w:val="none" w:sz="0" w:space="0" w:color="auto"/>
          </w:divBdr>
        </w:div>
        <w:div w:id="174927201">
          <w:marLeft w:val="0"/>
          <w:marRight w:val="0"/>
          <w:marTop w:val="0"/>
          <w:marBottom w:val="0"/>
          <w:divBdr>
            <w:top w:val="none" w:sz="0" w:space="0" w:color="auto"/>
            <w:left w:val="none" w:sz="0" w:space="0" w:color="auto"/>
            <w:bottom w:val="none" w:sz="0" w:space="0" w:color="auto"/>
            <w:right w:val="none" w:sz="0" w:space="0" w:color="auto"/>
          </w:divBdr>
          <w:divsChild>
            <w:div w:id="2135632953">
              <w:marLeft w:val="0"/>
              <w:marRight w:val="0"/>
              <w:marTop w:val="0"/>
              <w:marBottom w:val="0"/>
              <w:divBdr>
                <w:top w:val="none" w:sz="0" w:space="0" w:color="auto"/>
                <w:left w:val="none" w:sz="0" w:space="0" w:color="auto"/>
                <w:bottom w:val="none" w:sz="0" w:space="0" w:color="auto"/>
                <w:right w:val="none" w:sz="0" w:space="0" w:color="auto"/>
              </w:divBdr>
            </w:div>
          </w:divsChild>
        </w:div>
        <w:div w:id="1476874793">
          <w:marLeft w:val="0"/>
          <w:marRight w:val="0"/>
          <w:marTop w:val="0"/>
          <w:marBottom w:val="0"/>
          <w:divBdr>
            <w:top w:val="none" w:sz="0" w:space="0" w:color="auto"/>
            <w:left w:val="none" w:sz="0" w:space="0" w:color="auto"/>
            <w:bottom w:val="none" w:sz="0" w:space="0" w:color="auto"/>
            <w:right w:val="none" w:sz="0" w:space="0" w:color="auto"/>
          </w:divBdr>
          <w:divsChild>
            <w:div w:id="1960529711">
              <w:marLeft w:val="0"/>
              <w:marRight w:val="0"/>
              <w:marTop w:val="0"/>
              <w:marBottom w:val="0"/>
              <w:divBdr>
                <w:top w:val="none" w:sz="0" w:space="0" w:color="auto"/>
                <w:left w:val="none" w:sz="0" w:space="0" w:color="auto"/>
                <w:bottom w:val="none" w:sz="0" w:space="0" w:color="auto"/>
                <w:right w:val="none" w:sz="0" w:space="0" w:color="auto"/>
              </w:divBdr>
            </w:div>
          </w:divsChild>
        </w:div>
        <w:div w:id="206261094">
          <w:marLeft w:val="0"/>
          <w:marRight w:val="0"/>
          <w:marTop w:val="0"/>
          <w:marBottom w:val="0"/>
          <w:divBdr>
            <w:top w:val="none" w:sz="0" w:space="0" w:color="auto"/>
            <w:left w:val="none" w:sz="0" w:space="0" w:color="auto"/>
            <w:bottom w:val="none" w:sz="0" w:space="0" w:color="auto"/>
            <w:right w:val="none" w:sz="0" w:space="0" w:color="auto"/>
          </w:divBdr>
          <w:divsChild>
            <w:div w:id="65500759">
              <w:marLeft w:val="0"/>
              <w:marRight w:val="0"/>
              <w:marTop w:val="0"/>
              <w:marBottom w:val="0"/>
              <w:divBdr>
                <w:top w:val="none" w:sz="0" w:space="0" w:color="auto"/>
                <w:left w:val="none" w:sz="0" w:space="0" w:color="auto"/>
                <w:bottom w:val="none" w:sz="0" w:space="0" w:color="auto"/>
                <w:right w:val="none" w:sz="0" w:space="0" w:color="auto"/>
              </w:divBdr>
            </w:div>
          </w:divsChild>
        </w:div>
        <w:div w:id="944119343">
          <w:marLeft w:val="0"/>
          <w:marRight w:val="0"/>
          <w:marTop w:val="0"/>
          <w:marBottom w:val="0"/>
          <w:divBdr>
            <w:top w:val="none" w:sz="0" w:space="0" w:color="auto"/>
            <w:left w:val="none" w:sz="0" w:space="0" w:color="auto"/>
            <w:bottom w:val="none" w:sz="0" w:space="0" w:color="auto"/>
            <w:right w:val="none" w:sz="0" w:space="0" w:color="auto"/>
          </w:divBdr>
          <w:divsChild>
            <w:div w:id="93863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522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gnjuhezdeltqmfyc4nbygqztenzwgq&amp;refSource=hyp" TargetMode="External"/><Relationship Id="rId13" Type="http://schemas.openxmlformats.org/officeDocument/2006/relationships/hyperlink" Target="https://sip.legalis.pl/document-view.seam?documentId=mfrxilrtg4ytgobqha4ta&amp;refSource=hy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galis.pl/document-view.seam?documentId=mfrxilrtg4ytgobqha4ta&amp;refSource=hy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vguytgnjrge3q&amp;refSource=hy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ip.legalis.pl/document-view.seam?documentId=mfrxilrtg4ytgobqha4ta&amp;refSource=hyp" TargetMode="External"/><Relationship Id="rId4" Type="http://schemas.openxmlformats.org/officeDocument/2006/relationships/settings" Target="settings.xml"/><Relationship Id="rId9" Type="http://schemas.openxmlformats.org/officeDocument/2006/relationships/hyperlink" Target="https://sip.legalis.pl/document-view.seam?documentId=mfrxilrtg4ytgobqha4taltqmfyc4nbzgu2danbuha&amp;refSource=hyp"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8CB81-DCCF-45BA-8F48-8C5473432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107711</Words>
  <Characters>646267</Characters>
  <Application>Microsoft Office Word</Application>
  <DocSecurity>0</DocSecurity>
  <Lines>5385</Lines>
  <Paragraphs>1504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2026-07-03T11:27:00Z</dcterms:created>
  <dcterms:modified xsi:type="dcterms:W3CDTF">2026-07-03T11:27:00Z</dcterms:modified>
</cp:coreProperties>
</file>